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00" w:line="300"/>
        <w:jc w:val="right"/>
      </w:pPr>
      <w:r>
        <w:rPr>
          <w:rFonts w:ascii="Arial" w:cs="Arial" w:eastAsia="Arial" w:hAnsi="Arial"/>
          <w:b/>
          <w:bCs/>
          <w:color w:val="0A5BD3"/>
          <w:sz w:val="44"/>
          <w:szCs w:val="44"/>
          <w:rtl/>
        </w:rPr>
        <w:t xml:space="preserve">مســلك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color w:val="0B1F3F"/>
          <w:sz w:val="36"/>
          <w:szCs w:val="36"/>
          <w:rtl/>
        </w:rPr>
        <w:t xml:space="preserve">نماذج سلوك النظام</w:t>
      </w:r>
    </w:p>
    <w:p>
      <w:pPr>
        <w:bidi/>
        <w:spacing w:after="300" w:line="300"/>
        <w:jc w:val="right"/>
      </w:pPr>
      <w:r>
        <w:rPr>
          <w:rFonts w:ascii="Arial" w:cs="Arial" w:eastAsia="Arial" w:hAnsi="Arial"/>
          <w:color w:val="4B5565"/>
          <w:sz w:val="22"/>
          <w:szCs w:val="22"/>
          <w:rtl/>
        </w:rPr>
        <w:t xml:space="preserve">مخططات الحالات والتسلسل والنشاط للمنصة كما بُنيت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0B1F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  <w:tc>
          <w:tcPr>
            <w:tcW w:type="dxa" w:w="6939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0B1F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القيمة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7"/>
                <w:szCs w:val="17"/>
                <w:rtl/>
              </w:rPr>
              <w:t xml:space="preserve">الإصدار</w:t>
            </w:r>
          </w:p>
        </w:tc>
        <w:tc>
          <w:tcPr>
            <w:tcW w:type="dxa" w:w="6939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7"/>
                <w:szCs w:val="17"/>
                <w:rtl/>
              </w:rPr>
              <w:t xml:space="preserve">1.0؛ يضم مخططات الحالات والتسلسل من ملحق النماذج ويوسّعها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7"/>
                <w:szCs w:val="17"/>
                <w:rtl/>
              </w:rPr>
              <w:t xml:space="preserve">التاريخ</w:t>
            </w:r>
          </w:p>
        </w:tc>
        <w:tc>
          <w:tcPr>
            <w:tcW w:type="dxa" w:w="6939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7"/>
                <w:szCs w:val="17"/>
                <w:rtl/>
              </w:rPr>
              <w:t xml:space="preserve">12 تشرين الأول 2026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7"/>
                <w:szCs w:val="17"/>
                <w:rtl/>
              </w:rPr>
              <w:t xml:space="preserve">المصدر</w:t>
            </w:r>
          </w:p>
        </w:tc>
        <w:tc>
          <w:tcPr>
            <w:tcW w:type="dxa" w:w="6939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7"/>
                <w:szCs w:val="17"/>
                <w:rtl/>
              </w:rPr>
              <w:t xml:space="preserve">قيود الجداول ودوال القاعدة ومسارات الخادم بعد الالتزام b983b22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7"/>
                <w:szCs w:val="17"/>
                <w:rtl/>
              </w:rPr>
              <w:t xml:space="preserve">المحتوى</w:t>
            </w:r>
          </w:p>
        </w:tc>
        <w:tc>
          <w:tcPr>
            <w:tcW w:type="dxa" w:w="6939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7"/>
                <w:szCs w:val="17"/>
                <w:rtl/>
              </w:rPr>
              <w:t xml:space="preserve">16 مخطط حالات (11 كياناً)، و7 مخططات تسلسل، و6 مخططات نشاط للعمليات التشغيلية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7"/>
                <w:szCs w:val="17"/>
                <w:rtl/>
              </w:rPr>
              <w:t xml:space="preserve">يكمّل</w:t>
            </w:r>
          </w:p>
        </w:tc>
        <w:tc>
          <w:tcPr>
            <w:tcW w:type="dxa" w:w="6939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7"/>
                <w:szCs w:val="17"/>
                <w:rtl/>
              </w:rPr>
              <w:t xml:space="preserve">مخططات حالات الاستخدام وتدفق البيانات 2.0؛ وفي سجل الوثائق البنود ب3 وب4 وب5</w:t>
            </w:r>
          </w:p>
        </w:tc>
      </w:tr>
    </w:tbl>
    <w:p>
      <w:pPr>
        <w:pStyle w:val="Heading1"/>
        <w:keepNext/>
        <w:pBdr>
          <w:bottom w:val="single" w:color="0A5BD3" w:sz="10" w:space="4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0B1F3F"/>
          <w:sz w:val="30"/>
          <w:szCs w:val="30"/>
          <w:rtl/>
        </w:rPr>
        <w:t xml:space="preserve">1. المقدمة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color w:val="0F1B2D"/>
          <w:sz w:val="21"/>
          <w:szCs w:val="21"/>
          <w:rtl/>
        </w:rPr>
        <w:t xml:space="preserve">مخططات حالات الاستخدام وتدفق البيانات تقول ماذا يفعل النظام ومن يفعله. وهذه الوثيقة تقول كيف: بأي ترتيب، وما الحالات التي يمر بها كل كيان، وما الذي يرفضه النظام في كل خطوة.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b/>
          <w:bCs/>
          <w:color w:val="0F1B2D"/>
          <w:sz w:val="21"/>
          <w:szCs w:val="21"/>
          <w:rtl/>
        </w:rPr>
        <w:t xml:space="preserve">الحالات: </w:t>
      </w:r>
      <w:r>
        <w:rPr>
          <w:rFonts w:ascii="Arial" w:cs="Arial" w:eastAsia="Arial" w:hAnsi="Arial"/>
          <w:color w:val="0F1B2D"/>
          <w:sz w:val="21"/>
          <w:szCs w:val="21"/>
          <w:rtl/>
        </w:rPr>
        <w:t xml:space="preserve">مأخوذة من قيود CHECK على الجداول ومن الدوال التي تنقل الكيان بين حالاته. يذكر الجدول التالي أين يُفرض كل انتقال: في القاعدة نفسها (لا يتجاوزه أي مسار)، أو في الخادم.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b/>
          <w:bCs/>
          <w:color w:val="0F1B2D"/>
          <w:sz w:val="21"/>
          <w:szCs w:val="21"/>
          <w:rtl/>
        </w:rPr>
        <w:t xml:space="preserve">التسلسل: </w:t>
      </w:r>
      <w:r>
        <w:rPr>
          <w:rFonts w:ascii="Arial" w:cs="Arial" w:eastAsia="Arial" w:hAnsi="Arial"/>
          <w:color w:val="0F1B2D"/>
          <w:sz w:val="21"/>
          <w:szCs w:val="21"/>
          <w:rtl/>
        </w:rPr>
        <w:t xml:space="preserve">الرسائل بين المستخدم والتطبيق والخادم والقاعدة والأنظمة الخارجية، برموز الأخطاء الفعلية.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b/>
          <w:bCs/>
          <w:color w:val="0F1B2D"/>
          <w:sz w:val="21"/>
          <w:szCs w:val="21"/>
          <w:rtl/>
        </w:rPr>
        <w:t xml:space="preserve">النشاط: </w:t>
      </w:r>
      <w:r>
        <w:rPr>
          <w:rFonts w:ascii="Arial" w:cs="Arial" w:eastAsia="Arial" w:hAnsi="Arial"/>
          <w:color w:val="0F1B2D"/>
          <w:sz w:val="21"/>
          <w:szCs w:val="21"/>
          <w:rtl/>
        </w:rPr>
        <w:t xml:space="preserve">خطوات العمل التشغيلية كما يفرضها النظام اليوم. تُكمل مع فرق التشغيل والناقل التجريبي بما يحدث خارج النظام (الأدوار والأوقات والنماذج الورقية).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b/>
          <w:bCs/>
          <w:color w:val="0F1B2D"/>
          <w:sz w:val="21"/>
          <w:szCs w:val="21"/>
          <w:rtl/>
        </w:rPr>
        <w:t xml:space="preserve">اللغة: </w:t>
      </w:r>
      <w:r>
        <w:rPr>
          <w:rFonts w:ascii="Arial" w:cs="Arial" w:eastAsia="Arial" w:hAnsi="Arial"/>
          <w:color w:val="0F1B2D"/>
          <w:sz w:val="21"/>
          <w:szCs w:val="21"/>
          <w:rtl/>
        </w:rPr>
        <w:t xml:space="preserve">نصوص المخططات بالإنجليزية كما في أسماء الكود، وشرحها بالعربية.</w:t>
      </w:r>
    </w:p>
    <w:p>
      <w:pPr>
        <w:pStyle w:val="Heading1"/>
        <w:keepNext/>
        <w:pBdr>
          <w:bottom w:val="single" w:color="0A5BD3" w:sz="10" w:space="4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0B1F3F"/>
          <w:sz w:val="30"/>
          <w:szCs w:val="30"/>
          <w:rtl/>
        </w:rPr>
        <w:t xml:space="preserve">2. مخططات الحالات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1928"/>
        <w:gridCol w:w="2410"/>
        <w:gridCol w:w="4337"/>
      </w:tblGrid>
      <w:tr>
        <w:trPr>
          <w:tblHeader/>
        </w:trPr>
        <w:tc>
          <w:tcPr>
            <w:tcW w:type="dxa" w:w="964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0B1F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المخطط</w:t>
            </w:r>
          </w:p>
        </w:tc>
        <w:tc>
          <w:tcPr>
            <w:tcW w:type="dxa" w:w="192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0B1F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الكيان</w:t>
            </w:r>
          </w:p>
        </w:tc>
        <w:tc>
          <w:tcPr>
            <w:tcW w:type="dxa" w:w="241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0B1F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الجدول</w:t>
            </w:r>
          </w:p>
        </w:tc>
        <w:tc>
          <w:tcPr>
            <w:tcW w:type="dxa" w:w="4337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0B1F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أين يُفرض الانتقال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ST-1</w:t>
            </w:r>
          </w:p>
        </w:tc>
        <w:tc>
          <w:tcPr>
            <w:tcW w:type="dxa" w:w="192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الحجز</w:t>
            </w:r>
          </w:p>
        </w:tc>
        <w:tc>
          <w:tcPr>
            <w:tcW w:type="dxa" w:w="241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sales.booking</w:t>
            </w:r>
          </w:p>
        </w:tc>
        <w:tc>
          <w:tcPr>
            <w:tcW w:type="dxa" w:w="4337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القاعدة: sales.tg_booking_transition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ST-2</w:t>
            </w:r>
          </w:p>
        </w:tc>
        <w:tc>
          <w:tcPr>
            <w:tcW w:type="dxa" w:w="192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التذكرة</w:t>
            </w:r>
          </w:p>
        </w:tc>
        <w:tc>
          <w:tcPr>
            <w:tcW w:type="dxa" w:w="241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sales.ticket</w:t>
            </w:r>
          </w:p>
        </w:tc>
        <w:tc>
          <w:tcPr>
            <w:tcW w:type="dxa" w:w="4337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القاعدة: sales.tg_ticket_transition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ST-3</w:t>
            </w:r>
          </w:p>
        </w:tc>
        <w:tc>
          <w:tcPr>
            <w:tcW w:type="dxa" w:w="192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الدفع</w:t>
            </w:r>
          </w:p>
        </w:tc>
        <w:tc>
          <w:tcPr>
            <w:tcW w:type="dxa" w:w="241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fin.payment</w:t>
            </w:r>
          </w:p>
        </w:tc>
        <w:tc>
          <w:tcPr>
            <w:tcW w:type="dxa" w:w="4337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القاعدة: fin.tg_payment_transition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ST-4</w:t>
            </w:r>
          </w:p>
        </w:tc>
        <w:tc>
          <w:tcPr>
            <w:tcW w:type="dxa" w:w="192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الرحلة</w:t>
            </w:r>
          </w:p>
        </w:tc>
        <w:tc>
          <w:tcPr>
            <w:tcW w:type="dxa" w:w="241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ops.trip</w:t>
            </w:r>
          </w:p>
        </w:tc>
        <w:tc>
          <w:tcPr>
            <w:tcW w:type="dxa" w:w="4337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الخادم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ST-5أ</w:t>
            </w:r>
          </w:p>
        </w:tc>
        <w:tc>
          <w:tcPr>
            <w:tcW w:type="dxa" w:w="192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تغيير سياسة الصورة</w:t>
            </w:r>
          </w:p>
        </w:tc>
        <w:tc>
          <w:tcPr>
            <w:tcW w:type="dxa" w:w="241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iam.photo_policy_change</w:t>
            </w:r>
          </w:p>
        </w:tc>
        <w:tc>
          <w:tcPr>
            <w:tcW w:type="dxa" w:w="4337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دوال القاعدة (1089 إلى 1096)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ST-5ب</w:t>
            </w:r>
          </w:p>
        </w:tc>
        <w:tc>
          <w:tcPr>
            <w:tcW w:type="dxa" w:w="192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قاعدة الصورة</w:t>
            </w:r>
          </w:p>
        </w:tc>
        <w:tc>
          <w:tcPr>
            <w:tcW w:type="dxa" w:w="241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iam.photo_rule</w:t>
            </w:r>
          </w:p>
        </w:tc>
        <w:tc>
          <w:tcPr>
            <w:tcW w:type="dxa" w:w="4337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دوال القاعدة (1087، 1092، 1093)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ST-6أ</w:t>
            </w:r>
          </w:p>
        </w:tc>
        <w:tc>
          <w:tcPr>
            <w:tcW w:type="dxa" w:w="192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منح شركة التشغيل</w:t>
            </w:r>
          </w:p>
        </w:tc>
        <w:tc>
          <w:tcPr>
            <w:tcW w:type="dxa" w:w="241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net.station_operator_grant</w:t>
            </w:r>
          </w:p>
        </w:tc>
        <w:tc>
          <w:tcPr>
            <w:tcW w:type="dxa" w:w="4337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القاعدة: يُعدّل حقلا الإلغاء فقط (1098)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ST-6ب</w:t>
            </w:r>
          </w:p>
        </w:tc>
        <w:tc>
          <w:tcPr>
            <w:tcW w:type="dxa" w:w="192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الرقم المرجعي</w:t>
            </w:r>
          </w:p>
        </w:tc>
        <w:tc>
          <w:tcPr>
            <w:tcW w:type="dxa" w:w="241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net.operation_reference</w:t>
            </w:r>
          </w:p>
        </w:tc>
        <w:tc>
          <w:tcPr>
            <w:tcW w:type="dxa" w:w="4337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القاعدة: يُعدّل حقلا السحب فقط (1097)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ST-7</w:t>
            </w:r>
          </w:p>
        </w:tc>
        <w:tc>
          <w:tcPr>
            <w:tcW w:type="dxa" w:w="192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سحب الشركة</w:t>
            </w:r>
          </w:p>
        </w:tc>
        <w:tc>
          <w:tcPr>
            <w:tcW w:type="dxa" w:w="241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fin.withdrawal_request</w:t>
            </w:r>
          </w:p>
        </w:tc>
        <w:tc>
          <w:tcPr>
            <w:tcW w:type="dxa" w:w="4337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الخادم، وقيد في القاعدة يمنع PAID دون مرجع المصرف والقيد والموافقات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ST-8أ</w:t>
            </w:r>
          </w:p>
        </w:tc>
        <w:tc>
          <w:tcPr>
            <w:tcW w:type="dxa" w:w="192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بيان الرحلة</w:t>
            </w:r>
          </w:p>
        </w:tc>
        <w:tc>
          <w:tcPr>
            <w:tcW w:type="dxa" w:w="241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brd.manifest</w:t>
            </w:r>
          </w:p>
        </w:tc>
        <w:tc>
          <w:tcPr>
            <w:tcW w:type="dxa" w:w="4337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الخادم، وقيد يمنع ISSUED دون البصمة والموقّع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ST-8ب</w:t>
            </w:r>
          </w:p>
        </w:tc>
        <w:tc>
          <w:tcPr>
            <w:tcW w:type="dxa" w:w="192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تسليم البيان لجهة</w:t>
            </w:r>
          </w:p>
        </w:tc>
        <w:tc>
          <w:tcPr>
            <w:tcW w:type="dxa" w:w="241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brd.manifest_delivery</w:t>
            </w:r>
          </w:p>
        </w:tc>
        <w:tc>
          <w:tcPr>
            <w:tcW w:type="dxa" w:w="4337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الخادم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ST-9أ</w:t>
            </w:r>
          </w:p>
        </w:tc>
        <w:tc>
          <w:tcPr>
            <w:tcW w:type="dxa" w:w="192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عرض سعر الطرد</w:t>
            </w:r>
          </w:p>
        </w:tc>
        <w:tc>
          <w:tcPr>
            <w:tcW w:type="dxa" w:w="241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ship.parcel_offer</w:t>
            </w:r>
          </w:p>
        </w:tc>
        <w:tc>
          <w:tcPr>
            <w:tcW w:type="dxa" w:w="4337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الخادم، وقيد يمنع العرض دون سعر وصلاحية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ST-9ب</w:t>
            </w:r>
          </w:p>
        </w:tc>
        <w:tc>
          <w:tcPr>
            <w:tcW w:type="dxa" w:w="192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الشحنة</w:t>
            </w:r>
          </w:p>
        </w:tc>
        <w:tc>
          <w:tcPr>
            <w:tcW w:type="dxa" w:w="241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ship.shipment</w:t>
            </w:r>
          </w:p>
        </w:tc>
        <w:tc>
          <w:tcPr>
            <w:tcW w:type="dxa" w:w="4337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قيم الجدول؛ مسار الطرود ينشئ CREATED، وباقي السلسلة لوحدة الشحن (مغلقة)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ST-10أ</w:t>
            </w:r>
          </w:p>
        </w:tc>
        <w:tc>
          <w:tcPr>
            <w:tcW w:type="dxa" w:w="192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توريد نقد الناقل</w:t>
            </w:r>
          </w:p>
        </w:tc>
        <w:tc>
          <w:tcPr>
            <w:tcW w:type="dxa" w:w="241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fin.cash_remittance</w:t>
            </w:r>
          </w:p>
        </w:tc>
        <w:tc>
          <w:tcPr>
            <w:tcW w:type="dxa" w:w="4337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الخادم، وقيد يمنع CONFIRMED دون قيد ومؤكِّد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ST-10ب</w:t>
            </w:r>
          </w:p>
        </w:tc>
        <w:tc>
          <w:tcPr>
            <w:tcW w:type="dxa" w:w="192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دفعة التسوية</w:t>
            </w:r>
          </w:p>
        </w:tc>
        <w:tc>
          <w:tcPr>
            <w:tcW w:type="dxa" w:w="241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fin.settlement_batch</w:t>
            </w:r>
          </w:p>
        </w:tc>
        <w:tc>
          <w:tcPr>
            <w:tcW w:type="dxa" w:w="4337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الخادم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ST-11</w:t>
            </w:r>
          </w:p>
        </w:tc>
        <w:tc>
          <w:tcPr>
            <w:tcW w:type="dxa" w:w="192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الاسترداد إلى البطاقة</w:t>
            </w:r>
          </w:p>
        </w:tc>
        <w:tc>
          <w:tcPr>
            <w:tcW w:type="dxa" w:w="241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fin.payment_refund</w:t>
            </w:r>
          </w:p>
        </w:tc>
        <w:tc>
          <w:tcPr>
            <w:tcW w:type="dxa" w:w="4337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الخادم، وقيود تربط الحالة بالمرحلة والقيد</w:t>
            </w:r>
          </w:p>
        </w:tc>
      </w:tr>
    </w:tbl>
    <w:p>
      <w:pPr>
        <w:bidi/>
        <w:spacing w:after="120" w:line="300"/>
        <w:jc w:val="right"/>
      </w:pPr>
      <w:r>
        <w:rPr>
          <w:rFonts w:ascii="Arial" w:cs="Arial" w:eastAsia="Arial" w:hAnsi="Arial"/>
          <w:color w:val="0F1B2D"/>
          <w:sz w:val="21"/>
          <w:szCs w:val="21"/>
          <w:rtl/>
        </w:rPr>
        <w:t xml:space="preserve">أي انتقال غير مرسوم ترفضه القاعدة حيث يُفرض فيها (INVALID_TRANSITION)، ويرفضه الخادم في الباقي. والحالات المكتوب بجانبها «table value, no route sets it yet» قيم في الجدول لا يضعها أي مسار بعد، وتُستكمل عند الحاجة.</w:t>
      </w:r>
    </w:p>
    <w:p>
      <w:r>
        <w:br w:type="page"/>
      </w:r>
    </w:p>
    <w:p>
      <w:pPr>
        <w:pStyle w:val="Heading2"/>
        <w:keepNext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0A5BD3"/>
          <w:sz w:val="24"/>
          <w:szCs w:val="24"/>
          <w:rtl/>
        </w:rPr>
        <w:t xml:space="preserve">2.1 ST-1 الحجز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1190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center"/>
      </w:pPr>
      <w:r>
        <w:rPr>
          <w:rFonts w:ascii="Arial" w:cs="Arial" w:eastAsia="Arial" w:hAnsi="Arial"/>
          <w:i/>
          <w:iCs/>
          <w:color w:val="4B5565"/>
          <w:sz w:val="18"/>
          <w:szCs w:val="18"/>
          <w:rtl/>
        </w:rPr>
        <w:t xml:space="preserve">ST-1: حالات الحجز</w:t>
      </w:r>
    </w:p>
    <w:p>
      <w:pPr>
        <w:pStyle w:val="Heading2"/>
        <w:keepNext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0A5BD3"/>
          <w:sz w:val="24"/>
          <w:szCs w:val="24"/>
          <w:rtl/>
        </w:rPr>
        <w:t xml:space="preserve">2.2 ST-2 التذكرة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1685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center"/>
      </w:pPr>
      <w:r>
        <w:rPr>
          <w:rFonts w:ascii="Arial" w:cs="Arial" w:eastAsia="Arial" w:hAnsi="Arial"/>
          <w:i/>
          <w:iCs/>
          <w:color w:val="4B5565"/>
          <w:sz w:val="18"/>
          <w:szCs w:val="18"/>
          <w:rtl/>
        </w:rPr>
        <w:t xml:space="preserve">ST-2: حالات التذكرة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color w:val="0F1B2D"/>
          <w:sz w:val="21"/>
          <w:szCs w:val="21"/>
          <w:rtl/>
        </w:rPr>
        <w:t xml:space="preserve">التذكرة HOLD تخص حجزاً لم يُدفع: تصبح ISSUED عند الدفع، وCANCELLED عند انقضاء الموعد. والانتقال من ISSUED إلى HOLD تسمح به القاعدة، ويُراجع استعماله.</w:t>
      </w:r>
    </w:p>
    <w:p>
      <w:pPr>
        <w:pStyle w:val="Heading2"/>
        <w:keepNext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0A5BD3"/>
          <w:sz w:val="24"/>
          <w:szCs w:val="24"/>
          <w:rtl/>
        </w:rPr>
        <w:t xml:space="preserve">2.3 ST-3 الدفع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714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center"/>
      </w:pPr>
      <w:r>
        <w:rPr>
          <w:rFonts w:ascii="Arial" w:cs="Arial" w:eastAsia="Arial" w:hAnsi="Arial"/>
          <w:i/>
          <w:iCs/>
          <w:color w:val="4B5565"/>
          <w:sz w:val="18"/>
          <w:szCs w:val="18"/>
          <w:rtl/>
        </w:rPr>
        <w:t xml:space="preserve">ST-3: حالات الدفع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color w:val="0F1B2D"/>
          <w:sz w:val="21"/>
          <w:szCs w:val="21"/>
          <w:rtl/>
        </w:rPr>
        <w:t xml:space="preserve">يصبح الدفع SUCCESS فقط مع إشعار موقّع من المزود وقيد في الدفتر. والانتقال من FAILED إلى SUCCESS لدفع متأخر من المزود بعد انتهاء المهلة فقط.</w:t>
      </w:r>
    </w:p>
    <w:p>
      <w:pPr>
        <w:pStyle w:val="Heading2"/>
        <w:keepNext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0A5BD3"/>
          <w:sz w:val="24"/>
          <w:szCs w:val="24"/>
          <w:rtl/>
        </w:rPr>
        <w:t xml:space="preserve">2.4 ST-4 الرحلة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819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center"/>
      </w:pPr>
      <w:r>
        <w:rPr>
          <w:rFonts w:ascii="Arial" w:cs="Arial" w:eastAsia="Arial" w:hAnsi="Arial"/>
          <w:i/>
          <w:iCs/>
          <w:color w:val="4B5565"/>
          <w:sz w:val="18"/>
          <w:szCs w:val="18"/>
          <w:rtl/>
        </w:rPr>
        <w:t xml:space="preserve">ST-4: حالات الرحلة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color w:val="0F1B2D"/>
          <w:sz w:val="21"/>
          <w:szCs w:val="21"/>
          <w:rtl/>
        </w:rPr>
        <w:t xml:space="preserve">أول مسح صعود ناجح ينقل الرحلة من PUBLISHED إلى BOARDING، ولا تُعرض صورة المسافر إلا في هذه الحالة.</w:t>
      </w:r>
    </w:p>
    <w:p>
      <w:r>
        <w:br w:type="page"/>
      </w:r>
    </w:p>
    <w:p>
      <w:pPr>
        <w:pStyle w:val="Heading2"/>
        <w:keepNext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0A5BD3"/>
          <w:sz w:val="24"/>
          <w:szCs w:val="24"/>
          <w:rtl/>
        </w:rPr>
        <w:t xml:space="preserve">2.5 ST-5 سياسة الصورة وقاعدتها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1495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center"/>
      </w:pPr>
      <w:r>
        <w:rPr>
          <w:rFonts w:ascii="Arial" w:cs="Arial" w:eastAsia="Arial" w:hAnsi="Arial"/>
          <w:i/>
          <w:iCs/>
          <w:color w:val="4B5565"/>
          <w:sz w:val="18"/>
          <w:szCs w:val="18"/>
          <w:rtl/>
        </w:rPr>
        <w:t xml:space="preserve">ST-5أ: تغيير في سياسة الصورة أو إعداداتها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657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center"/>
      </w:pPr>
      <w:r>
        <w:rPr>
          <w:rFonts w:ascii="Arial" w:cs="Arial" w:eastAsia="Arial" w:hAnsi="Arial"/>
          <w:i/>
          <w:iCs/>
          <w:color w:val="4B5565"/>
          <w:sz w:val="18"/>
          <w:szCs w:val="18"/>
          <w:rtl/>
        </w:rPr>
        <w:t xml:space="preserve">ST-5ب: قاعدة الصورة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color w:val="0F1B2D"/>
          <w:sz w:val="21"/>
          <w:szCs w:val="21"/>
          <w:rtl/>
        </w:rPr>
        <w:t xml:space="preserve">لا يعتمد سحبَ قاعدة معتمدة من اقترحها أو اعتمدها نهائياً أو طلب سحبها (FOUR_EYES).</w:t>
      </w:r>
    </w:p>
    <w:p>
      <w:pPr>
        <w:pStyle w:val="Heading2"/>
        <w:keepNext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0A5BD3"/>
          <w:sz w:val="24"/>
          <w:szCs w:val="24"/>
          <w:rtl/>
        </w:rPr>
        <w:t xml:space="preserve">2.6 ST-6 منح شركة التشغيل والرقم المرجعي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514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center"/>
      </w:pPr>
      <w:r>
        <w:rPr>
          <w:rFonts w:ascii="Arial" w:cs="Arial" w:eastAsia="Arial" w:hAnsi="Arial"/>
          <w:i/>
          <w:iCs/>
          <w:color w:val="4B5565"/>
          <w:sz w:val="18"/>
          <w:szCs w:val="18"/>
          <w:rtl/>
        </w:rPr>
        <w:t xml:space="preserve">ST-6أ: منح شركة التشغيل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542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center"/>
      </w:pPr>
      <w:r>
        <w:rPr>
          <w:rFonts w:ascii="Arial" w:cs="Arial" w:eastAsia="Arial" w:hAnsi="Arial"/>
          <w:i/>
          <w:iCs/>
          <w:color w:val="4B5565"/>
          <w:sz w:val="18"/>
          <w:szCs w:val="18"/>
          <w:rtl/>
        </w:rPr>
        <w:t xml:space="preserve">ST-6ب: الرقم المرجعي</w:t>
      </w:r>
    </w:p>
    <w:p>
      <w:pPr>
        <w:pStyle w:val="Heading2"/>
        <w:keepNext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0A5BD3"/>
          <w:sz w:val="24"/>
          <w:szCs w:val="24"/>
          <w:rtl/>
        </w:rPr>
        <w:t xml:space="preserve">2.7 ST-7 سحب الشركة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1362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center"/>
      </w:pPr>
      <w:r>
        <w:rPr>
          <w:rFonts w:ascii="Arial" w:cs="Arial" w:eastAsia="Arial" w:hAnsi="Arial"/>
          <w:i/>
          <w:iCs/>
          <w:color w:val="4B5565"/>
          <w:sz w:val="18"/>
          <w:szCs w:val="18"/>
          <w:rtl/>
        </w:rPr>
        <w:t xml:space="preserve">ST-7: طلب سحب رصيد الشركة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color w:val="0F1B2D"/>
          <w:sz w:val="21"/>
          <w:szCs w:val="21"/>
          <w:rtl/>
        </w:rPr>
        <w:t xml:space="preserve">يعتمد الطلبَ موظف مالية غير صاحب الطلب، وفوق الحد يلزم معتمد ثانٍ مختلف، ويدفعه موظف ثالث ليس صاحب الطلب ولا أحد المعتمدين.</w:t>
      </w:r>
    </w:p>
    <w:p>
      <w:r>
        <w:br w:type="page"/>
      </w:r>
    </w:p>
    <w:p>
      <w:pPr>
        <w:pStyle w:val="Heading2"/>
        <w:keepNext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0A5BD3"/>
          <w:sz w:val="24"/>
          <w:szCs w:val="24"/>
          <w:rtl/>
        </w:rPr>
        <w:t xml:space="preserve">2.8 ST-8 بيان الرحلة وتسليمه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1819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center"/>
      </w:pPr>
      <w:r>
        <w:rPr>
          <w:rFonts w:ascii="Arial" w:cs="Arial" w:eastAsia="Arial" w:hAnsi="Arial"/>
          <w:i/>
          <w:iCs/>
          <w:color w:val="4B5565"/>
          <w:sz w:val="18"/>
          <w:szCs w:val="18"/>
          <w:rtl/>
        </w:rPr>
        <w:t xml:space="preserve">ST-8أ: بيان الرحلة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1343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center"/>
      </w:pPr>
      <w:r>
        <w:rPr>
          <w:rFonts w:ascii="Arial" w:cs="Arial" w:eastAsia="Arial" w:hAnsi="Arial"/>
          <w:i/>
          <w:iCs/>
          <w:color w:val="4B5565"/>
          <w:sz w:val="18"/>
          <w:szCs w:val="18"/>
          <w:rtl/>
        </w:rPr>
        <w:t xml:space="preserve">ST-8ب: تسليم البيان إلى جهة واحدة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color w:val="0F1B2D"/>
          <w:sz w:val="21"/>
          <w:szCs w:val="21"/>
          <w:rtl/>
        </w:rPr>
        <w:t xml:space="preserve">يُبنى البيان من التذاكر ويُوقَّع ببصمة محتواه. البيان الموجّه إلى جهة حدودية يصبح SUBMITTED ويُنتظر جوابها؛ وتعديل البيان يُصدر نسخة جديدة ويجعل السابقة SUPERSEDED.</w:t>
      </w:r>
    </w:p>
    <w:p>
      <w:pPr>
        <w:pStyle w:val="Heading2"/>
        <w:keepNext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0A5BD3"/>
          <w:sz w:val="24"/>
          <w:szCs w:val="24"/>
          <w:rtl/>
        </w:rPr>
        <w:t xml:space="preserve">2.9 ST-9 الطرد والشحنة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1438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center"/>
      </w:pPr>
      <w:r>
        <w:rPr>
          <w:rFonts w:ascii="Arial" w:cs="Arial" w:eastAsia="Arial" w:hAnsi="Arial"/>
          <w:i/>
          <w:iCs/>
          <w:color w:val="4B5565"/>
          <w:sz w:val="18"/>
          <w:szCs w:val="18"/>
          <w:rtl/>
        </w:rPr>
        <w:t xml:space="preserve">ST-9أ: عرض سعر الطرد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69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center"/>
      </w:pPr>
      <w:r>
        <w:rPr>
          <w:rFonts w:ascii="Arial" w:cs="Arial" w:eastAsia="Arial" w:hAnsi="Arial"/>
          <w:i/>
          <w:iCs/>
          <w:color w:val="4B5565"/>
          <w:sz w:val="18"/>
          <w:szCs w:val="18"/>
          <w:rtl/>
        </w:rPr>
        <w:t xml:space="preserve">ST-9ب: حالات الشحنة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color w:val="0F1B2D"/>
          <w:sz w:val="21"/>
          <w:szCs w:val="21"/>
          <w:rtl/>
        </w:rPr>
        <w:t xml:space="preserve">حجز الطرد ينشئ الشحنة CREATED ومقطعها على الرحلة، وتمنع القاعدة تجاوز سعة العنبر (1067). وباقي الحالات لسلسلة الشحن الكاملة، وهي بيانات فقط اليوم.</w:t>
      </w:r>
    </w:p>
    <w:p>
      <w:r>
        <w:br w:type="page"/>
      </w:r>
    </w:p>
    <w:p>
      <w:pPr>
        <w:pStyle w:val="Heading2"/>
        <w:keepNext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0A5BD3"/>
          <w:sz w:val="24"/>
          <w:szCs w:val="24"/>
          <w:rtl/>
        </w:rPr>
        <w:t xml:space="preserve">2.10 ST-10 توريد النقد ودفعة التسوية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1152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center"/>
      </w:pPr>
      <w:r>
        <w:rPr>
          <w:rFonts w:ascii="Arial" w:cs="Arial" w:eastAsia="Arial" w:hAnsi="Arial"/>
          <w:i/>
          <w:iCs/>
          <w:color w:val="4B5565"/>
          <w:sz w:val="18"/>
          <w:szCs w:val="18"/>
          <w:rtl/>
        </w:rPr>
        <w:t xml:space="preserve">ST-10أ: توريد نقد الناقل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923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center"/>
      </w:pPr>
      <w:r>
        <w:rPr>
          <w:rFonts w:ascii="Arial" w:cs="Arial" w:eastAsia="Arial" w:hAnsi="Arial"/>
          <w:i/>
          <w:iCs/>
          <w:color w:val="4B5565"/>
          <w:sz w:val="18"/>
          <w:szCs w:val="18"/>
          <w:rtl/>
        </w:rPr>
        <w:t xml:space="preserve">ST-10ب: دفعة التسوية</w:t>
      </w:r>
    </w:p>
    <w:p>
      <w:pPr>
        <w:pStyle w:val="Heading2"/>
        <w:keepNext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0A5BD3"/>
          <w:sz w:val="24"/>
          <w:szCs w:val="24"/>
          <w:rtl/>
        </w:rPr>
        <w:t xml:space="preserve">2.11 ST-11 الاسترداد إلى البطاقة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1390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center"/>
      </w:pPr>
      <w:r>
        <w:rPr>
          <w:rFonts w:ascii="Arial" w:cs="Arial" w:eastAsia="Arial" w:hAnsi="Arial"/>
          <w:i/>
          <w:iCs/>
          <w:color w:val="4B5565"/>
          <w:sz w:val="18"/>
          <w:szCs w:val="18"/>
          <w:rtl/>
        </w:rPr>
        <w:t xml:space="preserve">ST-11: الاسترداد إلى البطاقة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color w:val="0F1B2D"/>
          <w:sz w:val="21"/>
          <w:szCs w:val="21"/>
          <w:rtl/>
        </w:rPr>
        <w:t xml:space="preserve">يُحجز المبلغ أولاً، ويُرسل إلى المزود بمفتاح واحد. لا يُقيد إلا عند قبول المزود، ويتحرر الحجز عند الرفض. وإن لم يجب المزود تعيد المالية الإرسال مرة.</w:t>
      </w:r>
    </w:p>
    <w:p>
      <w:r>
        <w:br w:type="page"/>
      </w:r>
    </w:p>
    <w:p>
      <w:pPr>
        <w:pStyle w:val="Heading1"/>
        <w:keepNext/>
        <w:pBdr>
          <w:bottom w:val="single" w:color="0A5BD3" w:sz="10" w:space="4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0B1F3F"/>
          <w:sz w:val="30"/>
          <w:szCs w:val="30"/>
          <w:rtl/>
        </w:rPr>
        <w:t xml:space="preserve">3. مخططات التسلسل</w:t>
      </w:r>
    </w:p>
    <w:p>
      <w:pPr>
        <w:pStyle w:val="Heading2"/>
        <w:keepNext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0A5BD3"/>
          <w:sz w:val="24"/>
          <w:szCs w:val="24"/>
          <w:rtl/>
        </w:rPr>
        <w:t xml:space="preserve">3.1 SQ-1 الحجز والدفع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center"/>
      </w:pPr>
      <w:r>
        <w:rPr>
          <w:rFonts w:ascii="Arial" w:cs="Arial" w:eastAsia="Arial" w:hAnsi="Arial"/>
          <w:i/>
          <w:iCs/>
          <w:color w:val="4B5565"/>
          <w:sz w:val="18"/>
          <w:szCs w:val="18"/>
          <w:rtl/>
        </w:rPr>
        <w:t xml:space="preserve">SQ-1: الحجز، مدفوعاً فوراً أو بانتظار الدفع</w:t>
      </w:r>
    </w:p>
    <w:p>
      <w:pPr>
        <w:pStyle w:val="Heading2"/>
        <w:keepNext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0A5BD3"/>
          <w:sz w:val="24"/>
          <w:szCs w:val="24"/>
          <w:rtl/>
        </w:rPr>
        <w:t xml:space="preserve">3.2 SQ-2 مسح الصعود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92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center"/>
      </w:pPr>
      <w:r>
        <w:rPr>
          <w:rFonts w:ascii="Arial" w:cs="Arial" w:eastAsia="Arial" w:hAnsi="Arial"/>
          <w:i/>
          <w:iCs/>
          <w:color w:val="4B5565"/>
          <w:sz w:val="18"/>
          <w:szCs w:val="18"/>
          <w:rtl/>
        </w:rPr>
        <w:t xml:space="preserve">SQ-2: مسح الصعود من السائق</w:t>
      </w:r>
    </w:p>
    <w:p>
      <w:r>
        <w:br w:type="page"/>
      </w:r>
    </w:p>
    <w:p>
      <w:pPr>
        <w:pStyle w:val="Heading2"/>
        <w:keepNext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0A5BD3"/>
          <w:sz w:val="24"/>
          <w:szCs w:val="24"/>
          <w:rtl/>
        </w:rPr>
        <w:t xml:space="preserve">3.3 SQ-3 تغيير إعداد للصورة بالمراحل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center"/>
      </w:pPr>
      <w:r>
        <w:rPr>
          <w:rFonts w:ascii="Arial" w:cs="Arial" w:eastAsia="Arial" w:hAnsi="Arial"/>
          <w:i/>
          <w:iCs/>
          <w:color w:val="4B5565"/>
          <w:sz w:val="18"/>
          <w:szCs w:val="18"/>
          <w:rtl/>
        </w:rPr>
        <w:t xml:space="preserve">SQ-3: تغيير إعداد للصورة</w:t>
      </w:r>
    </w:p>
    <w:p>
      <w:pPr>
        <w:pStyle w:val="Heading2"/>
        <w:keepNext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0A5BD3"/>
          <w:sz w:val="24"/>
          <w:szCs w:val="24"/>
          <w:rtl/>
        </w:rPr>
        <w:t xml:space="preserve">3.4 SQ-4 صلاحيات شركة التشغيل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264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center"/>
      </w:pPr>
      <w:r>
        <w:rPr>
          <w:rFonts w:ascii="Arial" w:cs="Arial" w:eastAsia="Arial" w:hAnsi="Arial"/>
          <w:i/>
          <w:iCs/>
          <w:color w:val="4B5565"/>
          <w:sz w:val="18"/>
          <w:szCs w:val="18"/>
          <w:rtl/>
        </w:rPr>
        <w:t xml:space="preserve">SQ-4: صلاحيات شركة التشغيل في محطة</w:t>
      </w:r>
    </w:p>
    <w:p>
      <w:r>
        <w:br w:type="page"/>
      </w:r>
    </w:p>
    <w:p>
      <w:pPr>
        <w:pStyle w:val="Heading2"/>
        <w:keepNext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0A5BD3"/>
          <w:sz w:val="24"/>
          <w:szCs w:val="24"/>
          <w:rtl/>
        </w:rPr>
        <w:t xml:space="preserve">3.5 SQ-5 الإلغاء والاسترداد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4086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center"/>
      </w:pPr>
      <w:r>
        <w:rPr>
          <w:rFonts w:ascii="Arial" w:cs="Arial" w:eastAsia="Arial" w:hAnsi="Arial"/>
          <w:i/>
          <w:iCs/>
          <w:color w:val="4B5565"/>
          <w:sz w:val="18"/>
          <w:szCs w:val="18"/>
          <w:rtl/>
        </w:rPr>
        <w:t xml:space="preserve">SQ-5: الإلغاء والاسترداد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color w:val="0F1B2D"/>
          <w:sz w:val="21"/>
          <w:szCs w:val="21"/>
          <w:rtl/>
        </w:rPr>
        <w:t xml:space="preserve">يُحسب المسترد لكل تذكرة من جدول فئة السعر المحفوظ في الحجز والساعات الباقية قبل المغادرة؛ وما لا يُسترد يبقى للناقل رسمَ إلغاء.</w:t>
      </w:r>
    </w:p>
    <w:p>
      <w:pPr>
        <w:pStyle w:val="Heading2"/>
        <w:keepNext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0A5BD3"/>
          <w:sz w:val="24"/>
          <w:szCs w:val="24"/>
          <w:rtl/>
        </w:rPr>
        <w:t xml:space="preserve">3.6 SQ-6 إصدار بيان الرحلة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2933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center"/>
      </w:pPr>
      <w:r>
        <w:rPr>
          <w:rFonts w:ascii="Arial" w:cs="Arial" w:eastAsia="Arial" w:hAnsi="Arial"/>
          <w:i/>
          <w:iCs/>
          <w:color w:val="4B5565"/>
          <w:sz w:val="18"/>
          <w:szCs w:val="18"/>
          <w:rtl/>
        </w:rPr>
        <w:t xml:space="preserve">SQ-6: إصدار بيان الرحلة وتأكيد استلامه</w:t>
      </w:r>
    </w:p>
    <w:p>
      <w:r>
        <w:br w:type="page"/>
      </w:r>
    </w:p>
    <w:p>
      <w:pPr>
        <w:pStyle w:val="Heading2"/>
        <w:keepNext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0A5BD3"/>
          <w:sz w:val="24"/>
          <w:szCs w:val="24"/>
          <w:rtl/>
        </w:rPr>
        <w:t xml:space="preserve">3.7 SQ-7 سحب الشركة بمعتمدَين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216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center"/>
      </w:pPr>
      <w:r>
        <w:rPr>
          <w:rFonts w:ascii="Arial" w:cs="Arial" w:eastAsia="Arial" w:hAnsi="Arial"/>
          <w:i/>
          <w:iCs/>
          <w:color w:val="4B5565"/>
          <w:sz w:val="18"/>
          <w:szCs w:val="18"/>
          <w:rtl/>
        </w:rPr>
        <w:t xml:space="preserve">SQ-7: سحب رصيد الشركة بفصل المهام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color w:val="0F1B2D"/>
          <w:sz w:val="21"/>
          <w:szCs w:val="21"/>
          <w:rtl/>
        </w:rPr>
        <w:t xml:space="preserve">أربعة أشخاص مختلفين على الأقل فوق الحد: صاحب الطلب، والمعتمد الأول، والمعتمد الثاني، ومن يدفع. ويُرفض أي خلط بينهم برمز FOUR_EYES.</w:t>
      </w:r>
    </w:p>
    <w:p>
      <w:r>
        <w:br w:type="page"/>
      </w:r>
    </w:p>
    <w:p>
      <w:pPr>
        <w:pStyle w:val="Heading1"/>
        <w:keepNext/>
        <w:pBdr>
          <w:bottom w:val="single" w:color="0A5BD3" w:sz="10" w:space="4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0B1F3F"/>
          <w:sz w:val="30"/>
          <w:szCs w:val="30"/>
          <w:rtl/>
        </w:rPr>
        <w:t xml:space="preserve">4. مخططات النشاط: العمليات التشغيلية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color w:val="0F1B2D"/>
          <w:sz w:val="21"/>
          <w:szCs w:val="21"/>
          <w:rtl/>
        </w:rPr>
        <w:t xml:space="preserve">كل مخطط عملية يومية كما يفرضها النظام. ما يحدث خارج النظام (من يتسلم النقد، وكيف يُحفظ، ومتى يُورَّد) يُكمل مع فرق التشغيل في إجراءات مكتوبة.</w:t>
      </w:r>
    </w:p>
    <w:p>
      <w:pPr>
        <w:pStyle w:val="Heading2"/>
        <w:keepNext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0A5BD3"/>
          <w:sz w:val="24"/>
          <w:szCs w:val="24"/>
          <w:rtl/>
        </w:rPr>
        <w:t xml:space="preserve">4.1 AC-1 البيع النقدي في الكاونتر وتوريد النقد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438525" cy="609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center"/>
      </w:pPr>
      <w:r>
        <w:rPr>
          <w:rFonts w:ascii="Arial" w:cs="Arial" w:eastAsia="Arial" w:hAnsi="Arial"/>
          <w:i/>
          <w:iCs/>
          <w:color w:val="4B5565"/>
          <w:sz w:val="18"/>
          <w:szCs w:val="18"/>
          <w:rtl/>
        </w:rPr>
        <w:t xml:space="preserve">AC-1: البيع النقدي وتوريد النقد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2410"/>
        <w:gridCol w:w="5783"/>
      </w:tblGrid>
      <w:tr>
        <w:trPr>
          <w:tblHeader/>
        </w:trPr>
        <w:tc>
          <w:tcPr>
            <w:tcW w:type="dxa" w:w="144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0B1F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الخطوة</w:t>
            </w:r>
          </w:p>
        </w:tc>
        <w:tc>
          <w:tcPr>
            <w:tcW w:type="dxa" w:w="241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0B1F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من</w:t>
            </w:r>
          </w:p>
        </w:tc>
        <w:tc>
          <w:tcPr>
            <w:tcW w:type="dxa" w:w="5783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0B1F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يفرضه النظام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البيع</w:t>
            </w:r>
          </w:p>
        </w:tc>
        <w:tc>
          <w:tcPr>
            <w:tcW w:type="dxa" w:w="241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موظف كاونتر الناقل</w:t>
            </w:r>
          </w:p>
        </w:tc>
        <w:tc>
          <w:tcPr>
            <w:tcW w:type="dxa" w:w="5783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الخيار النقدي مفتوح لقناة الكاونتر، والناقل تحت حد النقد الذي تضعه المنصة له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الدين</w:t>
            </w:r>
          </w:p>
        </w:tc>
        <w:tc>
          <w:tcPr>
            <w:tcW w:type="dxa" w:w="241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5783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كل بيع نقدي يزيد ما يدين به الناقل للمنصة، ويظهر في تقرير عمر النقد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التوريد</w:t>
            </w:r>
          </w:p>
        </w:tc>
        <w:tc>
          <w:tcPr>
            <w:tcW w:type="dxa" w:w="241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مالية المنصة</w:t>
            </w:r>
          </w:p>
        </w:tc>
        <w:tc>
          <w:tcPr>
            <w:tcW w:type="dxa" w:w="5783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تسجيل التوريد بما لا يزيد عن الدين، وتأكيده أو رفضه من موظف آخر</w:t>
            </w:r>
          </w:p>
        </w:tc>
      </w:tr>
    </w:tbl>
    <w:p>
      <w:r>
        <w:br w:type="page"/>
      </w:r>
    </w:p>
    <w:p>
      <w:pPr>
        <w:pStyle w:val="Heading2"/>
        <w:keepNext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0A5BD3"/>
          <w:sz w:val="24"/>
          <w:szCs w:val="24"/>
          <w:rtl/>
        </w:rPr>
        <w:t xml:space="preserve">4.2 AC-2 الصعود عند باب الحافلة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467225" cy="819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center"/>
      </w:pPr>
      <w:r>
        <w:rPr>
          <w:rFonts w:ascii="Arial" w:cs="Arial" w:eastAsia="Arial" w:hAnsi="Arial"/>
          <w:i/>
          <w:iCs/>
          <w:color w:val="4B5565"/>
          <w:sz w:val="18"/>
          <w:szCs w:val="18"/>
          <w:rtl/>
        </w:rPr>
        <w:t xml:space="preserve">AC-2: الصعود عند الباب، متصلاً أو دون اتصال</w:t>
      </w:r>
    </w:p>
    <w:p>
      <w:r>
        <w:br w:type="page"/>
      </w:r>
    </w:p>
    <w:p>
      <w:pPr>
        <w:pStyle w:val="Heading2"/>
        <w:keepNext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0A5BD3"/>
          <w:sz w:val="24"/>
          <w:szCs w:val="24"/>
          <w:rtl/>
        </w:rPr>
        <w:t xml:space="preserve">4.3 AC-3 الحجز الآن والدفع لاحقاً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732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732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center"/>
      </w:pPr>
      <w:r>
        <w:rPr>
          <w:rFonts w:ascii="Arial" w:cs="Arial" w:eastAsia="Arial" w:hAnsi="Arial"/>
          <w:i/>
          <w:iCs/>
          <w:color w:val="4B5565"/>
          <w:sz w:val="18"/>
          <w:szCs w:val="18"/>
          <w:rtl/>
        </w:rPr>
        <w:t xml:space="preserve">AC-3: دورة الحجز المؤجل الدفع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color w:val="0F1B2D"/>
          <w:sz w:val="21"/>
          <w:szCs w:val="21"/>
          <w:rtl/>
        </w:rPr>
        <w:t xml:space="preserve">القيم الافتراضية: مدة الحجز 24 ساعة، والتوقف 120 دقيقة قبل المغادرة، وحجزان مفتوحان على الأكثر لكل مسافر؛ وكلها إعدادات تضبطها المنصة.</w:t>
      </w:r>
    </w:p>
    <w:p>
      <w:r>
        <w:br w:type="page"/>
      </w:r>
    </w:p>
    <w:p>
      <w:pPr>
        <w:pStyle w:val="Heading2"/>
        <w:keepNext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0A5BD3"/>
          <w:sz w:val="24"/>
          <w:szCs w:val="24"/>
          <w:rtl/>
        </w:rPr>
        <w:t xml:space="preserve">4.4 AC-4 تسجيل ناقل حتى نشر أول رحلة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429125" cy="819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center"/>
      </w:pPr>
      <w:r>
        <w:rPr>
          <w:rFonts w:ascii="Arial" w:cs="Arial" w:eastAsia="Arial" w:hAnsi="Arial"/>
          <w:i/>
          <w:iCs/>
          <w:color w:val="4B5565"/>
          <w:sz w:val="18"/>
          <w:szCs w:val="18"/>
          <w:rtl/>
        </w:rPr>
        <w:t xml:space="preserve">AC-4: من التسجيل إلى نشر أول رحلة</w:t>
      </w:r>
    </w:p>
    <w:p>
      <w:r>
        <w:br w:type="page"/>
      </w:r>
    </w:p>
    <w:p>
      <w:pPr>
        <w:pStyle w:val="Heading2"/>
        <w:keepNext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0A5BD3"/>
          <w:sz w:val="24"/>
          <w:szCs w:val="24"/>
          <w:rtl/>
        </w:rPr>
        <w:t xml:space="preserve">4.5 AC-5 تغيير في سياسة الصورة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543425" cy="819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center"/>
      </w:pPr>
      <w:r>
        <w:rPr>
          <w:rFonts w:ascii="Arial" w:cs="Arial" w:eastAsia="Arial" w:hAnsi="Arial"/>
          <w:i/>
          <w:iCs/>
          <w:color w:val="4B5565"/>
          <w:sz w:val="18"/>
          <w:szCs w:val="18"/>
          <w:rtl/>
        </w:rPr>
        <w:t xml:space="preserve">AC-5: تغيير في سياسة الصورة بمراحله</w:t>
      </w:r>
    </w:p>
    <w:p>
      <w:r>
        <w:br w:type="page"/>
      </w:r>
    </w:p>
    <w:p>
      <w:pPr>
        <w:pStyle w:val="Heading2"/>
        <w:keepNext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0A5BD3"/>
          <w:sz w:val="24"/>
          <w:szCs w:val="24"/>
          <w:rtl/>
        </w:rPr>
        <w:t xml:space="preserve">4.6 AC-6 الإقفال المالي اليومي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962400" cy="819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center"/>
      </w:pPr>
      <w:r>
        <w:rPr>
          <w:rFonts w:ascii="Arial" w:cs="Arial" w:eastAsia="Arial" w:hAnsi="Arial"/>
          <w:i/>
          <w:iCs/>
          <w:color w:val="4B5565"/>
          <w:sz w:val="18"/>
          <w:szCs w:val="18"/>
          <w:rtl/>
        </w:rPr>
        <w:t xml:space="preserve">AC-6: الإقفال المالي اليومي</w:t>
      </w:r>
    </w:p>
    <w:p>
      <w:r>
        <w:br w:type="page"/>
      </w:r>
    </w:p>
    <w:p>
      <w:pPr>
        <w:pStyle w:val="Heading1"/>
        <w:keepNext/>
        <w:pBdr>
          <w:bottom w:val="single" w:color="0A5BD3" w:sz="10" w:space="4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0B1F3F"/>
          <w:sz w:val="30"/>
          <w:szCs w:val="30"/>
          <w:rtl/>
        </w:rPr>
        <w:t xml:space="preserve">5. ما يبقى للنمذجة مع فرق التشغيل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3855"/>
        <w:gridCol w:w="2891"/>
      </w:tblGrid>
      <w:tr>
        <w:trPr>
          <w:tblHeader/>
        </w:trPr>
        <w:tc>
          <w:tcPr>
            <w:tcW w:type="dxa" w:w="2891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0B1F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العملية</w:t>
            </w:r>
          </w:p>
        </w:tc>
        <w:tc>
          <w:tcPr>
            <w:tcW w:type="dxa" w:w="3855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0B1F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لماذا لم تُرسم هنا</w:t>
            </w:r>
          </w:p>
        </w:tc>
        <w:tc>
          <w:tcPr>
            <w:tcW w:type="dxa" w:w="2891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0B1F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من يعدّها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الحوادث والاستغاثة</w:t>
            </w:r>
          </w:p>
        </w:tc>
        <w:tc>
          <w:tcPr>
            <w:tcW w:type="dxa" w:w="3855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جداولها قائمة ولا مسار لها في التطبيقات بعد</w:t>
            </w:r>
          </w:p>
        </w:tc>
        <w:tc>
          <w:tcPr>
            <w:tcW w:type="dxa" w:w="2891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الجهة المختصة مع فريق العمليات والجهات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فحص الكاونتر في المحطة وطباعة بطاقة الصعود</w:t>
            </w:r>
          </w:p>
        </w:tc>
        <w:tc>
          <w:tcPr>
            <w:tcW w:type="dxa" w:w="3855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الخطوة 3 من بناء المحطات، تُرسم عند بنائها</w:t>
            </w:r>
          </w:p>
        </w:tc>
        <w:tc>
          <w:tcPr>
            <w:tcW w:type="dxa" w:w="2891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فريق التنفيذ مع شركة التشغيل الأولى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عرض البوابات على شاشات المحطة</w:t>
            </w:r>
          </w:p>
        </w:tc>
        <w:tc>
          <w:tcPr>
            <w:tcW w:type="dxa" w:w="3855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الخطوة 4 من بناء المحطات</w:t>
            </w:r>
          </w:p>
        </w:tc>
        <w:tc>
          <w:tcPr>
            <w:tcW w:type="dxa" w:w="2891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فريق التنفيذ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معالجة الشكوى حتى التعويض</w:t>
            </w:r>
          </w:p>
        </w:tc>
        <w:tc>
          <w:tcPr>
            <w:tcW w:type="dxa" w:w="3855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المسار مبني جزئياً؛ قرار التعويض ليس خطوة مستقلة</w:t>
            </w:r>
          </w:p>
        </w:tc>
        <w:tc>
          <w:tcPr>
            <w:tcW w:type="dxa" w:w="2891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فريق الدعم والمالية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إلغاء الناقل لرحلة وتعويض المسافرين</w:t>
            </w:r>
          </w:p>
        </w:tc>
        <w:tc>
          <w:tcPr>
            <w:tcW w:type="dxa" w:w="3855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لا مسار له في الخادم</w:t>
            </w:r>
          </w:p>
        </w:tc>
        <w:tc>
          <w:tcPr>
            <w:tcW w:type="dxa" w:w="2891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الجهة المختصة مع الناقل التجريبي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تسليم الشحنة وإثباته</w:t>
            </w:r>
          </w:p>
        </w:tc>
        <w:tc>
          <w:tcPr>
            <w:tcW w:type="dxa" w:w="3855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وحدة الشحن مغلقة، وبيانات فقط</w:t>
            </w:r>
          </w:p>
        </w:tc>
        <w:tc>
          <w:tcPr>
            <w:tcW w:type="dxa" w:w="2891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عند فتح مرحلة الشحن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B5565"/>
        <w:sz w:val="16"/>
        <w:szCs w:val="16"/>
        <w:rtl/>
      </w:rPr>
      <w:t xml:space="preserve">صفحة </w:t>
    </w:r>
    <w:r>
      <w:rPr>
        <w:rFonts w:ascii="Arial" w:cs="Arial" w:eastAsia="Arial" w:hAnsi="Arial"/>
        <w:color w:val="4B556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spacing w:after="0" w:line="300"/>
      <w:jc w:val="right"/>
    </w:pPr>
    <w:r>
      <w:rPr>
        <w:rFonts w:ascii="Arial" w:cs="Arial" w:eastAsia="Arial" w:hAnsi="Arial"/>
        <w:color w:val="4B5565"/>
        <w:sz w:val="16"/>
        <w:szCs w:val="16"/>
        <w:rtl/>
      </w:rPr>
      <w:t xml:space="preserve">مسلك · نماذج سلوك النظام ·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e14bc643a9adf01aa6c245b4899ce29576c07f9.png"/><Relationship Id="rId10" Type="http://schemas.openxmlformats.org/officeDocument/2006/relationships/image" Target="media/e08f2f59b053736e1e815b3e84fe4d5901549054.png"/><Relationship Id="rId11" Type="http://schemas.openxmlformats.org/officeDocument/2006/relationships/image" Target="media/392be79697fec5328d7f8a6ec65dd8dc87aab6d5.png"/><Relationship Id="rId12" Type="http://schemas.openxmlformats.org/officeDocument/2006/relationships/image" Target="media/7fcd01a7a398722a54d765bc8beec630cd7ca731.png"/><Relationship Id="rId13" Type="http://schemas.openxmlformats.org/officeDocument/2006/relationships/image" Target="media/9c2aaf312109f042e634758d437f6f6fd94470ba.png"/><Relationship Id="rId14" Type="http://schemas.openxmlformats.org/officeDocument/2006/relationships/image" Target="media/b5428c07bf2446b614291e864e401f1494abc12b.png"/><Relationship Id="rId15" Type="http://schemas.openxmlformats.org/officeDocument/2006/relationships/image" Target="media/03aa3b826216d9b8398ffe05826272a779f4ea15.png"/><Relationship Id="rId16" Type="http://schemas.openxmlformats.org/officeDocument/2006/relationships/image" Target="media/253f0033e58d1f25cfb54280430a34aebffca0a5.png"/><Relationship Id="rId17" Type="http://schemas.openxmlformats.org/officeDocument/2006/relationships/image" Target="media/9fc501e9196fd80e26c59432e6bf29a02bc03ccf.png"/><Relationship Id="rId18" Type="http://schemas.openxmlformats.org/officeDocument/2006/relationships/image" Target="media/dc550d7981fc145935c233db8579996ed0f06635.png"/><Relationship Id="rId19" Type="http://schemas.openxmlformats.org/officeDocument/2006/relationships/image" Target="media/050f4312c9640a8ecc445f5b8c6de3304bd8ef97.png"/><Relationship Id="rId20" Type="http://schemas.openxmlformats.org/officeDocument/2006/relationships/image" Target="media/eaaaae26ec6090a69e304c10c5b292189095c079.png"/><Relationship Id="rId21" Type="http://schemas.openxmlformats.org/officeDocument/2006/relationships/image" Target="media/8bb4561fcb191add0b6942f2909c6e7af4efe6dc.png"/><Relationship Id="rId22" Type="http://schemas.openxmlformats.org/officeDocument/2006/relationships/image" Target="media/ee611de07e82ce97c027653d74d625859be67e10.png"/><Relationship Id="rId23" Type="http://schemas.openxmlformats.org/officeDocument/2006/relationships/image" Target="media/5d59dc1ea6efcbe4ddcef4fea6b51c94d63a183f.png"/><Relationship Id="rId24" Type="http://schemas.openxmlformats.org/officeDocument/2006/relationships/image" Target="media/f67dcc56a095a53ce36ee4ea97ea4f8e7d3230fb.png"/><Relationship Id="rId25" Type="http://schemas.openxmlformats.org/officeDocument/2006/relationships/image" Target="media/600c1ad3c8c83f39f0cfc630704d17ca8e21894f.png"/><Relationship Id="rId26" Type="http://schemas.openxmlformats.org/officeDocument/2006/relationships/image" Target="media/aa011ecff88460d73f3c25a0cf0b0c6132893119.png"/><Relationship Id="rId27" Type="http://schemas.openxmlformats.org/officeDocument/2006/relationships/image" Target="media/ff2caa49e73ae94dc2e9620a1286f65f99d95c6f.png"/><Relationship Id="rId28" Type="http://schemas.openxmlformats.org/officeDocument/2006/relationships/image" Target="media/814e11245225b3eface6150b5465ef9854297db0.png"/><Relationship Id="rId29" Type="http://schemas.openxmlformats.org/officeDocument/2006/relationships/image" Target="media/44e26bcbe382cc67a6d6be581949c03694ec8f44.png"/><Relationship Id="rId30" Type="http://schemas.openxmlformats.org/officeDocument/2006/relationships/image" Target="media/c7ea3c6860bff6eac0fccfdfd61f35c75bb6b5d6.png"/><Relationship Id="rId31" Type="http://schemas.openxmlformats.org/officeDocument/2006/relationships/image" Target="media/25d66f05baf8010c9bf88bbcc272496f97749466.png"/><Relationship Id="rId32" Type="http://schemas.openxmlformats.org/officeDocument/2006/relationships/image" Target="media/714289c41be666a206f6489c2ab4cea45541f058.png"/><Relationship Id="rId33" Type="http://schemas.openxmlformats.org/officeDocument/2006/relationships/image" Target="media/8a8dc11e4a8f1645dab8857c1871e5ffc68e2545.png"/><Relationship Id="rId34" Type="http://schemas.openxmlformats.org/officeDocument/2006/relationships/image" Target="media/c490de0106dcc789eaa141520118813b371bbccf.png"/><Relationship Id="rId35" Type="http://schemas.openxmlformats.org/officeDocument/2006/relationships/image" Target="media/6eb2e5a4d205f1c3bef95d841d64783f775e825f.png"/><Relationship Id="rId36" Type="http://schemas.openxmlformats.org/officeDocument/2006/relationships/image" Target="media/d0dae3b69b59d677567a286b3768ec53326057a4.png"/><Relationship Id="rId37" Type="http://schemas.openxmlformats.org/officeDocument/2006/relationships/image" Target="media/13a0385eb8c422c8ccb27e08622d0736bc0acbd2.png"/><Relationship Id="rId3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مسلك · نماذج سلوك النظام · 1.0</dc:title>
  <dc:creator>Masslak</dc:creator>
  <cp:lastModifiedBy>Un-named</cp:lastModifiedBy>
  <cp:revision>1</cp:revision>
  <dcterms:created xsi:type="dcterms:W3CDTF">2026-10-12T14:54:35.963Z</dcterms:created>
  <dcterms:modified xsi:type="dcterms:W3CDTF">2026-10-12T14:54:35.963Z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