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00" w:line="300"/>
        <w:jc w:val="right"/>
      </w:pPr>
      <w:r>
        <w:rPr>
          <w:rFonts w:ascii="Arial" w:cs="Arial" w:eastAsia="Arial" w:hAnsi="Arial"/>
          <w:b/>
          <w:bCs/>
          <w:color w:val="0A5BD3"/>
          <w:sz w:val="44"/>
          <w:szCs w:val="44"/>
          <w:rtl/>
        </w:rPr>
        <w:t xml:space="preserve">مســلك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color w:val="0B1F3F"/>
          <w:sz w:val="36"/>
          <w:szCs w:val="36"/>
          <w:rtl/>
        </w:rPr>
        <w:t xml:space="preserve">خطة التدريب</w:t>
      </w:r>
    </w:p>
    <w:p>
      <w:pPr>
        <w:bidi/>
        <w:spacing w:after="300" w:line="300"/>
        <w:jc w:val="right"/>
      </w:pPr>
      <w:r>
        <w:rPr>
          <w:rFonts w:ascii="Arial" w:cs="Arial" w:eastAsia="Arial" w:hAnsi="Arial"/>
          <w:color w:val="4B5565"/>
          <w:sz w:val="22"/>
          <w:szCs w:val="22"/>
          <w:rtl/>
        </w:rPr>
        <w:t xml:space="preserve">تدريب كل دور على ما يخصه قبل التشغيل التجريبي، بمواد ومعايير اجتياز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693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القيمة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7"/>
                <w:szCs w:val="17"/>
                <w:rtl/>
              </w:rPr>
              <w:t xml:space="preserve">الإصدار</w:t>
            </w:r>
          </w:p>
        </w:tc>
        <w:tc>
          <w:tcPr>
            <w:tcW w:type="dxa" w:w="693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7"/>
                <w:szCs w:val="17"/>
                <w:rtl/>
              </w:rPr>
              <w:t xml:space="preserve">0.1 (مسودة للمراجعة والاعتماد؛ المدد مقترحة)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7"/>
                <w:szCs w:val="17"/>
                <w:rtl/>
              </w:rPr>
              <w:t xml:space="preserve">التاريخ</w:t>
            </w:r>
          </w:p>
        </w:tc>
        <w:tc>
          <w:tcPr>
            <w:tcW w:type="dxa" w:w="693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7"/>
                <w:szCs w:val="17"/>
                <w:rtl/>
              </w:rPr>
              <w:t xml:space="preserve">12 تشرين الأول 2026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7"/>
                <w:szCs w:val="17"/>
                <w:rtl/>
              </w:rPr>
              <w:t xml:space="preserve">في سجل الوثائق</w:t>
            </w:r>
          </w:p>
        </w:tc>
        <w:tc>
          <w:tcPr>
            <w:tcW w:type="dxa" w:w="693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7"/>
                <w:szCs w:val="17"/>
                <w:rtl/>
              </w:rPr>
              <w:t xml:space="preserve">البند و4</w:t>
            </w:r>
          </w:p>
        </w:tc>
      </w:tr>
    </w:tbl>
    <w:p>
      <w:pPr>
        <w:pStyle w:val="Heading1"/>
        <w:keepNext/>
        <w:pBdr>
          <w:bottom w:val="single" w:color="0A5BD3" w:sz="10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B1F3F"/>
          <w:sz w:val="30"/>
          <w:szCs w:val="30"/>
          <w:rtl/>
        </w:rPr>
        <w:t xml:space="preserve">1. المبادئ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تدريب عملي على بيئة ما قبل الإنتاج ببيانات تدريبية، لا على الإنتاج.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لكل دور مسار تدريب يطابق صلاحياته في النظام، ومعيار اجتياز عملي.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دليل المستخدم العربي المسلّم يسبق الميزات الأخيرة (خيارات الدفع، الصورة، المحطات، العائلات)، ويُحدَّث قبل التدريب.</w:t>
      </w:r>
    </w:p>
    <w:p>
      <w:r>
        <w:br w:type="page"/>
      </w:r>
    </w:p>
    <w:p>
      <w:pPr>
        <w:pStyle w:val="Heading1"/>
        <w:keepNext/>
        <w:pBdr>
          <w:bottom w:val="single" w:color="0A5BD3" w:sz="10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B1F3F"/>
          <w:sz w:val="30"/>
          <w:szCs w:val="30"/>
          <w:rtl/>
        </w:rPr>
        <w:t xml:space="preserve">2. المسارات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4241"/>
        <w:gridCol w:w="1253"/>
        <w:gridCol w:w="2217"/>
      </w:tblGrid>
      <w:tr>
        <w:trPr>
          <w:tblHeader/>
        </w:trPr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الدور</w:t>
            </w:r>
          </w:p>
        </w:tc>
        <w:tc>
          <w:tcPr>
            <w:tcW w:type="dxa" w:w="4241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المحتوى</w:t>
            </w:r>
          </w:p>
        </w:tc>
        <w:tc>
          <w:tcPr>
            <w:tcW w:type="dxa" w:w="1253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المدة المقترحة</w:t>
            </w:r>
          </w:p>
        </w:tc>
        <w:tc>
          <w:tcPr>
            <w:tcW w:type="dxa" w:w="2217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معيار الاجتياز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موظفو المنصة (الإدارة)</w:t>
            </w:r>
          </w:p>
        </w:tc>
        <w:tc>
          <w:tcPr>
            <w:tcW w:type="dxa" w:w="4241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اعتماد الشركات والوثائق، المحطات والبيانات المرجعية، الوحدات ومفاتيحها، الأسواق</w:t>
            </w:r>
          </w:p>
        </w:tc>
        <w:tc>
          <w:tcPr>
            <w:tcW w:type="dxa" w:w="1253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يومان</w:t>
            </w:r>
          </w:p>
        </w:tc>
        <w:tc>
          <w:tcPr>
            <w:tcW w:type="dxa" w:w="2217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اعتماد ناقل تجريبي وفتح محطة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المالية</w:t>
            </w:r>
          </w:p>
        </w:tc>
        <w:tc>
          <w:tcPr>
            <w:tcW w:type="dxa" w:w="4241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خيارات الدفع والرسوم، مطابقة الكشوف، التسويات والسحوبات بفصل المهام، نقد الكاونتر وتوريده، الاستردادات</w:t>
            </w:r>
          </w:p>
        </w:tc>
        <w:tc>
          <w:tcPr>
            <w:tcW w:type="dxa" w:w="1253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يومان</w:t>
            </w:r>
          </w:p>
        </w:tc>
        <w:tc>
          <w:tcPr>
            <w:tcW w:type="dxa" w:w="2217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إقفال يوم مالي تجريبي دون فرق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الدعم</w:t>
            </w:r>
          </w:p>
        </w:tc>
        <w:tc>
          <w:tcPr>
            <w:tcW w:type="dxa" w:w="4241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الحالات والمطالبات، التعويض ودفعه، التقييمات، حظر المسيء</w:t>
            </w:r>
          </w:p>
        </w:tc>
        <w:tc>
          <w:tcPr>
            <w:tcW w:type="dxa" w:w="1253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يوم</w:t>
            </w:r>
          </w:p>
        </w:tc>
        <w:tc>
          <w:tcPr>
            <w:tcW w:type="dxa" w:w="2217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معالجة حالة حتى إغلاقها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الامتثال والخصوصية</w:t>
            </w:r>
          </w:p>
        </w:tc>
        <w:tc>
          <w:tcPr>
            <w:tcW w:type="dxa" w:w="4241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وجهات البيانات وتسليمها، قواعد وثائق السفر، طلبات المحو والتصدير، سياسة الصورة بالمراحل</w:t>
            </w:r>
          </w:p>
        </w:tc>
        <w:tc>
          <w:tcPr>
            <w:tcW w:type="dxa" w:w="1253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يوم</w:t>
            </w:r>
          </w:p>
        </w:tc>
        <w:tc>
          <w:tcPr>
            <w:tcW w:type="dxa" w:w="2217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اعتماد تغيير بمراحله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مسؤولو الأمن والعمليات</w:t>
            </w:r>
          </w:p>
        </w:tc>
        <w:tc>
          <w:tcPr>
            <w:tcW w:type="dxa" w:w="4241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سجلات الأمن وقواعد IP وسياسة العامل الثاني، المراقبة والتنبيهات، أدلة التشغيل، الاستعادة والتحويل</w:t>
            </w:r>
          </w:p>
        </w:tc>
        <w:tc>
          <w:tcPr>
            <w:tcW w:type="dxa" w:w="1253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ثلاثة أيام</w:t>
            </w:r>
          </w:p>
        </w:tc>
        <w:tc>
          <w:tcPr>
            <w:tcW w:type="dxa" w:w="2217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تمرين تنبيه وتمرين استعادة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مالك حساب الناقل ومنظم الرحلات</w:t>
            </w:r>
          </w:p>
        </w:tc>
        <w:tc>
          <w:tcPr>
            <w:tcW w:type="dxa" w:w="4241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الأسطول والمقاعد والسائقون والمسارات والأسعار والرحلات، البيانات، المراجع، منح شركات التشغيل، الكشوف والسحب</w:t>
            </w:r>
          </w:p>
        </w:tc>
        <w:tc>
          <w:tcPr>
            <w:tcW w:type="dxa" w:w="1253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يومان</w:t>
            </w:r>
          </w:p>
        </w:tc>
        <w:tc>
          <w:tcPr>
            <w:tcW w:type="dxa" w:w="2217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نشر رحلة وإصدار بيانها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موظف كاونتر الناقل</w:t>
            </w:r>
          </w:p>
        </w:tc>
        <w:tc>
          <w:tcPr>
            <w:tcW w:type="dxa" w:w="4241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البيع النقدي، قبض الحجز المؤجل، الإلغاء، تقرير اليوم، حد النقد</w:t>
            </w:r>
          </w:p>
        </w:tc>
        <w:tc>
          <w:tcPr>
            <w:tcW w:type="dxa" w:w="1253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نصف يوم</w:t>
            </w:r>
          </w:p>
        </w:tc>
        <w:tc>
          <w:tcPr>
            <w:tcW w:type="dxa" w:w="2217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بيع وقبض وإلغاء وتقرير يوم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السائق</w:t>
            </w:r>
          </w:p>
        </w:tc>
        <w:tc>
          <w:tcPr>
            <w:tcW w:type="dxa" w:w="4241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التطبيق، المسح متصلاً ودون اتصال، أحداث المحطات، صورة المسافر عند الصعود حين تُفتح</w:t>
            </w:r>
          </w:p>
        </w:tc>
        <w:tc>
          <w:tcPr>
            <w:tcW w:type="dxa" w:w="1253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نصف يوم</w:t>
            </w:r>
          </w:p>
        </w:tc>
        <w:tc>
          <w:tcPr>
            <w:tcW w:type="dxa" w:w="2217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مسح رحلة كاملة دون اتصال ومزامنتها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الوكالة</w:t>
            </w:r>
          </w:p>
        </w:tc>
        <w:tc>
          <w:tcPr>
            <w:tcW w:type="dxa" w:w="4241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البحث والحجز ضمن الحصة، الرصيد، الكشف، موظفو الوكالة</w:t>
            </w:r>
          </w:p>
        </w:tc>
        <w:tc>
          <w:tcPr>
            <w:tcW w:type="dxa" w:w="1253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نصف يوم</w:t>
            </w:r>
          </w:p>
        </w:tc>
        <w:tc>
          <w:tcPr>
            <w:tcW w:type="dxa" w:w="2217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حجز وإلغاء وقراءة الكشف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شركة تشغيل المحطة</w:t>
            </w:r>
          </w:p>
        </w:tc>
        <w:tc>
          <w:tcPr>
            <w:tcW w:type="dxa" w:w="4241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بوابة المحطة، العامل الثاني، الصلاحيات النافذة، الكاونترات؛ وفحص الكاونتر عند بنائه</w:t>
            </w:r>
          </w:p>
        </w:tc>
        <w:tc>
          <w:tcPr>
            <w:tcW w:type="dxa" w:w="1253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نصف يوم</w:t>
            </w:r>
          </w:p>
        </w:tc>
        <w:tc>
          <w:tcPr>
            <w:tcW w:type="dxa" w:w="2217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الدخول وقراءة الصلاحيات</w:t>
            </w:r>
          </w:p>
        </w:tc>
      </w:tr>
    </w:tbl>
    <w:p>
      <w:pPr>
        <w:pStyle w:val="Heading1"/>
        <w:keepNext/>
        <w:pBdr>
          <w:bottom w:val="single" w:color="0A5BD3" w:sz="10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B1F3F"/>
          <w:sz w:val="30"/>
          <w:szCs w:val="30"/>
          <w:rtl/>
        </w:rPr>
        <w:t xml:space="preserve">3. المواد والبيئة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دليل المستخدم العربي محدَّثاً، وبطاقات مختصرة لكل دور.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بيئة ما قبل الإنتاج ببيانات تدريبية مولّدة، وحسابات تدريب لكل متدرب تُعطَّل بعد التدريب.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تسجيلات قصيرة للمهام اليومية.</w:t>
      </w:r>
    </w:p>
    <w:p>
      <w:pPr>
        <w:pStyle w:val="Heading1"/>
        <w:keepNext/>
        <w:pBdr>
          <w:bottom w:val="single" w:color="0A5BD3" w:sz="10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B1F3F"/>
          <w:sz w:val="30"/>
          <w:szCs w:val="30"/>
          <w:rtl/>
        </w:rPr>
        <w:t xml:space="preserve">4. الجدول والتقييم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يبدأ التدريب بعد اجتياز القبول، وينتهي قبل التشغيل التجريبي بأسبوع.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سجل حضور واجتياز لكل متدرب، وتدريب تكميلي لمن لم يجتز.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مراجعة المواد بعد الأسبوعين الأولين من التشغيل التجريبي.</w:t>
      </w:r>
    </w:p>
    <w:sectPr>
      <w:headerReference w:type="default" r:id="rId7"/>
      <w:footerReference w:type="default" r:id="rId8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B5565"/>
        <w:sz w:val="16"/>
        <w:szCs w:val="16"/>
        <w:rtl/>
      </w:rPr>
      <w:t xml:space="preserve">صفحة </w:t>
    </w:r>
    <w:r>
      <w:rPr>
        <w:rFonts w:ascii="Arial" w:cs="Arial" w:eastAsia="Arial" w:hAnsi="Arial"/>
        <w:color w:val="4B556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0" w:line="300"/>
      <w:jc w:val="right"/>
    </w:pPr>
    <w:r>
      <w:rPr>
        <w:rFonts w:ascii="Arial" w:cs="Arial" w:eastAsia="Arial" w:hAnsi="Arial"/>
        <w:color w:val="4B5565"/>
        <w:sz w:val="16"/>
        <w:szCs w:val="16"/>
        <w:rtl/>
      </w:rPr>
      <w:t xml:space="preserve">مسلك · خطة التدريب · 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مسلك · خطة التدريب · 0.1</dc:title>
  <dc:creator>Masslak</dc:creator>
  <cp:lastModifiedBy>Un-named</cp:lastModifiedBy>
  <cp:revision>1</cp:revision>
  <dcterms:created xsi:type="dcterms:W3CDTF">2026-10-12T17:19:39.965Z</dcterms:created>
  <dcterms:modified xsi:type="dcterms:W3CDTF">2026-10-12T17:19:39.965Z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