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مخططات حالات الاستخدام وتدفق البيانات</w:t>
      </w:r>
    </w:p>
    <w:p>
      <w:pPr>
        <w:bidi/>
        <w:spacing w:after="300" w:line="300"/>
        <w:jc w:val="right"/>
      </w:pPr>
      <w:r>
        <w:rPr>
          <w:rFonts w:ascii="Arial" w:cs="Arial" w:eastAsia="Arial" w:hAnsi="Arial"/>
          <w:color w:val="4B5565"/>
          <w:sz w:val="22"/>
          <w:szCs w:val="22"/>
          <w:rtl/>
        </w:rPr>
        <w:t xml:space="preserve">الإصدار 2.0: نموذج المنصة كاملاً، مراجَعاً حالةً حالةً مقابل النظام المبني</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2.0، يحل محل الوثيقة 1.0 (من الدراسة 2.5) وملحق نماذج النظام 1.0</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12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المصدر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الكود وقاعدة البيانات بعد الالتزام b983b22 (ملفات القاعدة حتى 1099، و391 مساراً في الخادم، و33 وحدة بمفاتيحها)</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المحتوى</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18 مخطط حالات استخدام تضم 217 حالة، لكل منها حالة بناء ودليل من النظام؛ و17 مخطط تدفق بيانات</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الجمهور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الجهة المختصة بالأنظمة، وفريق التنفيذ</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المقدمة</w:t>
      </w:r>
    </w:p>
    <w:p>
      <w:pPr>
        <w:bidi/>
        <w:spacing w:after="120" w:line="300"/>
        <w:jc w:val="right"/>
      </w:pPr>
      <w:r>
        <w:rPr>
          <w:rFonts w:ascii="Arial" w:cs="Arial" w:eastAsia="Arial" w:hAnsi="Arial"/>
          <w:color w:val="0F1B2D"/>
          <w:sz w:val="21"/>
          <w:szCs w:val="21"/>
          <w:rtl/>
        </w:rPr>
        <w:t xml:space="preserve">الوثيقة 1.0 بُنيت من الدراسة 2.5، أي من التصميم المستهدف قبل بناء أغلب النظام. هذا الإصدار يراجع كل حالة استخدام فيها مقابل الكود: هل هي مبنية، وأين، وهل هي متاحة عند الإطلاق أم مغلقة بمفتاح، أم أن جداولها وحدها قائمة. ويضيف ما بُني بعد الدراسة 2.5 ولم يكن في الوثيقة.</w:t>
      </w:r>
    </w:p>
    <w:p>
      <w:pPr>
        <w:pStyle w:val="Heading2"/>
        <w:keepNext/>
        <w:bidi/>
        <w:spacing w:after="100" w:before="240"/>
        <w:jc w:val="right"/>
      </w:pPr>
      <w:r>
        <w:rPr>
          <w:rFonts w:ascii="Arial" w:cs="Arial" w:eastAsia="Arial" w:hAnsi="Arial"/>
          <w:b/>
          <w:bCs/>
          <w:color w:val="0A5BD3"/>
          <w:sz w:val="24"/>
          <w:szCs w:val="24"/>
          <w:rtl/>
        </w:rPr>
        <w:t xml:space="preserve">1.1 ما الجديد في الإصدار 2.0</w:t>
      </w:r>
    </w:p>
    <w:p>
      <w:pPr>
        <w:pStyle w:val="ListParagraph"/>
        <w:numPr>
          <w:ilvl w:val="0"/>
          <w:numId w:val="2"/>
        </w:numPr>
        <w:bidi/>
        <w:spacing w:after="80" w:line="290"/>
        <w:jc w:val="right"/>
      </w:pPr>
      <w:r>
        <w:rPr>
          <w:rFonts w:ascii="Arial" w:cs="Arial" w:eastAsia="Arial" w:hAnsi="Arial"/>
          <w:color w:val="0F1B2D"/>
          <w:sz w:val="21"/>
          <w:szCs w:val="21"/>
          <w:rtl/>
        </w:rPr>
        <w:t xml:space="preserve">لكل حالة استخدام من الحالات الـ217 حالة بناء، ودليل من النظام: المسار في الخادم، أو الجدول، أو ملف الاختبار.</w:t>
      </w:r>
    </w:p>
    <w:p>
      <w:pPr>
        <w:pStyle w:val="ListParagraph"/>
        <w:numPr>
          <w:ilvl w:val="0"/>
          <w:numId w:val="2"/>
        </w:numPr>
        <w:bidi/>
        <w:spacing w:after="80" w:line="290"/>
        <w:jc w:val="right"/>
      </w:pPr>
      <w:r>
        <w:rPr>
          <w:rFonts w:ascii="Arial" w:cs="Arial" w:eastAsia="Arial" w:hAnsi="Arial"/>
          <w:color w:val="0F1B2D"/>
          <w:sz w:val="21"/>
          <w:szCs w:val="21"/>
          <w:rtl/>
        </w:rPr>
        <w:t xml:space="preserve">تُلوَّن الحالات في المخططات بحالتها، فيرى القارئ المبني والمغلق والناقص من المخطط نفسه.</w:t>
      </w:r>
    </w:p>
    <w:p>
      <w:pPr>
        <w:pStyle w:val="ListParagraph"/>
        <w:numPr>
          <w:ilvl w:val="0"/>
          <w:numId w:val="2"/>
        </w:numPr>
        <w:bidi/>
        <w:spacing w:after="80" w:line="290"/>
        <w:jc w:val="right"/>
      </w:pPr>
      <w:r>
        <w:rPr>
          <w:rFonts w:ascii="Arial" w:cs="Arial" w:eastAsia="Arial" w:hAnsi="Arial"/>
          <w:color w:val="0F1B2D"/>
          <w:sz w:val="21"/>
          <w:szCs w:val="21"/>
          <w:rtl/>
        </w:rPr>
        <w:t xml:space="preserve">أُضيفت إلى المخططات القديمة 17 حالة بُنيت بعد الدراسة 2.5، مثل مخططات المقاعد، وإتمام الرحلة، وحجز مساحة الشحن، ومصفوفة الموافقات، ومفاتيح التكامل.</w:t>
      </w:r>
    </w:p>
    <w:p>
      <w:pPr>
        <w:pStyle w:val="ListParagraph"/>
        <w:numPr>
          <w:ilvl w:val="0"/>
          <w:numId w:val="2"/>
        </w:numPr>
        <w:bidi/>
        <w:spacing w:after="80" w:line="290"/>
        <w:jc w:val="right"/>
      </w:pPr>
      <w:r>
        <w:rPr>
          <w:rFonts w:ascii="Arial" w:cs="Arial" w:eastAsia="Arial" w:hAnsi="Arial"/>
          <w:color w:val="0F1B2D"/>
          <w:sz w:val="21"/>
          <w:szCs w:val="21"/>
          <w:rtl/>
        </w:rPr>
        <w:t xml:space="preserve">مخططات جديدة: UC-11 إلى UC-13 من الملحق، وUC-14 العائلات وفئات المسافرين، وUC-15 بيانات الركاب ووثائق السفر، وUC-16 الحساب وأمن الدخول، وUC-17 خدمات المراحل اللاحقة.</w:t>
      </w:r>
    </w:p>
    <w:p>
      <w:pPr>
        <w:pStyle w:val="ListParagraph"/>
        <w:numPr>
          <w:ilvl w:val="0"/>
          <w:numId w:val="2"/>
        </w:numPr>
        <w:bidi/>
        <w:spacing w:after="80" w:line="290"/>
        <w:jc w:val="right"/>
      </w:pPr>
      <w:r>
        <w:rPr>
          <w:rFonts w:ascii="Arial" w:cs="Arial" w:eastAsia="Arial" w:hAnsi="Arial"/>
          <w:color w:val="0F1B2D"/>
          <w:sz w:val="21"/>
          <w:szCs w:val="21"/>
          <w:rtl/>
        </w:rPr>
        <w:t xml:space="preserve">تدفق البيانات: أُضيفت إلى مخطط السياق شركات تشغيل المحطات ومزودو التحقق من الهوية، وأُضيف المخطط DFD-1C للعمليتين P15 وP16، وثلاثة مخططات من المستوى الثاني لما بُني: DFD-4B وDFD-6B وDFD-10B.</w:t>
      </w:r>
    </w:p>
    <w:p>
      <w:pPr>
        <w:pStyle w:val="ListParagraph"/>
        <w:numPr>
          <w:ilvl w:val="0"/>
          <w:numId w:val="2"/>
        </w:numPr>
        <w:bidi/>
        <w:spacing w:after="80" w:line="290"/>
        <w:jc w:val="right"/>
      </w:pPr>
      <w:r>
        <w:rPr>
          <w:rFonts w:ascii="Arial" w:cs="Arial" w:eastAsia="Arial" w:hAnsi="Arial"/>
          <w:color w:val="0F1B2D"/>
          <w:sz w:val="21"/>
          <w:szCs w:val="21"/>
          <w:rtl/>
        </w:rPr>
        <w:t xml:space="preserve">أُعيدت كتابة محتوى مخازن البيانات بأسماء جداول القاعدة الفعلية.</w:t>
      </w:r>
    </w:p>
    <w:p>
      <w:pPr>
        <w:pStyle w:val="Heading2"/>
        <w:keepNext/>
        <w:bidi/>
        <w:spacing w:after="100" w:before="240"/>
        <w:jc w:val="right"/>
      </w:pPr>
      <w:r>
        <w:rPr>
          <w:rFonts w:ascii="Arial" w:cs="Arial" w:eastAsia="Arial" w:hAnsi="Arial"/>
          <w:b/>
          <w:bCs/>
          <w:color w:val="0A5BD3"/>
          <w:sz w:val="24"/>
          <w:szCs w:val="24"/>
          <w:rtl/>
        </w:rPr>
        <w:t xml:space="preserve">1.2 الترميز</w:t>
      </w:r>
    </w:p>
    <w:p>
      <w:pPr>
        <w:bidi/>
        <w:spacing w:after="120" w:line="300"/>
        <w:jc w:val="right"/>
      </w:pPr>
      <w:r>
        <w:rPr>
          <w:rFonts w:ascii="Arial" w:cs="Arial" w:eastAsia="Arial" w:hAnsi="Arial"/>
          <w:color w:val="0F1B2D"/>
          <w:sz w:val="21"/>
          <w:szCs w:val="21"/>
          <w:rtl/>
        </w:rPr>
        <w:t xml:space="preserve">حالات الاستخدام بترميز UML 2.5، وتدفق البيانات بترميز Gane و Sarson، بالمولّد نفسه وشكل الوثيقة 1.0. نصوص المخططات بالإنجليزية كما في 1.0 وكما في أسماء الكود، ويقابل كل رقم في الجداول اسمه بالعربية.</w:t>
      </w:r>
    </w:p>
    <w:p>
      <w:pPr>
        <w:keepNext/>
        <w:spacing w:after="60" w:before="120"/>
        <w:jc w:val="center"/>
      </w:pPr>
      <w:r>
        <w:drawing>
          <wp:inline distT="0" distB="0" distL="0" distR="0">
            <wp:extent cx="60960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0572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دليل ترميز حالات الاستخدام</w:t>
      </w:r>
    </w:p>
    <w:p>
      <w:pPr>
        <w:pStyle w:val="Heading2"/>
        <w:keepNext/>
        <w:bidi/>
        <w:spacing w:after="100" w:before="240"/>
        <w:jc w:val="right"/>
      </w:pPr>
      <w:r>
        <w:rPr>
          <w:rFonts w:ascii="Arial" w:cs="Arial" w:eastAsia="Arial" w:hAnsi="Arial"/>
          <w:b/>
          <w:bCs/>
          <w:color w:val="0A5BD3"/>
          <w:sz w:val="24"/>
          <w:szCs w:val="24"/>
          <w:rtl/>
        </w:rPr>
        <w:t xml:space="preserve">1.3 حالات البناء</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410"/>
        <w:gridCol w:w="6457"/>
      </w:tblGrid>
      <w:tr>
        <w:trPr>
          <w:tblHeader/>
        </w:trPr>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الرمز</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64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المعنى</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B</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مبنية</w:t>
            </w:r>
          </w:p>
        </w:tc>
        <w:tc>
          <w:tcPr>
            <w:tcW w:type="dxa" w:w="64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مبنية ومتاحة عند الإطلاق، ولها مسار في الخادم واختبار.</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P</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مبنية جزئياً</w:t>
            </w:r>
          </w:p>
        </w:tc>
        <w:tc>
          <w:tcPr>
            <w:tcW w:type="dxa" w:w="64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جزء منها مبني؛ عمود الدليل يذكر الجزء الناقص.</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C</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مبنية ومغلقة عند الإطلاق</w:t>
            </w:r>
          </w:p>
        </w:tc>
        <w:tc>
          <w:tcPr>
            <w:tcW w:type="dxa" w:w="64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مبنية ومختبرة، ومغلقة عند الإطلاق بمفتاح وحدة من مرحلة لاحقة، أو بإعداد ينتظر مزوداً أو أساساً قانونياً.</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D</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بيانات وشاشات فقط</w:t>
            </w:r>
          </w:p>
        </w:tc>
        <w:tc>
          <w:tcPr>
            <w:tcW w:type="dxa" w:w="64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جداولها وشاشات إدارتها العامة قائمة، ولا مسار عمل مخصصاً لها؛ والوحدة مفتوحة عند الإطلاق.</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DC</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بيانات فقط، مغلقة عند الإطلاق</w:t>
            </w:r>
          </w:p>
        </w:tc>
        <w:tc>
          <w:tcPr>
            <w:tcW w:type="dxa" w:w="64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جداولها وشاشاتها قائمة، والوحدة مغلقة عند الإطلاق.</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N</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غير مبنية</w:t>
            </w:r>
          </w:p>
        </w:tc>
        <w:tc>
          <w:tcPr>
            <w:tcW w:type="dxa" w:w="64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غير مبنية.</w:t>
            </w:r>
          </w:p>
        </w:tc>
      </w:tr>
    </w:tbl>
    <w:p>
      <w:pPr>
        <w:keepNext/>
        <w:spacing w:after="60" w:before="120"/>
        <w:jc w:val="center"/>
      </w:pPr>
      <w:r>
        <w:drawing>
          <wp:inline distT="0" distB="0" distL="0" distR="0">
            <wp:extent cx="60960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7334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ألوان حالات البناء في المخططات</w:t>
      </w:r>
    </w:p>
    <w:p>
      <w:pPr>
        <w:bidi/>
        <w:spacing w:after="120" w:line="300"/>
        <w:jc w:val="right"/>
      </w:pPr>
      <w:r>
        <w:rPr>
          <w:rFonts w:ascii="Arial" w:cs="Arial" w:eastAsia="Arial" w:hAnsi="Arial"/>
          <w:color w:val="0F1B2D"/>
          <w:sz w:val="21"/>
          <w:szCs w:val="21"/>
          <w:rtl/>
        </w:rPr>
        <w:t xml:space="preserve">«مغلقة عند الإطلاق» تعني أن الوظيفة مبنية لكن المنصة تبدأ والمفتاح مغلق. فتحها قرار تشغيلي من المنصة، لا عمل برمجي، ما لم يُذكر شرط آخر مثل مزود أو مستند قانوني.</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ملخص حالة البناء</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2410"/>
        <w:gridCol w:w="2410"/>
      </w:tblGrid>
      <w:tr>
        <w:trPr>
          <w:tblHeader/>
        </w:trPr>
        <w:tc>
          <w:tcPr>
            <w:tcW w:type="dxa" w:w="481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عدد الحالات</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النسبة</w:t>
            </w:r>
          </w:p>
        </w:tc>
      </w:tr>
      <w:tr>
        <w:trPr>
          <w:cantSplit/>
        </w:trPr>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مبنية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101</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47%</w:t>
            </w:r>
          </w:p>
        </w:tc>
      </w:tr>
      <w:tr>
        <w:trPr>
          <w:cantSplit/>
        </w:trPr>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مبنية جزئياً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13</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6%</w:t>
            </w:r>
          </w:p>
        </w:tc>
      </w:tr>
      <w:tr>
        <w:trPr>
          <w:cantSplit/>
        </w:trPr>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مبنية ومغلقة عند الإطلاق</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38</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18%</w:t>
            </w:r>
          </w:p>
        </w:tc>
      </w:tr>
      <w:tr>
        <w:trPr>
          <w:cantSplit/>
        </w:trPr>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بيانات وشاشات فقط</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12</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6%</w:t>
            </w:r>
          </w:p>
        </w:tc>
      </w:tr>
      <w:tr>
        <w:trPr>
          <w:cantSplit/>
        </w:trPr>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بيانات فقط، مغلقة عند الإطلاق</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45</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21%</w:t>
            </w:r>
          </w:p>
        </w:tc>
      </w:tr>
      <w:tr>
        <w:trPr>
          <w:cantSplit/>
        </w:trPr>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غير مبنية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8</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4%</w:t>
            </w:r>
          </w:p>
        </w:tc>
      </w:tr>
      <w:tr>
        <w:trPr>
          <w:cantSplit/>
        </w:trPr>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المجموع</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217</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100%</w:t>
            </w:r>
          </w:p>
        </w:tc>
      </w:tr>
    </w:tbl>
    <w:p>
      <w:pPr>
        <w:bidi/>
        <w:spacing w:after="120" w:line="300"/>
        <w:jc w:val="right"/>
      </w:pPr>
      <w:r>
        <w:rPr>
          <w:rFonts w:ascii="Arial" w:cs="Arial" w:eastAsia="Arial" w:hAnsi="Arial"/>
          <w:color w:val="0F1B2D"/>
          <w:sz w:val="21"/>
          <w:szCs w:val="21"/>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084"/>
        <w:gridCol w:w="964"/>
        <w:gridCol w:w="800"/>
        <w:gridCol w:w="800"/>
        <w:gridCol w:w="800"/>
        <w:gridCol w:w="800"/>
        <w:gridCol w:w="800"/>
        <w:gridCol w:w="819"/>
      </w:tblGrid>
      <w:tr>
        <w:trPr>
          <w:tblHeader/>
        </w:trPr>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المخطط</w:t>
            </w:r>
          </w:p>
        </w:tc>
        <w:tc>
          <w:tcPr>
            <w:tcW w:type="dxa" w:w="308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العنوان</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الحالات</w:t>
            </w:r>
          </w:p>
        </w:tc>
        <w:tc>
          <w:tcPr>
            <w:tcW w:type="dxa" w:w="80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B</w:t>
            </w:r>
          </w:p>
        </w:tc>
        <w:tc>
          <w:tcPr>
            <w:tcW w:type="dxa" w:w="80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P</w:t>
            </w:r>
          </w:p>
        </w:tc>
        <w:tc>
          <w:tcPr>
            <w:tcW w:type="dxa" w:w="80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C</w:t>
            </w:r>
          </w:p>
        </w:tc>
        <w:tc>
          <w:tcPr>
            <w:tcW w:type="dxa" w:w="80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D</w:t>
            </w:r>
          </w:p>
        </w:tc>
        <w:tc>
          <w:tcPr>
            <w:tcW w:type="dxa" w:w="80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DC</w:t>
            </w:r>
          </w:p>
        </w:tc>
        <w:tc>
          <w:tcPr>
            <w:tcW w:type="dxa" w:w="81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N</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الرحلات المجدولة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14</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11</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UC-2</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النقل المكوكي</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17</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2</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15</w:t>
            </w:r>
          </w:p>
        </w:tc>
        <w:tc>
          <w:tcPr>
            <w:tcW w:type="dxa" w:w="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UC-3</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عمليات الناقل</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19</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13</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3</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UC-4</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تطبيق السائق</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13</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7</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3</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UC-5</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الشحن والخدمات اللوجستية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17</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7</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w:t>
            </w:r>
          </w:p>
        </w:tc>
        <w:tc>
          <w:tcPr>
            <w:tcW w:type="dxa" w:w="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UC-6</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شركاء الخدمات والولاء</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2</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8</w:t>
            </w:r>
          </w:p>
        </w:tc>
        <w:tc>
          <w:tcPr>
            <w:tcW w:type="dxa" w:w="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UC-7</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الإدارة والمالية والدعم</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17</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13</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2</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UC-8</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الأمن والامتثال والجهات</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14</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5</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3</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2</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2</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UC-9</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قنوات التوزيع والوكالات</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6</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2</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2</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UC-10</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المحاسبة والفوترة الإلكترونية</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9</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2</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2</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2</w:t>
            </w:r>
          </w:p>
        </w:tc>
        <w:tc>
          <w:tcPr>
            <w:tcW w:type="dxa" w:w="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2</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UC-11</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محطات الصعود وشركات التشغيل</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14</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2</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2</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UC-12</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صورة الصعود وسياستها</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13</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8</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4</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UC-13</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خيارات الدفع</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8</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7</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UC-14</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العائلات وفئات المسافرين</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12</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11</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UC-15</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الركاب ووثائق السفر</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11</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5</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6</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UC-16</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الحساب والخصوصية وأمن الدخول</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11</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11</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UC-17</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خدمات المراحل اللاحقة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8</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3</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80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5</w:t>
            </w:r>
          </w:p>
        </w:tc>
        <w:tc>
          <w:tcPr>
            <w:tcW w:type="dxa" w:w="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bidi/>
        <w:spacing w:after="120" w:line="300"/>
        <w:jc w:val="right"/>
      </w:pPr>
      <w:r>
        <w:rPr>
          <w:rFonts w:ascii="Arial" w:cs="Arial" w:eastAsia="Arial" w:hAnsi="Arial"/>
          <w:color w:val="0F1B2D"/>
          <w:sz w:val="21"/>
          <w:szCs w:val="21"/>
          <w:rtl/>
        </w:rPr>
        <w:t xml:space="preserve">أعمدة الرموز: B مبنية، P مبنية جزئياً، C مبنية ومغلقة عند الإطلاق، D بيانات وشاشات فقط، DC بيانات فقط ومغلقة، N غير مبنية.</w:t>
      </w:r>
    </w:p>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الفاعلون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1157"/>
        <w:gridCol w:w="4241"/>
      </w:tblGrid>
      <w:tr>
        <w:trPr>
          <w:tblHeader/>
        </w:trPr>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 في المخططات</w:t>
            </w:r>
          </w:p>
        </w:tc>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النوع</w:t>
            </w:r>
          </w:p>
        </w:tc>
        <w:tc>
          <w:tcPr>
            <w:tcW w:type="dxa" w:w="424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الوصف</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زائر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Visitor</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مستخدم غير مسجل يتصفح الرحلات ويقارنها</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مسافر</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Passenger</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عميل مسجل يحجز ويدفع من المحفظة ويصعد برمز QR</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راكب الخطوط المكوكية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Shuttle passenger</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يصعد بمسح ملصق المركبة ويدفع محطة بمحطة</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مالك حساب الناقل</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Carrier account owner</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يدير مستخدمي الشركة وأسطولها وأموالها</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منظم الرحلات</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Trip scheduler</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الناقل الذي ينشئ الرحلات وينشرها ويسند الطاقم</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محاسب الشركة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Company accountant</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يتابع المستحقات والتسويات والسحوبات</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السائق أو المرافق</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Driver / host</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ينفذ الرحلة من تطبيق السائق: التتبع والمسح والمحطات</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المرسل أو المتجر</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Shipper / store</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مرسل الطرود والشحنات</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المستلم</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Recipient</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يتحكم بخيارات التسليم من رابط التتبع</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شركة الشحن أو مشغل المركز</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Courier company / hub operator</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تستلم الشحنات وتفرزها وتحمّلها</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المندوب</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Courier</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يستلم الشحنات ويسلّمها بإثبات تسليم</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مشغل نقطة الاستلام</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Access point operator</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متجر أو خزانة أو محطة تعمل نقطة إيداع واستلام</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موظف محطة الوقود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Fuel station attendant</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يسجل التعبئة المدفوعة عبر المنصة</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الاستراحة أو التاجر</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Rest stop / merchant</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يقبل الدفع والنقاط عبر المنصة</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شريك الولاء</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Loyalty partner</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يموّل النقاط أو يستبدلها</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وكالة السفر أو الوكيل الفرعي</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Travel agency / sub-agent</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تحجز عبر بوابة الوكالة ضمن حصتها ورصيدها</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عميل الشركات</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Corporate client</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يحجز لموظفيه بأسعار تعاقدية</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شريك الإحالة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Marketing affiliate</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يحيل العملاء مقابل عمولة</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مدير المنصة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Platform administrator</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يعتمد الشركات والشركاء ويدير البيانات المرجعية والسياسات</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مالية المنصة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Platform finance</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المطابقة المصرفية والتسويات والدفعات والاستردادات</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موظف الدعم</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Support employee</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يعالج الشكاوى والمطالبات ويقرر التعويض</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مدير التسويق</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Marketing manager</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يحدد الحملات والعروض ضمن الميزانية</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مسؤول حماية البيانات</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Data Protection Officer</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يراجع المعالجة والموافقات وتقييم الأثر والحوادث</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مشرف المساعد الذكي</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AI assistant supervisor</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يدير معرفة المساعد ويراقب المحادثات</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مسؤول الامتثال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Compliance officer</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يدير سياسات الجهات وطلباتها وسجلات الأمن</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موظف الجهة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Authority employee</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جهة أمنية أو جمركية أو عبور ضمن صلاحيته</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الجهة الرقابية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Regulator</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تقرأ لوحة الحوكمة والتتبع والتنبيهات</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المفتش</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Inspector</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يفحص التذاكر والمركبات والتراخيص ميدانياً</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متحقق من مستند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Document verifier</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أي شخص يتحقق من تذكرة مطبوعة عبر صفحة التحقق</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مسؤول التكامل المحاسبي</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Accounting integration officer</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يدير القيود والربط مع الأنظمة المحاسبية</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بوابة الدفع أو المصرف</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Payment gateway / bank</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خارجي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مزودو الدفع والمصرف الذي يحفظ أموال العملاء</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الجهات الأمنية والحكومية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Security &amp; government authorities</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خارجي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جهات مربوطة عبر مركز الأمن والامتثال</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أنظمة الحدود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Border systems</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خارجي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أنظمة المعابر والجمارك التي تتبادل رسائل البيان</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أنظمة الترخيص الحكومية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Government licensing systems</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خارجي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تؤكد صلاحية تراخيص المركبات والسائقين</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الهيئة الضريبية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Tax authority</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خارجي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منصة الفوترة الإلكترونية</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النظام المحاسبي (ERP)</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Accounting / ERP system</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خارجي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يستقبل القيود والفواتير</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نظام خدمة العملاء (CRM)</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CRM help desk</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خارجي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يتزامن مع الحالات بإشعارات موقّعة</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شركة شحن عالمية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Global courier company</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خارجي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تتبادل الطلبات والتحديثات عبر الواجهة البرمجية</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منصة وسيطة (OTA / GDS)</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Intermediary platform (OTA / GDS)</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خارجي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تبحث وتحجز عبر واجهة القنوات</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مزودو الإشعارات</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Notification providers</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خارجي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الرسائل النصية والواتساب والإشعارات والبريد</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جهاز بوابة الصعود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Boarding gate device</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جهاز</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قارئ QR أو NFC على باب الحافلة</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موظف شركة تشغيل المحطة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Station operating company staff</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يدخل بوابة STATION بعامل ثانٍ</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موظفو الخصوصية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Privacy officers</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يقترحون سياسة الصورة ويعتمدونها بالمراحل</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موظف كاونتر الناقل</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Carrier counter agent</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يبيع نقداً ويقبض الحجوزات المؤجلة الدفع</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السائق أو مكتب الناقل أو الوكيل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Driver, carrier office or agent</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يرى صورة المسافر عند الصعود حسب الإعداد</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مزود التحقق من الهوية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Identity provider</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خارجي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مربوط بعد</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نظام كاونتر المحطة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Station's own counter system</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خارجي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المحطة الخاص، يُربط بالمنصة لاحقاً</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شاشات المحطة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Station screens</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جهاز</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لوحات المغادرة والبوابات</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رب العائلة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Head of family</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يدير حساب العائلة وأفرادها وقواعدها وإنفاقها</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فرد العائلة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Family member</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يحجز ضمن قواعد رب العائلة</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مسؤول أمن المنصة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Platform security officer</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أساسي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يضبط سياسة العامل الثاني ويراجع أحداث الدخول</w:t>
            </w:r>
          </w:p>
        </w:tc>
      </w:tr>
    </w:tbl>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مخططات حالات الاستخدام</w:t>
      </w:r>
    </w:p>
    <w:p>
      <w:pPr>
        <w:pStyle w:val="Heading2"/>
        <w:keepNext/>
        <w:bidi/>
        <w:spacing w:after="100" w:before="240"/>
        <w:jc w:val="right"/>
      </w:pPr>
      <w:r>
        <w:rPr>
          <w:rFonts w:ascii="Arial" w:cs="Arial" w:eastAsia="Arial" w:hAnsi="Arial"/>
          <w:b/>
          <w:bCs/>
          <w:color w:val="0A5BD3"/>
          <w:sz w:val="24"/>
          <w:szCs w:val="24"/>
          <w:rtl/>
        </w:rPr>
        <w:t xml:space="preserve">4.1 UC-0 نظرة عامة</w:t>
      </w:r>
    </w:p>
    <w:p>
      <w:pPr>
        <w:bidi/>
        <w:spacing w:after="120" w:line="300"/>
        <w:jc w:val="right"/>
      </w:pPr>
      <w:r>
        <w:rPr>
          <w:rFonts w:ascii="Arial" w:cs="Arial" w:eastAsia="Arial" w:hAnsi="Arial"/>
          <w:color w:val="0F1B2D"/>
          <w:sz w:val="21"/>
          <w:szCs w:val="21"/>
          <w:rtl/>
        </w:rPr>
        <w:t xml:space="preserve">الأنظمة الفرعية السبعة عشر ومجموعات الفاعلين التي تستعملها. كل نظام فرعي يقابل مخطط حالات استخدام بالرقم نفسه.</w:t>
      </w:r>
    </w:p>
    <w:p>
      <w:pPr>
        <w:keepNext/>
        <w:spacing w:after="60" w:before="120"/>
        <w:jc w:val="center"/>
      </w:pPr>
      <w:r>
        <w:drawing>
          <wp:inline distT="0" distB="0" distL="0" distR="0">
            <wp:extent cx="3771900" cy="857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71900" cy="85725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UC-0: الأنظمة الفرعية للمنصة والفاعلون</w:t>
      </w:r>
    </w:p>
    <w:p>
      <w:r>
        <w:br w:type="page"/>
      </w:r>
    </w:p>
    <w:p>
      <w:pPr>
        <w:pStyle w:val="Heading2"/>
        <w:keepNext/>
        <w:bidi/>
        <w:spacing w:after="100" w:before="240"/>
        <w:jc w:val="right"/>
      </w:pPr>
      <w:r>
        <w:rPr>
          <w:rFonts w:ascii="Arial" w:cs="Arial" w:eastAsia="Arial" w:hAnsi="Arial"/>
          <w:b/>
          <w:bCs/>
          <w:color w:val="0A5BD3"/>
          <w:sz w:val="24"/>
          <w:szCs w:val="24"/>
          <w:rtl/>
        </w:rPr>
        <w:t xml:space="preserve">4.2 UC-1 حجز الرحلات المجدولة</w:t>
      </w:r>
    </w:p>
    <w:p>
      <w:pPr>
        <w:keepNext/>
        <w:spacing w:after="60" w:before="120"/>
        <w:jc w:val="center"/>
      </w:pPr>
      <w:r>
        <w:drawing>
          <wp:inline distT="0" distB="0" distL="0" distR="0">
            <wp:extent cx="6096000"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54578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UC-1: حجز الرحلات المجدولة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البحث عن الرحلات ومقارنتها</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زائر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/api/trips/search; test_e2e</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تفاصيل الرحلة وخريطة المقاعد</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زائر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/api/trips/{uid}, seat map; test_seat_layouts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التسجيل والتحقق من الهوية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زائر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/api/auth/register; identity verification by a provider is not connected (1096)</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رحلة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/api/bookings; test_e2e</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المقاعد مؤقتاً</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/api/holds; test_e2e, test_sign_in_and_operations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إدخال بيانات المسافرين</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names as on the document, document number encrypted; test_e2e</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التدقيق الأمني للمسافرين</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الجهات الأمنية والحكومية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sec.screening_request/result (module international); not called at booking</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دفع قيمة الحجز</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بوابة الدفع أو المصرف</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wallet, counter, pay later (1056); test_payment_options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استبدال النقاط</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pricing.points_account, points_ledger; no redemption at booking</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شحن المحفظة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بوابة الدفع أو المصرف، 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/api/wallet/topup, /api/payments/topups; test_payments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التذكرة ورمز QR المتغير</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/api/tickets/{uid}: signed rotating QR; test_e2e</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الإلغاء والاسترداد</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/api/bookings/{ref}/cancel; test_e2e, test_money_boundaries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تقييم الرحلة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/api/support/ratings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تقديم شكوى أو مطالبة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/api/support/cases</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4.3 UC-2 النقل المكوكي</w:t>
      </w:r>
    </w:p>
    <w:p>
      <w:pPr>
        <w:keepNext/>
        <w:spacing w:after="60" w:before="120"/>
        <w:jc w:val="center"/>
      </w:pPr>
      <w:r>
        <w:drawing>
          <wp:inline distT="0" distB="0" distL="0" distR="0">
            <wp:extent cx="6096000" cy="600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600075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UC-2: النقل المكوكي</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إبقاء الموقع والبلوتوث مفعّلين</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الصعود بمسح ملصق المركبة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الصعود عبر بوابة QR أو NFC</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 جهاز بوابة الصعود</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fleet.boarding_validator (module tracking_stations)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دفع المقطع الأول</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الدفع عن المرافقين</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رفض الصعود لامتلاء المركبة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المتابعة إلى المحطة التالية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خصم المقطع التالي</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التنبيه إلى انخفاض الرصيد</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مزودو الإشعارات</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إثبات النزول برمز المحطة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اكتشاف النزول آلياً</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2.12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التذكرة النشطة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 المفتش</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shuttle pass from /api/w/subscriptions (module shuttle_subscriptions)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2.13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الاعتراض على خصم</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2.14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بث رمز وجود الرحلة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2.15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أجرة نقدية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2.16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مراقبة الصعود والسعة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(module shuttle_rides)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2.17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شراء اشتراك والحصول على بطاقة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/api/w/subscriptions: paid from the wallet, issues a pass; test_workflows</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4.4 UC-3 عمليات الناقل</w:t>
      </w:r>
    </w:p>
    <w:p>
      <w:pPr>
        <w:keepNext/>
        <w:spacing w:after="60" w:before="120"/>
        <w:jc w:val="center"/>
      </w:pPr>
      <w:r>
        <w:drawing>
          <wp:inline distT="0" distB="0" distL="0" distR="0">
            <wp:extent cx="561975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81915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UC-3: عمليات الناقل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الشركة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/api/auth/register, /api/company/documents; test_documents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الشركة واعتمادها</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/api/admin/companies/{uid}/status, documents decision; test_e2e</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المستخدمين والأدوار</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drivers are created with their role (POST /api/carrier/crew); other staff invitations and role choice are not built</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الأسطول والتراخيص</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/api/carrier/vehicles (a valid insurance policy is required)</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التراخيص</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أنظمة الترخيص الحكومية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licence dates locked, changed by request (fleet.license_change_request); no government source (gov_adapters off)</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السائقين والمرافقين</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/api/carrier/crew</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تعريف المسارات والمحطات والأسعار</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/api/carrier/routes, stations, fares (pricing_setup)</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جدولة الرحلات</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/api/carrier/trip-templates/{id}/generate, POST /api/carrier/trips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اكتمال الرحلة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 vehicle is required and the driver must be active; licence and tariff checks at publication are not complete</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نشر الرحلات</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/api/carrier/trips/{uid}/publish</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إسناد المركبة والطاقم</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vehicle and driver on POST /api/carrier/trips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3.12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قائمة الركاب</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/api/carrier/trips/{uid}/manifest; test_manifests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3.13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جدولة رحلة أو إلغاؤها</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ops.trip_change, trip_disruption; no cancellation workflow with refunds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3.14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المبيعات وكشف الحساب</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محاسب الشركة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/api/carrier/dashboard, /api/finance/balance, settlements; test_payouts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3.15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جدول الدفعات والسحب</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محاسب الشركة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/api/finance/withdrawals; test_payouts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3.16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الاشتراك والمقاعد</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bill.* (module carrier_billing)</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3.17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مخططات المقاعد</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/api/carrier/seat-layouts; test_seat_layouts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3.18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إتمام الرحلة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/api/carrier/trips/{uid}/complete: escrow released; test_e2e</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3.19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سعة العنبر وأسعار الشحن</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/api/carrier/parcels/tariffs, PUT /api/carrier/trips/{uid}/hold (module cargo); test_parcels</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4.5 UC-4 تطبيق السائق</w:t>
      </w:r>
    </w:p>
    <w:p>
      <w:pPr>
        <w:keepNext/>
        <w:spacing w:after="60" w:before="120"/>
        <w:jc w:val="center"/>
      </w:pPr>
      <w:r>
        <w:drawing>
          <wp:inline distT="0" distB="0" distL="0" distR="0">
            <wp:extent cx="6096000"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59436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UC-4: تطبيق السائق</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الرحلة المسندة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/api/driver/trips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إبقاء الموقع مفعّلاً</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driver app; positions refused for a trip that is not the driver's; test_telemetry</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مشاركة الموقع المباشر</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/api/driver/location, /locations; test_telemetry</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قائمة الركاب</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/api/driver/trips/{uid}/offline</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مسح رموز الصعود</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/api/driver/scan, /scans/batch; test_e2e</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الوصول والمغادرة في المحطات</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/api/driver/trips/{uid}/stops/{seq}</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بيع تذكرة نقداً</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cash sales at the carrier counter (/api/carrier/counter); not in the driver app</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إطلاق نداء استغاثة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 الجهات الأمنية والحكومية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sec.sos_event; no SOS action in the apps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استلام أمر من جهة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الجهات الأمنية والحكومية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sec.authority_order</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الإبلاغ عن حادث</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ops.incident_evidence; no incident action in the driver app</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دفع الوقود ببطاقة الوقود الافتراضية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 موظف محطة الوقود</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ptn.fuel_card, fuel_session (module service_partners)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4.12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رؤية صورة المسافر عند الصعود</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/api/driver/trips/{uid}/tickets/{uid}/photo (photo off until its legal basis); test_boarding_photo</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4.13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توثيق الجهاز</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/api/driver/device/attestation</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4.6 UC-5 الشحن والخدمات اللوجستية</w:t>
      </w:r>
    </w:p>
    <w:p>
      <w:pPr>
        <w:keepNext/>
        <w:spacing w:after="60" w:before="120"/>
        <w:jc w:val="center"/>
      </w:pPr>
      <w:r>
        <w:drawing>
          <wp:inline distT="0" distB="0" distL="0" distR="0">
            <wp:extent cx="6096000"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54578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UC-5: الشحن والخدمات اللوجستية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إنشاء شحنة والحصول على تسعيرة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المرسل أو المتجر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/api/parcels/quote, /api/w/parcels/quote; test_parcels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الدفع أو اختيار الدفع عند التسليم</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بوابة الدفع أو المصرف</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paid from the wallet; cash on delivery is data only (ship.cod_collection)</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الإيداع في نقطة استلام</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مشغل نقطة الاستلام</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ship.access_point</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القبول والوزن في المحطة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شركة الشحن أو مشغل المركز</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ship.weight_audit, tracking_event</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الفرز وتجميع وحدات المناولة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شركة الشحن أو مشغل المركز</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ship.handling_unit, hub, sort_window</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التحميل على رحلة النقل</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شركة الشحن أو مشغل المركز</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booked into the trip's hold (ship.capacity_booking, 1067); test_cargo_capacity</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تتبع الشحنة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المستلم، المرسل أو المتجر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/api/track/{tracking_no}</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خيارات التسليم</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المستلم</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ship.delivery_preference</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التسليم بإثبات</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المندوب</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ship.delivery_proof</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محاولة فاشلة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ship.delivery_attempt</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الاستلام من نقطة أو خزانة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مشغل نقطة الاستلام، المستلم</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ship.locker_compartment</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5.12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الإرجاع إلى المرسل</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شركة الشحن أو مشغل المركز</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ship.return_authorization</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5.13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تسوية الأجور وتحويل مبالغ التحصيل</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بوابة الدفع أو المصرف</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ship.cod_collection, partner_settlement</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5.14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تبادل الطلبات والتحديثات عبر الواجهة البرمجية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شركة شحن عالمية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/api/v1/shipments; ship.integration_partner</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5.15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تقديم مطالبة شحن</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المرسل أو المتجر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ship.cargo_claim</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5.16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مساحة في عنبر رحلة مجدولة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المرسل أو المتجر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/api/parcels; test_parcels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5.17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الاتفاق على سعر مع الناقل</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المرسل أو المتجر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/api/parcels/offers, /api/carrier/parcels/offers/{uid}/price; test_parcels</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4.7 UC-6 شركاء الخدمات والولاء</w:t>
      </w:r>
    </w:p>
    <w:p>
      <w:pPr>
        <w:keepNext/>
        <w:spacing w:after="60" w:before="120"/>
        <w:jc w:val="center"/>
      </w:pPr>
      <w:r>
        <w:drawing>
          <wp:inline distT="0" distB="0" distL="0" distR="0">
            <wp:extent cx="6096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447675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UC-6: شركاء الخدمات والولاء</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حدود الوقود لكل مركبة وسائق</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ptn.* (module service_partners)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تعبئة وقود</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محطة الوقود</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ptn.* (module service_partners)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بطاقة الوقود والموقع</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ptn.* (module service_partners)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الطلب المسبق من الاستراحة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ptn.* (module service_partners)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الدفع في الاستراحة برمز QR</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 الاستراحة أو التاجر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ptn.* (module service_partners)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استبدال النقاط</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pricing.points_account, points_ledger (module loyalty); no redemption flow</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كسب النقاط</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earn rate in pricing.loyalty_program; no earning job</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تحويل النقاط إلى برنامج شريك</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شريك الولاء، 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pricing.points_transfer (module loyalty_partners)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مبيعات الشركاء وتسوياتهم</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محطة الوقود، شريك الولاء، الاستراحة أو التاجر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ptn.* (module service_partners)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تقييم الاستراحة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ptn.* (module service_partners)</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4.8 UC-7 الإدارة والمالية والدعم</w:t>
      </w:r>
    </w:p>
    <w:p>
      <w:pPr>
        <w:keepNext/>
        <w:spacing w:after="60" w:before="120"/>
        <w:jc w:val="center"/>
      </w:pPr>
      <w:r>
        <w:drawing>
          <wp:inline distT="0" distB="0" distL="0" distR="0">
            <wp:extent cx="582930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29300" cy="81915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UC-7: الإدارة والمالية والدعم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الناقلين والشركاء</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/api/admin/companies, /api/admin/agencies, /api/admin/documents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المحطات والبيانات المرجعية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/api/admin/stations; reference data screens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السياسات والتعرفات</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pricing_setup screens; /api/admin/payment-methods; fee rules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معالجة حالة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الدعم</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/api/support/cases, /api/admin/support</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تقرير التعويض</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compensation recorded on the case (sales.passenger_compensation); no separate decision step</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دفع التعويض</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/api/admin/support/cases/{uid}/pay (compensation.pay)</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المطابقة اليومية للمصرف والمحافظ</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 بوابة الدفع أو المصرف</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/api/admin/payments/statements (bank matching); wallet reconciliation (1052); test_payments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تنفيذ دفعات الناقلين</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 بوابة الدفع أو المصرف</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/api/admin/finance/settlements, withdrawals; test_payouts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الحملات التسويقية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التسويق</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pricing.campaign, promo_code; promotions are not applied at booking</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المعالجة والموافقات</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حماية البيانات</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/api/admin/privacy/requests; data governance screens; test_account</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الإشراف على المساعد الذكي</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مشرف المساعد الذكي</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closed by the compliance gate (1055)</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7.12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مزامنة الحالات مع نظام خدمة العملاء</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خدمة العملاء (CRM)</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signed webhooks (/api/v1/webhooks); no CRM adapter</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7.13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الوحدات وإيقافها</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PUT /api/admin/modules/{key}; test_modules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7.14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متابعة نقد الكاونتر وتوريده</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/api/admin/cash: positions, remittances, limits, ageing</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7.15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القرار عبر مصفوفة الموافقات</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/api/admin/approvals; test_money_boundaries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7.16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مزودي الدفع والرسوم</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/api/admin/payments/providers, fee-rules; test_payments, test_money_boundaries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7.17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الأسواق</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markets with currency and time zone (D1); test_markets</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4.9 UC-8 الأمن والامتثال والجهات</w:t>
      </w:r>
    </w:p>
    <w:p>
      <w:pPr>
        <w:keepNext/>
        <w:spacing w:after="60" w:before="120"/>
        <w:jc w:val="center"/>
      </w:pPr>
      <w:r>
        <w:drawing>
          <wp:inline distT="0" distB="0" distL="0" distR="0">
            <wp:extent cx="6096000" cy="661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661035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UC-8: الأمن والامتثال والجهات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سياسات الجهات ومحوّلاتها</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requirement changes by two officers (/api/admin/compliance); adapters are data only (gov_adapters off)</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التدقيق على المسافرين والطواقم والمركبات</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الجهات الأمنية والحكومية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sec.screening_request (module international)</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تقديم البيان والحصول على الموافقة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الجهات الأمنية والحكومية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manifests issued, routed and acknowledged; boarding is not held until clearance</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إصدار أمر (منع، إيقاف، تحويل)</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الجهة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sec.authority_order</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طلب بيانات رسمية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الجهة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sec.authority_data_request</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الجهة وتسليم البيانات مشفّرة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verification of the authority and encrypted delivery</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لوحة الحوكمة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الجهة الرقابية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/api/regulator/dashboard; test_e2e</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التذاكر والمركبات ميدانياً</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المفتش</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keys for offline checks (/api/public/keys), sales.inspection_check; no inspector app</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صحة مستند</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متحقق من مستند</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/api/verify; test_e2e</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مراقبة أحداث الأمن وسجلات التدقيق</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/api/security/activity, auth-events, summary; test_audit_pipeline</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قواعد عناوين IP</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/api/security/ip-rules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8.12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تبادل رسائل البيان مع الحدود</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أنظمة الحدود</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/api/v1/border (module international); test_manifest_integrity</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8.13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مخالفات المسار</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/api/admin/violations/review (route compliance off at launch)</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8.14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منح مدقق خارجي وصولاً محدد المدة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/api/admin/external-access (1050)</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4.10 UC-9 قنوات التوزيع والوكالات</w:t>
      </w:r>
    </w:p>
    <w:p>
      <w:pPr>
        <w:keepNext/>
        <w:spacing w:after="60" w:before="120"/>
        <w:jc w:val="center"/>
      </w:pPr>
      <w:r>
        <w:drawing>
          <wp:inline distT="0" distB="0" distL="0" distR="0">
            <wp:extent cx="6096000" cy="496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49625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UC-9: قنوات التوزيع والوكالات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البحث والحجز ضمن الحصة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وكالة السفر أو الوكيل الفرعي</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/api/agency/holds, bookings; test_agency</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عبر واجهة القنوات</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منصة وسيطة (OTA / GDS)</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/api/v1/holds, bookings; test_integration</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الوكلاء الفرعيين والرصيد</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وكالة السفر أو الوكيل الفرعي</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agency staff and deposit top-ups; sub-agents are data only (sales.channel, off)</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الكشف والعمولات</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وكالة السفر أو الوكيل الفرعي، منصة وسيطة (OTA / GDS)</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/api/agency/statement; test_agency</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بأسعار الشركات التعاقدية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عميل الشركات</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corporate contract rates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إحالة العملاء برابط</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شريك الإحالة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affiliate referrals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حصص القنوات ونماذج العمولة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/api/admin/agencies/{uid}/agreement (quota, commission)</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تسوية عمولات القنوات</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agency commission released at trip completion; channel statements data only (intermediary_platforms off)</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عميل تكامل</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/api/integrations/clients; test_integration</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استلام إشعارات موقّعة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منصة وسيطة (OTA / GDS)</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/api/v1/webhooks; test_integration</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4.11 UC-10 المحاسبة والفوترة الإلكترونية</w:t>
      </w:r>
    </w:p>
    <w:p>
      <w:pPr>
        <w:keepNext/>
        <w:spacing w:after="60" w:before="120"/>
        <w:jc w:val="center"/>
      </w:pPr>
      <w:r>
        <w:drawing>
          <wp:inline distT="0" distB="0" distL="0" distR="0">
            <wp:extent cx="60960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46482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UC-10: المحاسبة والفوترة الإلكترونية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إصدار فاتورة إلكترونية لكل عملية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acct.einvoice_document; invoices are not issued automatically</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إقفال الفاتورة وتوقيعها</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numbering, hash chain, signature and QR of the invoice</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الإرسال إلى الهيئة الضريبية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الهيئة الضريبية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submission to the tax authority</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إصدار إشعار دائن أو مدين</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acct.credit_note (module accounting_ops)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ترحيل القيود من الأحداث</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التكامل المحاسبي</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every money movement is a balanced ledger transaction; journal entries and posting rules are data</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ربط الحسابات والمزامنة مع النظام المحاسبي</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التكامل المحاسبي، النظام المحاسبي (ERP)</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acct.export_batch, sync_job (module accounting_ops)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مطابقة الدفتر الفرعي مع العام</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 بوابة الدفع أو المصرف</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fin.wallet_reconciliation, ledger_close (1052)</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الملفات الضريبية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التكامل المحاسبي</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acct.tax_registration, pricing tax rules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إعداد التقارير المالية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reports: catalog, run, export, schedules; test_reports</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4.12 UC-11 محطات الصعود وشركات التشغيل</w:t>
      </w:r>
    </w:p>
    <w:p>
      <w:pPr>
        <w:keepNext/>
        <w:spacing w:after="60" w:before="120"/>
        <w:jc w:val="center"/>
      </w:pPr>
      <w:r>
        <w:drawing>
          <wp:inline distT="0" distB="0" distL="0" distR="0">
            <wp:extent cx="6096000" cy="692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69246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UC-11: محطات الصعود وشركات التشغيل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إعدادات الصعود</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1097 to 1099 (stations off at launch); test_boarding_stations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محطة واختيار نظام كاونترها</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نظام كاونتر المحطة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1097 to 1099 (stations off at launch); test_boarding_stations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كاونترات وبوابات ترقّمها المنصة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1097 to 1099 (stations off at launch); test_boarding_stations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شركة تشغيل</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1097 to 1099 (stations off at launch); test_boarding_stations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منح شركة مكلّفة من الدولة صلاحياتها</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1097 to 1099 (stations off at launch); test_boarding_stations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أرقام الاتفاقيات والتراخيص</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/api/carrier/references (phase 1A); test_boarding_stations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سحب رقم مرجعي</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/api/carrier/references/{uid}/retire; test_boarding_stations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منح شركة تشغيل صلاحية في محطة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1097 to 1099 (stations off at launch); test_boarding_stations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إلغاء منح</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مالك حساب الناقل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1097 to 1099 (stations off at launch); test_boarding_stations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الدخول إلى بوابة المحطة بعامل ثانٍ</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شركة تشغيل المحطة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1097 to 1099 (stations off at launch); test_boarding_stations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الصلاحيات والكاونترات</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شركة تشغيل المحطة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1097 to 1099 (stations off at launch); test_boarding_stations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11.12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الوصول وإصدار بطاقة الصعود</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شركة تشغيل المحطة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build step 3 (counter check and boarding pass)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11.13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تقرير ما إذا كانت الشركة مخوّلة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net.operator_may (1098); test_boarding_stations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11.14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البوابة على شاشات المحطة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شاشات المحطة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build step 4 (station screens)</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4.13 UC-12 صورة الصعود وسياستها</w:t>
      </w:r>
    </w:p>
    <w:p>
      <w:pPr>
        <w:keepNext/>
        <w:spacing w:after="60" w:before="120"/>
        <w:jc w:val="center"/>
      </w:pPr>
      <w:r>
        <w:drawing>
          <wp:inline distT="0" distB="0" distL="0" distR="0">
            <wp:extent cx="6096000" cy="708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70866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UC-12: صورة الصعود وسياستها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التقاط صورة الشخص أو أحد أفراد عائلته</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1086, 1094 (photo off until its legal basis); test_boarding_photo</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صورته</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/api/account/photo/image (1096); test_photo_settings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طلب تغيير صورة بالأدلة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1087 to 1096 (policy work at launch); test_photo_policy, test_a_photo_switch, test_photo_settings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تطبيق التغيير أو رفضه</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1087 to 1096 (policy work at launch); test_photo_policy, test_a_photo_switch, test_photo_settings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اقتراح قاعدة صورة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1087 to 1096 (policy work at launch); test_photo_policy, test_a_photo_switch, test_photo_settings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قاعدة أو سحبها</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1087 to 1096 (policy work at launch); test_photo_policy, test_a_photo_switch, test_photo_settings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الميزة بأساسها القانوني</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1087 to 1096 (policy work at launch); test_photo_policy, test_a_photo_switch, test_photo_settings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تغيير إعداد للصورة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1087 to 1096 (policy work at launch); test_photo_policy, test_a_photo_switch, test_photo_settings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تغيير بمراحله</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1087 to 1096 (policy work at launch); test_photo_policy, test_a_photo_switch, test_photo_settings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مراحل الموافقة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1087 to 1096 (policy work at launch); test_photo_policy, test_a_photo_switch, test_photo_settings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رؤية صورة المسافر عند الصعود</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مكتب الناقل أو الوكيل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1096 (photo off until its legal basis); test_boarding_photo</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12.12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إعداد العرض وحالة الصعود</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1096; test_photo_settings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12.13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الهوية عبر مزود</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مزود التحقق من الهوية، مسافر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no identity provider connected (IDENTITY_PROVIDER_NOT_CONFIGURED)</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4.14 UC-13 خيارات الدفع</w:t>
      </w:r>
    </w:p>
    <w:p>
      <w:pPr>
        <w:keepNext/>
        <w:spacing w:after="60" w:before="120"/>
        <w:jc w:val="center"/>
      </w:pPr>
      <w:r>
        <w:drawing>
          <wp:inline distT="0" distB="0" distL="0" distR="0">
            <wp:extent cx="60960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46482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UC-13: خيارات الدفع</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خيار دفع أو إغلاقه بسبب</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مالية المنصة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1056; test_payment_options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قنوات الخيار وحدوده وإعداداته</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مالية المنصة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1056; test_payment_options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الدفع فوراً من المحفظة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1056; test_payment_options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الآن والدفع لاحقاً في الكاونتر</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1056; test_payment_options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قبض النقد في الكاونتر</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كاونتر الناقل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1056; test_payment_options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البيع من رصيد الوكالة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وكالة السفر أو الوكيل الفرعي</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1056; test_payment_options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الدفع بالبطاقة أو بالتقسيط أو بالتمويل</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بوابة الدفع أو المصرف، مسافر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1056: closed until a provider is active; test_payment_options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أن الخيار مفتوح والمبلغ ضمن حدوده</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1056; test_payment_options</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4.15 UC-14 العائلات وفئات المسافرين</w:t>
      </w:r>
    </w:p>
    <w:p>
      <w:pPr>
        <w:keepNext/>
        <w:spacing w:after="60" w:before="120"/>
        <w:jc w:val="center"/>
      </w:pPr>
      <w:r>
        <w:drawing>
          <wp:inline distT="0" distB="0" distL="0" distR="0">
            <wp:extent cx="6096000" cy="610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61055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UC-14: العائلات وفئات المسافرين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14.1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فئات العمر وأسعار الفئات</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مالك حساب الناقل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pricing.passenger_age_band, category_fare_rule; test_families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14.2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معرفة من يُحسب طفلاً وكم يدفع كل مسافر</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/api/trips/{uid}; test_families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14.3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تسعير كل مسافر حسب فئته</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/api/bookings/quote; test_families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14.4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مع طفل ورضيع على الحضن</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/api/bookings; test_families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14.5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عائلة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 العائلة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/api/family; test_families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14.6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الأفراد وإدارتهم</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 العائلة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/api/family/members; test_families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14.7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الانضمام إلى عائلة من جهاز آخر</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فرد العائلة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/api/family/join, /api/family/requests; test_families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14.8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قواعد رب العائلة وحدود الإنفاق</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 العائلة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/api/family/rules, /api/family/spend; test_families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14.9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عرض العائلة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 العائلة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/api/family/offers; test_families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14.10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شراء بطاقات العائلة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 العائلة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/api/family/passes (module shuttle_subscriptions); test_families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14.11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مغادرة العائلة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فرد العائلة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/api/family/leave</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14.12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تشفير أرقام هواتف الأفراد</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encrypted and masked; test_families</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4.16 UC-15 بيانات الركاب ووثائق السفر</w:t>
      </w:r>
    </w:p>
    <w:p>
      <w:pPr>
        <w:keepNext/>
        <w:spacing w:after="60" w:before="120"/>
        <w:jc w:val="center"/>
      </w:pPr>
      <w:r>
        <w:drawing>
          <wp:inline distT="0" distB="0" distL="0" distR="0">
            <wp:extent cx="60960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39909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UC-15: بيانات الركاب ووثائق السفر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تحديد وجهات البيانات</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brd.manifest_route (module trip_manifests)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إصدار بيان رحلة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/api/carrier/trips/{uid}/manifests; test_manifests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توجيه البيان وتسليمه</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brd.manifest_delivery, /api/admin/manifests; test_manifests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تأكيد الاستلام</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الجهات الأمنية والحكومية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/api/admin/manifests/deliveries/{uid}/done, /api/v1/manifests; test_manifests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البيان وتصديره</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/api/carrier/manifests/{uid}/verify, /export</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إرسال بيان ما قبل الوصول</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pre-arrival manifest for international trips (module international); test_manifest_integrity</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تبادل الرسائل مع الحدود</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أنظمة الحدود</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/api/v1/border (module international); test_manifest_integrity</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الشحن إلى البيان الدولي</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brd.manifest_cargo (module international); test_manifest_integrity</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قواعد وثائق السفر</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/api/w/travel-rules (module international); test_travel_documents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استثناء بموظفَين</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/api/w/travel-rules/{id}/approve; test_travel_documents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وثيقة المسافر للرحلة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/api/w/travel-rules/check; test_travel_documents</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4.17 UC-16 الحساب والخصوصية وأمن الدخول</w:t>
      </w:r>
    </w:p>
    <w:p>
      <w:pPr>
        <w:keepNext/>
        <w:spacing w:after="60" w:before="120"/>
        <w:jc w:val="center"/>
      </w:pPr>
      <w:r>
        <w:drawing>
          <wp:inline distT="0" distB="0" distL="0" distR="0">
            <wp:extent cx="6096000" cy="562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56292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UC-16: الحساب والخصوصية وأمن الدخول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الدخول بعامل تحقق ثانٍ</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 مسافر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/api/auth/mfa; test_mfa, test_e2e</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الجلسات والأجهزة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/api/account/sessions, devices; test_account</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تغيير كلمة المرور</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/api/account/password; test_account</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إعطاء الموافقة أو سحبها</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/api/account/consents; test_account</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تصدير بياناتي</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GET /api/account/export; test_account</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طلب المحو</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/api/account/erasure; test_account</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تعطيل الحساب وإعادة تفعيله</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/api/account/deactivate, /api/auth/reactivate</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سياسة العامل الثاني لكل بوابة</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أمن المنصة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PUT /api/security/mfa-policy</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16.9</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قفل الحساب بعد محاولات فاشلة</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حالة أخرى</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shared limits in the database; test_e2e, test_shared_limits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16.10</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إتمام طلب المحو</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حماية البيانات</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/api/admin/privacy/requests/{uid}/complete; test_account</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16.11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إرسال رموز الدخول برسالة أو واتساب</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مزودو الإشعارات</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/api/auth/mfa/send; test_sign_in_and_operations</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4.18 UC-17 خدمات المراحل اللاحقة</w:t>
      </w:r>
    </w:p>
    <w:p>
      <w:pPr>
        <w:keepNext/>
        <w:spacing w:after="60" w:before="120"/>
        <w:jc w:val="center"/>
      </w:pPr>
      <w:r>
        <w:drawing>
          <wp:inline distT="0" distB="0" distL="0" distR="0">
            <wp:extent cx="6096000" cy="757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75723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UC-17: خدمات المراحل اللاحقة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506"/>
        <w:gridCol w:w="1831"/>
        <w:gridCol w:w="1349"/>
        <w:gridCol w:w="3277"/>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الدليل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17.1</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تقدير أجرة سيارة الأجرة وطلبها</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/api/w/taxi (module taxi, phase 11); test_workflows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17.2</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البحث عن سيارة للإيجار وحجزها</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/api/w/rental (module car_rental, phase 12); test_workflows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17.3</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نشر طلب شحن بضائع وترسية عرض</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 المرسل أو المتجر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/api/w/freight (module freight, phase 8); test_workflows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17.4</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النقل المدرسي</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sch.* (module school_transport)</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17.5</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النقل التعاقدي</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ctr.* (module contract_transport, phase 14)</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17.6</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بيع رحلات القطارات</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rail.* (module rail, phase 10)</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17.7</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تخطيط ممرات العبور ونقاط العبور</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net.corridor, ops.crossing_* (module transit_passengers, phase 13)</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17.8</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الخطوط وتصاريحها</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مالك حساب الناقل</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net.line* (module approved_lines, phase 2)</w:t>
            </w:r>
          </w:p>
        </w:tc>
      </w:tr>
    </w:tbl>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5. مواصفات حالات الاستخدام الرئيسية كما بُنيت</w:t>
      </w:r>
    </w:p>
    <w:p>
      <w:pPr>
        <w:bidi/>
        <w:spacing w:after="120" w:line="300"/>
        <w:jc w:val="right"/>
      </w:pPr>
      <w:r>
        <w:rPr>
          <w:rFonts w:ascii="Arial" w:cs="Arial" w:eastAsia="Arial" w:hAnsi="Arial"/>
          <w:color w:val="0F1B2D"/>
          <w:sz w:val="21"/>
          <w:szCs w:val="21"/>
          <w:rtl/>
        </w:rPr>
        <w:t xml:space="preserve">تصف هذه المواصفات السلوك المبني، برموز الأخطاء التي يعيدها النظام فعلاً. أما مواصفات الوثيقة 1.0 للحالات غير المبنية (مثل الصعود في الخطوط المكوكية والتسليم بإثبات والفوترة الإلكترونية) فتبقى مواصفات للتصميم المستهدف.</w:t>
      </w:r>
    </w:p>
    <w:p>
      <w:pPr>
        <w:pStyle w:val="Heading3"/>
        <w:keepNext/>
        <w:bidi/>
        <w:spacing w:after="80" w:before="180"/>
        <w:jc w:val="right"/>
      </w:pPr>
      <w:r>
        <w:rPr>
          <w:rFonts w:ascii="Arial" w:cs="Arial" w:eastAsia="Arial" w:hAnsi="Arial"/>
          <w:b/>
          <w:bCs/>
          <w:color w:val="0B1F3F"/>
          <w:sz w:val="22"/>
          <w:szCs w:val="22"/>
          <w:rtl/>
        </w:rPr>
        <w:t xml:space="preserve">UCS-1.4 حجز رحلة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77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المحتوى</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الفاعل</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المسافر، أو رب العائلة لأفراد عائلته</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الشروط المسبقة</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الرحلة منشورة والبيع مفتوح من محطة الصعود؛ المسافر داخل حسابه؛ خيار الدفع مفتوح لقناته</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السيناريو الأساسي</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 يختار الرحلة والمقاطع والمقاعد.</w:t>
            </w:r>
          </w:p>
          <w:p>
            <w:pPr>
              <w:bidi/>
              <w:spacing w:after="0" w:line="255"/>
              <w:jc w:val="right"/>
            </w:pPr>
            <w:r>
              <w:rPr>
                <w:rFonts w:ascii="Arial" w:cs="Arial" w:eastAsia="Arial" w:hAnsi="Arial"/>
                <w:b w:val="false"/>
                <w:bCs w:val="false"/>
                <w:color w:val="0F1B2D"/>
                <w:sz w:val="17"/>
                <w:szCs w:val="17"/>
                <w:rtl/>
              </w:rPr>
              <w:t xml:space="preserve">2. POST /api/holds: تحجز المنصة المقاعد مؤقتاً وتعيد رمز الحجز المؤقت.</w:t>
            </w:r>
          </w:p>
          <w:p>
            <w:pPr>
              <w:bidi/>
              <w:spacing w:after="0" w:line="255"/>
              <w:jc w:val="right"/>
            </w:pPr>
            <w:r>
              <w:rPr>
                <w:rFonts w:ascii="Arial" w:cs="Arial" w:eastAsia="Arial" w:hAnsi="Arial"/>
                <w:b w:val="false"/>
                <w:bCs w:val="false"/>
                <w:color w:val="0F1B2D"/>
                <w:sz w:val="17"/>
                <w:szCs w:val="17"/>
                <w:rtl/>
              </w:rPr>
              <w:t xml:space="preserve">3. يُدخل بيانات المسافرين كما في الوثيقة؛ ويُشفَّر رقم الوثيقة قبل وصوله إلى القاعدة.</w:t>
            </w:r>
          </w:p>
          <w:p>
            <w:pPr>
              <w:bidi/>
              <w:spacing w:after="0" w:line="255"/>
              <w:jc w:val="right"/>
            </w:pPr>
            <w:r>
              <w:rPr>
                <w:rFonts w:ascii="Arial" w:cs="Arial" w:eastAsia="Arial" w:hAnsi="Arial"/>
                <w:b w:val="false"/>
                <w:bCs w:val="false"/>
                <w:color w:val="0F1B2D"/>
                <w:sz w:val="17"/>
                <w:szCs w:val="17"/>
                <w:rtl/>
              </w:rPr>
              <w:t xml:space="preserve">4. POST /api/bookings مع خيار الدفع ومفتاح منع التكرار؛ ويُسعَّر كل مسافر حسب فئته.</w:t>
            </w:r>
          </w:p>
          <w:p>
            <w:pPr>
              <w:bidi/>
              <w:spacing w:after="0" w:line="255"/>
              <w:jc w:val="right"/>
            </w:pPr>
            <w:r>
              <w:rPr>
                <w:rFonts w:ascii="Arial" w:cs="Arial" w:eastAsia="Arial" w:hAnsi="Arial"/>
                <w:b w:val="false"/>
                <w:bCs w:val="false"/>
                <w:color w:val="0F1B2D"/>
                <w:sz w:val="17"/>
                <w:szCs w:val="17"/>
                <w:rtl/>
              </w:rPr>
              <w:t xml:space="preserve">5. بالمحفظة: يُخصم المبلغ ويُحجز ضماناً، فيصبح الحجز CONFIRMED والتذاكر ISSUED.</w:t>
            </w:r>
          </w:p>
          <w:p>
            <w:pPr>
              <w:bidi/>
              <w:spacing w:after="0" w:line="255"/>
              <w:jc w:val="right"/>
            </w:pPr>
            <w:r>
              <w:rPr>
                <w:rFonts w:ascii="Arial" w:cs="Arial" w:eastAsia="Arial" w:hAnsi="Arial"/>
                <w:b w:val="false"/>
                <w:bCs w:val="false"/>
                <w:color w:val="0F1B2D"/>
                <w:sz w:val="17"/>
                <w:szCs w:val="17"/>
                <w:rtl/>
              </w:rPr>
              <w:t xml:space="preserve">6. بخيار آخر: يبقى الحجز PENDING_PAYMENT حتى موعد pay_by (UCS-13.4).</w:t>
            </w:r>
          </w:p>
          <w:p>
            <w:pPr>
              <w:bidi/>
              <w:spacing w:after="0" w:line="255"/>
              <w:jc w:val="right"/>
            </w:pPr>
            <w:r>
              <w:rPr>
                <w:rFonts w:ascii="Arial" w:cs="Arial" w:eastAsia="Arial" w:hAnsi="Arial"/>
                <w:b w:val="false"/>
                <w:bCs w:val="false"/>
                <w:color w:val="0F1B2D"/>
                <w:sz w:val="17"/>
                <w:szCs w:val="17"/>
                <w:rtl/>
              </w:rPr>
              <w:t xml:space="preserve">7. تُعرض التذكرة برمز QR موقّع متغير.</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الاستثناءات</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SEAT_TAKEN، TOO_MANY_HOLDS (429)، HOLD_EXPIRED، INVALID_HOLD، SALES_CLOSED، INSUFFICIENT_BALANCE (402)، PAYMENT_METHOD_DISABLED، PHOTO_REQUIRED حين تُلزم قاعدة صورة نافذة، ADULT_REQUIRED، TOO_MANY_LAP_INFANTS</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الشروط اللاحقة</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المقاعد مباعة؛ قيود الدفتر متوازنة؛ تكرار الطلب بالمفتاح نفسه يعيد الحجز نفسه</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الاختبارات</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test_e2e، test_families، test_payment_options، test_sign_in_and_operations</w:t>
            </w:r>
          </w:p>
        </w:tc>
      </w:tr>
    </w:tbl>
    <w:p>
      <w:pPr>
        <w:pStyle w:val="Heading3"/>
        <w:keepNext/>
        <w:bidi/>
        <w:spacing w:after="80" w:before="180"/>
        <w:jc w:val="right"/>
      </w:pPr>
      <w:r>
        <w:rPr>
          <w:rFonts w:ascii="Arial" w:cs="Arial" w:eastAsia="Arial" w:hAnsi="Arial"/>
          <w:b/>
          <w:bCs/>
          <w:color w:val="0B1F3F"/>
          <w:sz w:val="22"/>
          <w:szCs w:val="22"/>
          <w:rtl/>
        </w:rPr>
        <w:t xml:space="preserve">UCS-1.12 الإلغاء والاسترداد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77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المحتوى</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الفاعل</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المسافر، أو الوكالة لحجوزاتها</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الشروط المسبقة</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الحجز CONFIRMED ولم يصعد أي مسافر من مسافريه</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السيناريو الأساسي</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 POST /api/bookings/{ref}/cancel.</w:t>
            </w:r>
          </w:p>
          <w:p>
            <w:pPr>
              <w:bidi/>
              <w:spacing w:after="0" w:line="255"/>
              <w:jc w:val="right"/>
            </w:pPr>
            <w:r>
              <w:rPr>
                <w:rFonts w:ascii="Arial" w:cs="Arial" w:eastAsia="Arial" w:hAnsi="Arial"/>
                <w:b w:val="false"/>
                <w:bCs w:val="false"/>
                <w:color w:val="0F1B2D"/>
                <w:sz w:val="17"/>
                <w:szCs w:val="17"/>
                <w:rtl/>
              </w:rPr>
              <w:t xml:space="preserve">2. تحسب المنصة المسترد لكل تذكرة من جدول فئة السعر المحفوظ في الحجز والساعات الباقية قبل المغادرة.</w:t>
            </w:r>
          </w:p>
          <w:p>
            <w:pPr>
              <w:bidi/>
              <w:spacing w:after="0" w:line="255"/>
              <w:jc w:val="right"/>
            </w:pPr>
            <w:r>
              <w:rPr>
                <w:rFonts w:ascii="Arial" w:cs="Arial" w:eastAsia="Arial" w:hAnsi="Arial"/>
                <w:b w:val="false"/>
                <w:bCs w:val="false"/>
                <w:color w:val="0F1B2D"/>
                <w:sz w:val="17"/>
                <w:szCs w:val="17"/>
                <w:rtl/>
              </w:rPr>
              <w:t xml:space="preserve">3. يعود المبلغ إلى محفظة المشتري، ويبقى غير المسترد للناقل رسمَ إلغاء.</w:t>
            </w:r>
          </w:p>
          <w:p>
            <w:pPr>
              <w:bidi/>
              <w:spacing w:after="0" w:line="255"/>
              <w:jc w:val="right"/>
            </w:pPr>
            <w:r>
              <w:rPr>
                <w:rFonts w:ascii="Arial" w:cs="Arial" w:eastAsia="Arial" w:hAnsi="Arial"/>
                <w:b w:val="false"/>
                <w:bCs w:val="false"/>
                <w:color w:val="0F1B2D"/>
                <w:sz w:val="17"/>
                <w:szCs w:val="17"/>
                <w:rtl/>
              </w:rPr>
              <w:t xml:space="preserve">4. لا تحتفظ الوكالة من عمولتها إلا بنسبة ما لم يُسترد.</w:t>
            </w:r>
          </w:p>
          <w:p>
            <w:pPr>
              <w:bidi/>
              <w:spacing w:after="0" w:line="255"/>
              <w:jc w:val="right"/>
            </w:pPr>
            <w:r>
              <w:rPr>
                <w:rFonts w:ascii="Arial" w:cs="Arial" w:eastAsia="Arial" w:hAnsi="Arial"/>
                <w:b w:val="false"/>
                <w:bCs w:val="false"/>
                <w:color w:val="0F1B2D"/>
                <w:sz w:val="17"/>
                <w:szCs w:val="17"/>
                <w:rtl/>
              </w:rPr>
              <w:t xml:space="preserve">5. تُلغى التذاكر وتتحرر المقاعد.</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الاستثناءات</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CANNOT_CANCEL: الحجز لا يقبل الإلغاء، أو صعد أحد مسافريه.</w:t>
            </w:r>
          </w:p>
          <w:p>
            <w:pPr>
              <w:bidi/>
              <w:spacing w:after="0" w:line="255"/>
              <w:jc w:val="right"/>
            </w:pPr>
            <w:r>
              <w:rPr>
                <w:rFonts w:ascii="Arial" w:cs="Arial" w:eastAsia="Arial" w:hAnsi="Arial"/>
                <w:b w:val="false"/>
                <w:bCs w:val="false"/>
                <w:color w:val="0F1B2D"/>
                <w:sz w:val="17"/>
                <w:szCs w:val="17"/>
                <w:rtl/>
              </w:rPr>
              <w:t xml:space="preserve">CANCEL_AT_COUNTER: حجز دُفع نقداً والمحفظة مغلقة، فيُلغى في كاونتر الناقل ويُعاد النقد.</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القواعد</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الاسترداد يُحجز ويُرسل مرة واحدة ويُقيد عند قبوله؛ الإلغاء والصعود في اللحظة نفسها ينتهيان بنتيجة واحدة (test_scenarios)</w:t>
            </w:r>
          </w:p>
        </w:tc>
      </w:tr>
    </w:tbl>
    <w:p>
      <w:pPr>
        <w:pStyle w:val="Heading3"/>
        <w:keepNext/>
        <w:bidi/>
        <w:spacing w:after="80" w:before="180"/>
        <w:jc w:val="right"/>
      </w:pPr>
      <w:r>
        <w:rPr>
          <w:rFonts w:ascii="Arial" w:cs="Arial" w:eastAsia="Arial" w:hAnsi="Arial"/>
          <w:b/>
          <w:bCs/>
          <w:color w:val="0B1F3F"/>
          <w:sz w:val="22"/>
          <w:szCs w:val="22"/>
          <w:rtl/>
        </w:rPr>
        <w:t xml:space="preserve">UCS-4.5 مسح رموز الصعود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77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المحتوى</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الفاعل</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السائق المسند إلى الرحلة</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الشروط المسبقة</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الرحلة منشورة أو في الصعود؛ جهاز السائق موثّق (DEVICE_REQUIRED)</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السيناريو الأساسي</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 يمسح رمز QR من تطبيق المسافر أو من التذكرة المطبوعة.</w:t>
            </w:r>
          </w:p>
          <w:p>
            <w:pPr>
              <w:bidi/>
              <w:spacing w:after="0" w:line="255"/>
              <w:jc w:val="right"/>
            </w:pPr>
            <w:r>
              <w:rPr>
                <w:rFonts w:ascii="Arial" w:cs="Arial" w:eastAsia="Arial" w:hAnsi="Arial"/>
                <w:b w:val="false"/>
                <w:bCs w:val="false"/>
                <w:color w:val="0F1B2D"/>
                <w:sz w:val="17"/>
                <w:szCs w:val="17"/>
                <w:rtl/>
              </w:rPr>
              <w:t xml:space="preserve">2. تتحقق المنصة من توقيع الرمز ووقته.</w:t>
            </w:r>
          </w:p>
          <w:p>
            <w:pPr>
              <w:bidi/>
              <w:spacing w:after="0" w:line="255"/>
              <w:jc w:val="right"/>
            </w:pPr>
            <w:r>
              <w:rPr>
                <w:rFonts w:ascii="Arial" w:cs="Arial" w:eastAsia="Arial" w:hAnsi="Arial"/>
                <w:b w:val="false"/>
                <w:bCs w:val="false"/>
                <w:color w:val="0F1B2D"/>
                <w:sz w:val="17"/>
                <w:szCs w:val="17"/>
                <w:rtl/>
              </w:rPr>
              <w:t xml:space="preserve">3. تتحقق أن الرحلة مسندة إليه وأن التذكرة لهذه الرحلة وتغطي محطة الصعود.</w:t>
            </w:r>
          </w:p>
          <w:p>
            <w:pPr>
              <w:bidi/>
              <w:spacing w:after="0" w:line="255"/>
              <w:jc w:val="right"/>
            </w:pPr>
            <w:r>
              <w:rPr>
                <w:rFonts w:ascii="Arial" w:cs="Arial" w:eastAsia="Arial" w:hAnsi="Arial"/>
                <w:b w:val="false"/>
                <w:bCs w:val="false"/>
                <w:color w:val="0F1B2D"/>
                <w:sz w:val="17"/>
                <w:szCs w:val="17"/>
                <w:rtl/>
              </w:rPr>
              <w:t xml:space="preserve">4. تصبح التذكرة BOARDED ويُسجَّل حدث صعود؛ وأول مسح ناجح ينقل الرحلة من PUBLISHED إلى BOARDING.</w:t>
            </w:r>
          </w:p>
          <w:p>
            <w:pPr>
              <w:bidi/>
              <w:spacing w:after="0" w:line="255"/>
              <w:jc w:val="right"/>
            </w:pPr>
            <w:r>
              <w:rPr>
                <w:rFonts w:ascii="Arial" w:cs="Arial" w:eastAsia="Arial" w:hAnsi="Arial"/>
                <w:b w:val="false"/>
                <w:bCs w:val="false"/>
                <w:color w:val="0F1B2D"/>
                <w:sz w:val="17"/>
                <w:szCs w:val="17"/>
                <w:rtl/>
              </w:rPr>
              <w:t xml:space="preserve">5. دون اتصال: يعمل التطبيق من حزمة الرحلة، ثم يرسل المسوحات دفعة واحدة (/api/driver/scans/batch).</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النتائج المرفوضة</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NOT_ASSIGNED (403)، INVALID_QR، WRONG_TRIP، WRONG_STOP، UNKNOWN_STOP، DUPLICATE، PHOTO_REQUIRED؛ ويُرفض مسح دون اتصال أقدم من صلاحية الحزمة</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القواعد</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كل مسح يُسجَّل، ناجحاً أو مرفوضاً مع سببه؛ ولا تُرى صورة المسافر إلا والرحلة في حالة BOARDING</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الاختبارات</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test_e2e، test_sign_in_and_operations، test_boarding_photo</w:t>
            </w:r>
          </w:p>
        </w:tc>
      </w:tr>
    </w:tbl>
    <w:p>
      <w:pPr>
        <w:pStyle w:val="Heading3"/>
        <w:keepNext/>
        <w:bidi/>
        <w:spacing w:after="80" w:before="180"/>
        <w:jc w:val="right"/>
      </w:pPr>
      <w:r>
        <w:rPr>
          <w:rFonts w:ascii="Arial" w:cs="Arial" w:eastAsia="Arial" w:hAnsi="Arial"/>
          <w:b/>
          <w:bCs/>
          <w:color w:val="0B1F3F"/>
          <w:sz w:val="22"/>
          <w:szCs w:val="22"/>
          <w:rtl/>
        </w:rPr>
        <w:t xml:space="preserve">UCS-15.2 إصدار بيان رحلة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77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المحتوى</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الفاعل</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منظم الرحلات لدى الناقل</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الشروط المسبقة</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وحدة بيانات الركاب مفتوحة (مفتوحة عند الإطلاق)؛ الرحلة منشورة</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السيناريو الأساسي</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 POST /api/carrier/trips/{uid}/manifests.</w:t>
            </w:r>
          </w:p>
          <w:p>
            <w:pPr>
              <w:bidi/>
              <w:spacing w:after="0" w:line="255"/>
              <w:jc w:val="right"/>
            </w:pPr>
            <w:r>
              <w:rPr>
                <w:rFonts w:ascii="Arial" w:cs="Arial" w:eastAsia="Arial" w:hAnsi="Arial"/>
                <w:b w:val="false"/>
                <w:bCs w:val="false"/>
                <w:color w:val="0F1B2D"/>
                <w:sz w:val="17"/>
                <w:szCs w:val="17"/>
                <w:rtl/>
              </w:rPr>
              <w:t xml:space="preserve">2. تبني المنصة البيان من التذاكر: المسافرون ومقاعدهم ووثائقهم، والشحن في البيان الدولي.</w:t>
            </w:r>
          </w:p>
          <w:p>
            <w:pPr>
              <w:bidi/>
              <w:spacing w:after="0" w:line="255"/>
              <w:jc w:val="right"/>
            </w:pPr>
            <w:r>
              <w:rPr>
                <w:rFonts w:ascii="Arial" w:cs="Arial" w:eastAsia="Arial" w:hAnsi="Arial"/>
                <w:b w:val="false"/>
                <w:bCs w:val="false"/>
                <w:color w:val="0F1B2D"/>
                <w:sz w:val="17"/>
                <w:szCs w:val="17"/>
                <w:rtl/>
              </w:rPr>
              <w:t xml:space="preserve">3. يُوقَّع البيان ويُحفظ.</w:t>
            </w:r>
          </w:p>
          <w:p>
            <w:pPr>
              <w:bidi/>
              <w:spacing w:after="0" w:line="255"/>
              <w:jc w:val="right"/>
            </w:pPr>
            <w:r>
              <w:rPr>
                <w:rFonts w:ascii="Arial" w:cs="Arial" w:eastAsia="Arial" w:hAnsi="Arial"/>
                <w:b w:val="false"/>
                <w:bCs w:val="false"/>
                <w:color w:val="0F1B2D"/>
                <w:sz w:val="17"/>
                <w:szCs w:val="17"/>
                <w:rtl/>
              </w:rPr>
              <w:t xml:space="preserve">4. يُوجَّه إلى الجهات المحددة في وجهات البيانات ويُسلَّم.</w:t>
            </w:r>
          </w:p>
          <w:p>
            <w:pPr>
              <w:bidi/>
              <w:spacing w:after="0" w:line="255"/>
              <w:jc w:val="right"/>
            </w:pPr>
            <w:r>
              <w:rPr>
                <w:rFonts w:ascii="Arial" w:cs="Arial" w:eastAsia="Arial" w:hAnsi="Arial"/>
                <w:b w:val="false"/>
                <w:bCs w:val="false"/>
                <w:color w:val="0F1B2D"/>
                <w:sz w:val="17"/>
                <w:szCs w:val="17"/>
                <w:rtl/>
              </w:rPr>
              <w:t xml:space="preserve">5. تؤكد الجهة الاستلام، ويُسجَّل التأكيد.</w:t>
            </w:r>
          </w:p>
          <w:p>
            <w:pPr>
              <w:bidi/>
              <w:spacing w:after="0" w:line="255"/>
              <w:jc w:val="right"/>
            </w:pPr>
            <w:r>
              <w:rPr>
                <w:rFonts w:ascii="Arial" w:cs="Arial" w:eastAsia="Arial" w:hAnsi="Arial"/>
                <w:b w:val="false"/>
                <w:bCs w:val="false"/>
                <w:color w:val="0F1B2D"/>
                <w:sz w:val="17"/>
                <w:szCs w:val="17"/>
                <w:rtl/>
              </w:rPr>
              <w:t xml:space="preserve">6. يتحقق الناقل من البيان ويصدّره.</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الاستثناءات</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TRIP_NOT_PUBLISHED؛ MANIFEST_TYPE_SCOPE (بيان ما قبل الوصول للرحلات الدولية فقط)؛ CROSSING_PLAN_REQUIRED؛ MANIFEST_DOC_REQUIRED (مسافر رحلة دولية دون وثيقة أو تاريخ ميلاد)؛ MANIFEST_CARGO_WEIGHT؛ NOTHING_TO_AMEND؛ ALREADY_ANSWERED</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الاختبارات</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test_manifests، test_manifest_integrity</w:t>
            </w:r>
          </w:p>
        </w:tc>
      </w:tr>
    </w:tbl>
    <w:p>
      <w:pPr>
        <w:bidi/>
        <w:spacing w:after="120" w:line="300"/>
        <w:jc w:val="right"/>
      </w:pPr>
      <w:r>
        <w:rPr>
          <w:rFonts w:ascii="Arial" w:cs="Arial" w:eastAsia="Arial" w:hAnsi="Arial"/>
          <w:color w:val="0F1B2D"/>
          <w:sz w:val="21"/>
          <w:szCs w:val="21"/>
          <w:rtl/>
        </w:rPr>
        <w:t xml:space="preserve">ومواصفات UCS-11.3 وUCS-11.8 وUCS-11.11 وUCS-12.9 وUCS-12.11 وUCS-13.4 في ملحق نماذج النظام 1.0، وهي سارية كما هي.</w:t>
      </w:r>
    </w:p>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6. ما لم يُبنَ وما بُني جزئياً</w:t>
      </w:r>
    </w:p>
    <w:p>
      <w:pPr>
        <w:bidi/>
        <w:spacing w:after="120" w:line="300"/>
        <w:jc w:val="right"/>
      </w:pPr>
      <w:r>
        <w:rPr>
          <w:rFonts w:ascii="Arial" w:cs="Arial" w:eastAsia="Arial" w:hAnsi="Arial"/>
          <w:color w:val="0F1B2D"/>
          <w:sz w:val="21"/>
          <w:szCs w:val="21"/>
          <w:rtl/>
        </w:rPr>
        <w:t xml:space="preserve">هذه القائمة هي الفجوة الوظيفية بين التصميم والنظام المبني، وتُقرأ مع خطة التنفيذ. الحالات المغلقة عند الإطلاق ليست هنا لأنها مبنية.</w:t>
      </w:r>
    </w:p>
    <w:p>
      <w:pPr>
        <w:pStyle w:val="Heading2"/>
        <w:keepNext/>
        <w:bidi/>
        <w:spacing w:after="100" w:before="240"/>
        <w:jc w:val="right"/>
      </w:pPr>
      <w:r>
        <w:rPr>
          <w:rFonts w:ascii="Arial" w:cs="Arial" w:eastAsia="Arial" w:hAnsi="Arial"/>
          <w:b/>
          <w:bCs/>
          <w:color w:val="0A5BD3"/>
          <w:sz w:val="24"/>
          <w:szCs w:val="24"/>
          <w:rtl/>
        </w:rPr>
        <w:t xml:space="preserve">6.1 غير مبنية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084"/>
        <w:gridCol w:w="964"/>
        <w:gridCol w:w="4819"/>
      </w:tblGrid>
      <w:tr>
        <w:trPr>
          <w:tblHeader/>
        </w:trPr>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308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المخطط</w:t>
            </w:r>
          </w:p>
        </w:tc>
        <w:tc>
          <w:tcPr>
            <w:tcW w:type="dxa" w:w="481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الملاحظة</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8.6</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الجهة وتسليم البيانات مشفّرة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UC-8</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verification of the authority and encrypted delivery</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9.5</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بأسعار الشركات التعاقدية</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UC-9</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corporate contract rates</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9.6</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إحالة العملاء برابط</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UC-9</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affiliate referrals</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10.2</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إقفال الفاتورة وتوقيعها</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UC-10</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numbering, hash chain, signature and QR of the invoice</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10.3</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الإرسال إلى الهيئة الضريبية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UC-10</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submission to the tax authority</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11.12</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الوصول وإصدار بطاقة الصعود</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UC-11</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build step 3 (counter check and boarding pass)</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11.14</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البوابة على شاشات المحطة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UC-11</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build step 4 (station screens)</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12.13</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الهوية عبر مزود</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UC-12</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no identity provider connected (IDENTITY_PROVIDER_NOT_CONFIGURED)</w:t>
            </w:r>
          </w:p>
        </w:tc>
      </w:tr>
    </w:tbl>
    <w:p>
      <w:pPr>
        <w:pStyle w:val="Heading2"/>
        <w:keepNext/>
        <w:bidi/>
        <w:spacing w:after="100" w:before="240"/>
        <w:jc w:val="right"/>
      </w:pPr>
      <w:r>
        <w:rPr>
          <w:rFonts w:ascii="Arial" w:cs="Arial" w:eastAsia="Arial" w:hAnsi="Arial"/>
          <w:b/>
          <w:bCs/>
          <w:color w:val="0A5BD3"/>
          <w:sz w:val="24"/>
          <w:szCs w:val="24"/>
          <w:rtl/>
        </w:rPr>
        <w:t xml:space="preserve">6.2 مبنية جزئياً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699"/>
        <w:gridCol w:w="964"/>
        <w:gridCol w:w="5205"/>
      </w:tblGrid>
      <w:tr>
        <w:trPr>
          <w:tblHeader/>
        </w:trPr>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المخطط</w:t>
            </w:r>
          </w:p>
        </w:tc>
        <w:tc>
          <w:tcPr>
            <w:tcW w:type="dxa" w:w="520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المبني والناقص</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التسجيل والتحقق من الهوية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UC-1</w:t>
            </w:r>
          </w:p>
        </w:tc>
        <w:tc>
          <w:tcPr>
            <w:tcW w:type="dxa" w:w="520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POST /api/auth/register; identity verification by a provider is not connected (1096)</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3.3</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المستخدمين والأدوار</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UC-3</w:t>
            </w:r>
          </w:p>
        </w:tc>
        <w:tc>
          <w:tcPr>
            <w:tcW w:type="dxa" w:w="520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drivers are created with their role (POST /api/carrier/crew); other staff invitations and role choice are not built</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3.5</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التراخيص</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UC-3</w:t>
            </w:r>
          </w:p>
        </w:tc>
        <w:tc>
          <w:tcPr>
            <w:tcW w:type="dxa" w:w="520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licence dates locked, changed by request (fleet.license_change_request); no government source (gov_adapters off)</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3.9</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اكتمال الرحلة</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UC-3</w:t>
            </w:r>
          </w:p>
        </w:tc>
        <w:tc>
          <w:tcPr>
            <w:tcW w:type="dxa" w:w="520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 vehicle is required and the driver must be active; licence and tariff checks at publication are not complete</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4.7</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بيع تذكرة نقداً</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UC-4</w:t>
            </w:r>
          </w:p>
        </w:tc>
        <w:tc>
          <w:tcPr>
            <w:tcW w:type="dxa" w:w="520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cash sales at the carrier counter (/api/carrier/counter); not in the driver app</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7.5</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تقرير التعويض</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UC-7</w:t>
            </w:r>
          </w:p>
        </w:tc>
        <w:tc>
          <w:tcPr>
            <w:tcW w:type="dxa" w:w="520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compensation recorded on the case (sales.passenger_compensation); no separate decision step</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7.12</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مزامنة الحالات مع نظام خدمة العملاء</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UC-7</w:t>
            </w:r>
          </w:p>
        </w:tc>
        <w:tc>
          <w:tcPr>
            <w:tcW w:type="dxa" w:w="520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signed webhooks (/api/v1/webhooks); no CRM adapter</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8.1</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سياسات الجهات ومحوّلاتها</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UC-8</w:t>
            </w:r>
          </w:p>
        </w:tc>
        <w:tc>
          <w:tcPr>
            <w:tcW w:type="dxa" w:w="520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requirement changes by two officers (/api/admin/compliance); adapters are data only (gov_adapters off)</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8.3</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تقديم البيان والحصول على الموافقة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UC-8</w:t>
            </w:r>
          </w:p>
        </w:tc>
        <w:tc>
          <w:tcPr>
            <w:tcW w:type="dxa" w:w="520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manifests issued, routed and acknowledged; boarding is not held until clearance</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8.8</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التذاكر والمركبات ميدانياً</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UC-8</w:t>
            </w:r>
          </w:p>
        </w:tc>
        <w:tc>
          <w:tcPr>
            <w:tcW w:type="dxa" w:w="520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keys for offline checks (/api/public/keys), sales.inspection_check; no inspector app</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9.3</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الوكلاء الفرعيين والرصيد</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UC-9</w:t>
            </w:r>
          </w:p>
        </w:tc>
        <w:tc>
          <w:tcPr>
            <w:tcW w:type="dxa" w:w="520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agency staff and deposit top-ups; sub-agents are data only (sales.channel, off)</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9.8</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تسوية عمولات القنوات</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UC-9</w:t>
            </w:r>
          </w:p>
        </w:tc>
        <w:tc>
          <w:tcPr>
            <w:tcW w:type="dxa" w:w="520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agency commission released at trip completion; channel statements data only (intermediary_platforms off)</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10.5</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ترحيل القيود من الأحداث</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UC-10</w:t>
            </w:r>
          </w:p>
        </w:tc>
        <w:tc>
          <w:tcPr>
            <w:tcW w:type="dxa" w:w="520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every money movement is a balanced ledger transaction; journal entries and posting rules are data</w:t>
            </w:r>
          </w:p>
        </w:tc>
      </w:tr>
    </w:tbl>
    <w:p>
      <w:pPr>
        <w:pStyle w:val="Heading2"/>
        <w:keepNext/>
        <w:bidi/>
        <w:spacing w:after="100" w:before="240"/>
        <w:jc w:val="right"/>
      </w:pPr>
      <w:r>
        <w:rPr>
          <w:rFonts w:ascii="Arial" w:cs="Arial" w:eastAsia="Arial" w:hAnsi="Arial"/>
          <w:b/>
          <w:bCs/>
          <w:color w:val="0A5BD3"/>
          <w:sz w:val="24"/>
          <w:szCs w:val="24"/>
          <w:rtl/>
        </w:rPr>
        <w:t xml:space="preserve">6.3 فجوات لاحظتها المراجعة في الكود</w:t>
      </w:r>
    </w:p>
    <w:p>
      <w:pPr>
        <w:pStyle w:val="ListParagraph"/>
        <w:numPr>
          <w:ilvl w:val="0"/>
          <w:numId w:val="2"/>
        </w:numPr>
        <w:bidi/>
        <w:spacing w:after="80" w:line="290"/>
        <w:jc w:val="right"/>
      </w:pPr>
      <w:r>
        <w:rPr>
          <w:rFonts w:ascii="Arial" w:cs="Arial" w:eastAsia="Arial" w:hAnsi="Arial"/>
          <w:b/>
          <w:bCs/>
          <w:color w:val="0F1B2D"/>
          <w:sz w:val="21"/>
          <w:szCs w:val="21"/>
          <w:rtl/>
        </w:rPr>
        <w:t xml:space="preserve">تنبيهات التتبع: </w:t>
      </w:r>
      <w:r>
        <w:rPr>
          <w:rFonts w:ascii="Arial" w:cs="Arial" w:eastAsia="Arial" w:hAnsi="Arial"/>
          <w:color w:val="0F1B2D"/>
          <w:sz w:val="21"/>
          <w:szCs w:val="21"/>
          <w:rtl/>
        </w:rPr>
        <w:t xml:space="preserve">جدول ops.tracking_alert يُقرأ في لوحة الناقل ويُغلق حين تعود المواقع، ولا شيء في النظام يفتح تنبيهاً. يلزم عامل يكشف صمت المركبة ويفتح التنبيه ويصعّده.</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الاستغاثة والحوادث: </w:t>
      </w:r>
      <w:r>
        <w:rPr>
          <w:rFonts w:ascii="Arial" w:cs="Arial" w:eastAsia="Arial" w:hAnsi="Arial"/>
          <w:color w:val="0F1B2D"/>
          <w:sz w:val="21"/>
          <w:szCs w:val="21"/>
          <w:rtl/>
        </w:rPr>
        <w:t xml:space="preserve">جداولها قائمة (sec.sos_event، ops.incident_evidence)، ولا زر استغاثة ولا إبلاغ عن حادث في تطبيق السائق أو المسافر.</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الولاء: </w:t>
      </w:r>
      <w:r>
        <w:rPr>
          <w:rFonts w:ascii="Arial" w:cs="Arial" w:eastAsia="Arial" w:hAnsi="Arial"/>
          <w:color w:val="0F1B2D"/>
          <w:sz w:val="21"/>
          <w:szCs w:val="21"/>
          <w:rtl/>
        </w:rPr>
        <w:t xml:space="preserve">البرنامج له نسبة كسب، ولا عملية تكسب النقاط بعد الرحلة ولا تستبدلها عند الحجز.</w:t>
      </w:r>
    </w:p>
    <w:p>
      <w:pPr>
        <w:pStyle w:val="ListParagraph"/>
        <w:numPr>
          <w:ilvl w:val="0"/>
          <w:numId w:val="2"/>
        </w:numPr>
        <w:bidi/>
        <w:spacing w:after="80" w:line="290"/>
        <w:jc w:val="right"/>
      </w:pPr>
      <w:r>
        <w:rPr>
          <w:rFonts w:ascii="Arial" w:cs="Arial" w:eastAsia="Arial" w:hAnsi="Arial"/>
          <w:b/>
          <w:bCs/>
          <w:color w:val="0F1B2D"/>
          <w:sz w:val="21"/>
          <w:szCs w:val="21"/>
          <w:rtl/>
        </w:rPr>
        <w:t xml:space="preserve">إلغاء الرحلة من الناقل: </w:t>
      </w:r>
      <w:r>
        <w:rPr>
          <w:rFonts w:ascii="Arial" w:cs="Arial" w:eastAsia="Arial" w:hAnsi="Arial"/>
          <w:color w:val="0F1B2D"/>
          <w:sz w:val="21"/>
          <w:szCs w:val="21"/>
          <w:rtl/>
        </w:rPr>
        <w:t xml:space="preserve">لا مسار يلغي رحلة ويعيد للمسافرين أموالهم؛ التغيير والتعطل يُسجلان بيانات فقط.</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الفوترة الإلكترونية: </w:t>
      </w:r>
      <w:r>
        <w:rPr>
          <w:rFonts w:ascii="Arial" w:cs="Arial" w:eastAsia="Arial" w:hAnsi="Arial"/>
          <w:color w:val="0F1B2D"/>
          <w:sz w:val="21"/>
          <w:szCs w:val="21"/>
          <w:rtl/>
        </w:rPr>
        <w:t xml:space="preserve">الجداول قائمة، ولا تُصدر فاتورة لكل عملية، ولا ترقيم ولا توقيع ولا إرسال إلى الهيئة الضريبية.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موظفو الناقل: </w:t>
      </w:r>
      <w:r>
        <w:rPr>
          <w:rFonts w:ascii="Arial" w:cs="Arial" w:eastAsia="Arial" w:hAnsi="Arial"/>
          <w:color w:val="0F1B2D"/>
          <w:sz w:val="21"/>
          <w:szCs w:val="21"/>
          <w:rtl/>
        </w:rPr>
        <w:t xml:space="preserve">يُنشأ السائقون بأدوارهم، ولا دعوة لموظفين آخرين ولا اختيار لأدوارهم من بوابة الناقل.</w:t>
      </w:r>
    </w:p>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7. مخططات تدفق البيانات</w:t>
      </w:r>
    </w:p>
    <w:p>
      <w:pPr>
        <w:keepNext/>
        <w:spacing w:after="60" w:before="120"/>
        <w:jc w:val="center"/>
      </w:pPr>
      <w:r>
        <w:drawing>
          <wp:inline distT="0" distB="0" distL="0" distR="0">
            <wp:extent cx="60960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154305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دليل ترميز تدفق البيانات</w:t>
      </w:r>
    </w:p>
    <w:p>
      <w:pPr>
        <w:pStyle w:val="Heading2"/>
        <w:keepNext/>
        <w:bidi/>
        <w:spacing w:after="100" w:before="240"/>
        <w:jc w:val="right"/>
      </w:pPr>
      <w:r>
        <w:rPr>
          <w:rFonts w:ascii="Arial" w:cs="Arial" w:eastAsia="Arial" w:hAnsi="Arial"/>
          <w:b/>
          <w:bCs/>
          <w:color w:val="0A5BD3"/>
          <w:sz w:val="24"/>
          <w:szCs w:val="24"/>
          <w:rtl/>
        </w:rPr>
        <w:t xml:space="preserve">7.1 DFD-0 مخطط السياق</w:t>
      </w:r>
    </w:p>
    <w:p>
      <w:pPr>
        <w:keepNext/>
        <w:spacing w:after="60" w:before="120"/>
        <w:jc w:val="center"/>
      </w:pPr>
      <w:r>
        <w:drawing>
          <wp:inline distT="0" distB="0" distL="0" distR="0">
            <wp:extent cx="6096000" cy="610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61055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DFD-0: المنصة والجهات الخارجية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الجهة الخارجية</w:t>
            </w:r>
          </w:p>
        </w:tc>
        <w:tc>
          <w:tcPr>
            <w:tcW w:type="dxa" w:w="674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تعطيه للمنصة وما تأخذه منها</w:t>
            </w:r>
          </w:p>
        </w:tc>
      </w:tr>
      <w:tr>
        <w:trPr>
          <w:cantSplit/>
        </w:trPr>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المسافرون والزوار</w:t>
            </w:r>
          </w:p>
        </w:tc>
        <w:tc>
          <w:tcPr>
            <w:tcW w:type="dxa" w:w="674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معايير البحث، بيانات الحجز والمسافرين، الشحن، المسح، التقييم والشكاوى، صورة الصعود، أفراد العائلة؛ وتأخذ العروض والتذاكر والإيصالات والاستردادات والإشعارات</w:t>
            </w:r>
          </w:p>
        </w:tc>
      </w:tr>
      <w:tr>
        <w:trPr>
          <w:cantSplit/>
        </w:trPr>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الناقلون</w:t>
            </w:r>
          </w:p>
        </w:tc>
        <w:tc>
          <w:tcPr>
            <w:tcW w:type="dxa" w:w="674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الشركة ووثائقها، الأسطول والطواقم، المسارات والتعرفات، الرحلات، صلاحيات شركات التشغيل، أرقام الاتفاقيات والتراخيص، البيانات؛ وتأخذ قوائم الركاب والمبيعات والكشوف والتسويات والتنبيهات</w:t>
            </w:r>
          </w:p>
        </w:tc>
      </w:tr>
      <w:tr>
        <w:trPr>
          <w:cantSplit/>
        </w:trPr>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السائقون والمرافقون</w:t>
            </w:r>
          </w:p>
        </w:tc>
        <w:tc>
          <w:tcPr>
            <w:tcW w:type="dxa" w:w="674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الموقع، المسح، أحداث المحطات؛ ويأخذون الرحلات المسندة وقوائم الركاب ونتائج المسح</w:t>
            </w:r>
          </w:p>
        </w:tc>
      </w:tr>
      <w:tr>
        <w:trPr>
          <w:cantSplit/>
        </w:trPr>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المرسلون والمستلمون، شركات الشحن</w:t>
            </w:r>
          </w:p>
        </w:tc>
        <w:tc>
          <w:tcPr>
            <w:tcW w:type="dxa" w:w="674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طلبات الشحن والمسح وإثبات التسليم؛ ويأخذون الملصقات والتتبع</w:t>
            </w:r>
          </w:p>
        </w:tc>
      </w:tr>
      <w:tr>
        <w:trPr>
          <w:cantSplit/>
        </w:trPr>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شركاء الخدمات، الوكالات والمنصات الوسيطة</w:t>
            </w:r>
          </w:p>
        </w:tc>
        <w:tc>
          <w:tcPr>
            <w:tcW w:type="dxa" w:w="674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المبيعات والاستبدال، الحجوزات عبر البوابة أو الواجهة؛ ويأخذون الأذون والتسويات والإتاحة والكشوف</w:t>
            </w:r>
          </w:p>
        </w:tc>
      </w:tr>
      <w:tr>
        <w:trPr>
          <w:cantSplit/>
        </w:trPr>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شركات تشغيل المحطات (جديد)</w:t>
            </w:r>
          </w:p>
        </w:tc>
        <w:tc>
          <w:tcPr>
            <w:tcW w:type="dxa" w:w="674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الدخول بعامل ثانٍ، ولاحقاً سجلات تسجيل الوصول؛ وتأخذ الصلاحيات النافذة والكاونترات</w:t>
            </w:r>
          </w:p>
        </w:tc>
      </w:tr>
      <w:tr>
        <w:trPr>
          <w:cantSplit/>
        </w:trPr>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موظفو المنصة</w:t>
            </w:r>
          </w:p>
        </w:tc>
        <w:tc>
          <w:tcPr>
            <w:tcW w:type="dxa" w:w="674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الاعتمادات والسياسات والتعرفات وقرارات الحالات، وسياسة الصورة بالمراحل، وإعدادات الصعود؛ ويأخذون اللوحات وتقارير المطابقة والمراحل المعلّقة</w:t>
            </w:r>
          </w:p>
        </w:tc>
      </w:tr>
      <w:tr>
        <w:trPr>
          <w:cantSplit/>
        </w:trPr>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الجهة الرقابية، الجهات الأمنية والحدود</w:t>
            </w:r>
          </w:p>
        </w:tc>
        <w:tc>
          <w:tcPr>
            <w:tcW w:type="dxa" w:w="674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السياسات المفوّضة، النتائج والأوامر وطلبات البيانات وتأكيدات الاستلام؛ وتأخذ المؤشرات المجمّعة والبيانات</w:t>
            </w:r>
          </w:p>
        </w:tc>
      </w:tr>
      <w:tr>
        <w:trPr>
          <w:cantSplit/>
        </w:trPr>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بوابات الدفع والمصرف، الهيئة الضريبية، الأنظمة المحاسبية، مزودو الإشعارات</w:t>
            </w:r>
          </w:p>
        </w:tc>
        <w:tc>
          <w:tcPr>
            <w:tcW w:type="dxa" w:w="674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إشعارات الدفع الموقّعة والكشوف المصرفية؛ وتأخذ طلبات الدفع وأوامر الدفعات والقيود والرسائل</w:t>
            </w:r>
          </w:p>
        </w:tc>
      </w:tr>
      <w:tr>
        <w:trPr>
          <w:cantSplit/>
        </w:trPr>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مزودو التحقق من الهوية (جديد، غير مربوطين)</w:t>
            </w:r>
          </w:p>
        </w:tc>
        <w:tc>
          <w:tcPr>
            <w:tcW w:type="dxa" w:w="674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نتائج التحقق؛ وتأخذ طلبات التحقق، وتُرفض حتى يُربط مزود</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7.2 DFD-1A المستوى الأول: نواة نقل الركاب</w:t>
      </w:r>
    </w:p>
    <w:p>
      <w:pPr>
        <w:keepNext/>
        <w:spacing w:after="60" w:before="120"/>
        <w:jc w:val="center"/>
      </w:pPr>
      <w:r>
        <w:drawing>
          <wp:inline distT="0" distB="0" distL="0" distR="0">
            <wp:extent cx="6096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39338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DFD-1A: العمليات P1 إلى P8</w:t>
      </w:r>
    </w:p>
    <w:p>
      <w:r>
        <w:br w:type="page"/>
      </w:r>
    </w:p>
    <w:p>
      <w:pPr>
        <w:pStyle w:val="Heading2"/>
        <w:keepNext/>
        <w:bidi/>
        <w:spacing w:after="100" w:before="240"/>
        <w:jc w:val="right"/>
      </w:pPr>
      <w:r>
        <w:rPr>
          <w:rFonts w:ascii="Arial" w:cs="Arial" w:eastAsia="Arial" w:hAnsi="Arial"/>
          <w:b/>
          <w:bCs/>
          <w:color w:val="0A5BD3"/>
          <w:sz w:val="24"/>
          <w:szCs w:val="24"/>
          <w:rtl/>
        </w:rPr>
        <w:t xml:space="preserve">7.3 DFD-1B المستوى الأول: الشحن والامتثال والشركاء والمالية والقنوات</w:t>
      </w:r>
    </w:p>
    <w:p>
      <w:pPr>
        <w:keepNext/>
        <w:spacing w:after="60" w:before="120"/>
        <w:jc w:val="center"/>
      </w:pPr>
      <w:r>
        <w:drawing>
          <wp:inline distT="0" distB="0" distL="0" distR="0">
            <wp:extent cx="6096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436245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DFD-1B: العمليات P9 إلى P14</w:t>
      </w:r>
    </w:p>
    <w:p>
      <w:pPr>
        <w:pStyle w:val="Heading2"/>
        <w:keepNext/>
        <w:bidi/>
        <w:spacing w:after="100" w:before="240"/>
        <w:jc w:val="right"/>
      </w:pPr>
      <w:r>
        <w:rPr>
          <w:rFonts w:ascii="Arial" w:cs="Arial" w:eastAsia="Arial" w:hAnsi="Arial"/>
          <w:b/>
          <w:bCs/>
          <w:color w:val="0A5BD3"/>
          <w:sz w:val="24"/>
          <w:szCs w:val="24"/>
          <w:rtl/>
        </w:rPr>
        <w:t xml:space="preserve">7.4 DFD-1C المستوى الأول: محطات الصعود وصور الصعود (جديد)</w:t>
      </w:r>
    </w:p>
    <w:p>
      <w:pPr>
        <w:keepNext/>
        <w:spacing w:after="60" w:before="120"/>
        <w:jc w:val="center"/>
      </w:pPr>
      <w:r>
        <w:drawing>
          <wp:inline distT="0" distB="0" distL="0" distR="0">
            <wp:extent cx="6096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40386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DFD-1C: العمليتان P15 وP16</w:t>
      </w:r>
    </w:p>
    <w:p>
      <w:r>
        <w:br w:type="page"/>
      </w:r>
    </w:p>
    <w:p>
      <w:pPr>
        <w:pStyle w:val="Heading2"/>
        <w:keepNext/>
        <w:bidi/>
        <w:spacing w:after="100" w:before="240"/>
        <w:jc w:val="right"/>
      </w:pPr>
      <w:r>
        <w:rPr>
          <w:rFonts w:ascii="Arial" w:cs="Arial" w:eastAsia="Arial" w:hAnsi="Arial"/>
          <w:b/>
          <w:bCs/>
          <w:color w:val="0A5BD3"/>
          <w:sz w:val="24"/>
          <w:szCs w:val="24"/>
          <w:rtl/>
        </w:rPr>
        <w:t xml:space="preserve">7.5 العمليات وحالة بنائها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313"/>
        <w:gridCol w:w="1542"/>
        <w:gridCol w:w="5012"/>
      </w:tblGrid>
      <w:tr>
        <w:trPr>
          <w:tblHeader/>
        </w:trPr>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231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1542"/>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5012"/>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المبني والناقص</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P1</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الهوية والوصول</w:t>
            </w:r>
          </w:p>
        </w:tc>
        <w:tc>
          <w:tcPr>
            <w:tcW w:type="dxa" w:w="154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501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الحسابات والجلسات والعامل الثاني لكل البوابات، والعزل بين الشركات</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P2</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الأطراف والأسطول والشبكة</w:t>
            </w:r>
          </w:p>
        </w:tc>
        <w:tc>
          <w:tcPr>
            <w:tcW w:type="dxa" w:w="154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501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الشركات والوثائق والأسطول والطواقم والمسارات مبنية؛ لا ربط بأنظمة الترخيص الحكومية</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P3</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جدولة الرحلات والمخزون</w:t>
            </w:r>
          </w:p>
        </w:tc>
        <w:tc>
          <w:tcPr>
            <w:tcW w:type="dxa" w:w="154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501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قوالب الرحلات وتوليدها ونشرها وإسناد المركبة والسائق</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P4</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وإصدار التذاكر</w:t>
            </w:r>
          </w:p>
        </w:tc>
        <w:tc>
          <w:tcPr>
            <w:tcW w:type="dxa" w:w="154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501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البحث والحجز المؤقت والحجز وخيارات الدفع والإلغاء؛ التدقيق الأمني بيانات فقط ومغلق</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P5</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التسعير والضريبة والتوزيع</w:t>
            </w:r>
          </w:p>
        </w:tc>
        <w:tc>
          <w:tcPr>
            <w:tcW w:type="dxa" w:w="154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501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أسعار الفئات والرسوم والعمولات ولقطة السعر لكل حجز</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P6</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المحفظة والمدفوعات والتسويات</w:t>
            </w:r>
          </w:p>
        </w:tc>
        <w:tc>
          <w:tcPr>
            <w:tcW w:type="dxa" w:w="154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501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المحفظة والحجز الضامن والتحرير والاسترداد والتسويات وسحب الشركات والمطابقة مبنية؛ سحب رصيد العميل غير مبني</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P7</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الرحلات (الصعود والتتبع)</w:t>
            </w:r>
          </w:p>
        </w:tc>
        <w:tc>
          <w:tcPr>
            <w:tcW w:type="dxa" w:w="154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501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التتبع والمسح والصعود دون اتصال وأحداث المحطات مبنية؛ تنبيهات التتبع تُعرض وتُغلق ولا شيء يفتحها، والاستغاثة والحوادث بيانات فقط</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P8</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الرحلات المكوكية</w:t>
            </w:r>
          </w:p>
        </w:tc>
        <w:tc>
          <w:tcPr>
            <w:tcW w:type="dxa" w:w="154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501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جداول الرحلات المكوكية قائمة، والوحدة مغلقة</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P9</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شحن الإرساليات وتسليمها</w:t>
            </w:r>
          </w:p>
        </w:tc>
        <w:tc>
          <w:tcPr>
            <w:tcW w:type="dxa" w:w="154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501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الطرود على الرحلات المجدولة مبنية ومغلقة مع وحدة الشحن؛ باقي سلسلة الشحن بيانات فقط</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P10</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مركز الأمن والامتثال</w:t>
            </w:r>
          </w:p>
        </w:tc>
        <w:tc>
          <w:tcPr>
            <w:tcW w:type="dxa" w:w="154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501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الركاب وتوجيهها وعقد الحدود مبنية؛ التدقيق والأوامر وطلبات البيانات الرسمية بيانات فقط</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P11</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الشركاء والولاء</w:t>
            </w:r>
          </w:p>
        </w:tc>
        <w:tc>
          <w:tcPr>
            <w:tcW w:type="dxa" w:w="154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501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الولاء بيانات وشاشات؛ شركاء الوقود والاستراحات مغلقون</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P12</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المحاسبة والفوترة الإلكترونية</w:t>
            </w:r>
          </w:p>
        </w:tc>
        <w:tc>
          <w:tcPr>
            <w:tcW w:type="dxa" w:w="154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501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الدفتر المزدوج والمطابقة والتقارير مبنية؛ الفوترة الإلكترونية وإرسالها غير مبنيين</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P13</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الدعم والإشعارات والمساعد الذكي</w:t>
            </w:r>
          </w:p>
        </w:tc>
        <w:tc>
          <w:tcPr>
            <w:tcW w:type="dxa" w:w="154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501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الحالات والتقييم والإشعارات عبر صندوق الصادر؛ المساعد الذكي مغلق ببوابة الامتثال</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P14</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قنوات التوزيع والوكالات</w:t>
            </w:r>
          </w:p>
        </w:tc>
        <w:tc>
          <w:tcPr>
            <w:tcW w:type="dxa" w:w="154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501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الوكالات وواجهة التكامل والإشعارات الموقّعة مبنية؛ المنصات الوسيطة بيانات فقط</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P15</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محطات الصعود</w:t>
            </w:r>
          </w:p>
        </w:tc>
        <w:tc>
          <w:tcPr>
            <w:tcW w:type="dxa" w:w="154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501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الإعدادات والمحطات والترقيم والمنح وبوابة المحطة مبنية ومغلقة؛ فحص الكاونتر والشاشات غير مبنيين</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P16</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صور الصعود</w:t>
            </w:r>
          </w:p>
        </w:tc>
        <w:tc>
          <w:tcPr>
            <w:tcW w:type="dxa" w:w="154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501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السياسة بالمراحل مبنية؛ التقاط الصورة وعرضها مغلقان حتى الأساس القانوني؛ التحقق عبر مزود غير مبني</w:t>
            </w:r>
          </w:p>
        </w:tc>
      </w:tr>
    </w:tbl>
    <w:p>
      <w:pPr>
        <w:pStyle w:val="Heading2"/>
        <w:keepNext/>
        <w:bidi/>
        <w:spacing w:after="100" w:before="240"/>
        <w:jc w:val="right"/>
      </w:pPr>
      <w:r>
        <w:rPr>
          <w:rFonts w:ascii="Arial" w:cs="Arial" w:eastAsia="Arial" w:hAnsi="Arial"/>
          <w:b/>
          <w:bCs/>
          <w:color w:val="0A5BD3"/>
          <w:sz w:val="24"/>
          <w:szCs w:val="24"/>
          <w:rtl/>
        </w:rPr>
        <w:t xml:space="preserve">7.6 مخازن البيانات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1638"/>
        <w:gridCol w:w="4819"/>
        <w:gridCol w:w="2506"/>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المخزن</w:t>
            </w:r>
          </w:p>
        </w:tc>
        <w:tc>
          <w:tcPr>
            <w:tcW w:type="dxa" w:w="163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481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الجداول في القاعدة</w:t>
            </w:r>
          </w:p>
        </w:tc>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الحماية</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D1</w:t>
            </w:r>
          </w:p>
        </w:tc>
        <w:tc>
          <w:tcPr>
            <w:tcW w:type="dxa" w:w="163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الهوية والوصول</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iam.app_user, user_session, role, permission, company_member, family, family_member, mfa_factor</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كلمات مرور مجزّأة، رموز جلسات معتمة، عزل الصفوف</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D2</w:t>
            </w:r>
          </w:p>
        </w:tc>
        <w:tc>
          <w:tcPr>
            <w:tcW w:type="dxa" w:w="163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الأطراف والوثائق</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iam.party, company, party_role, document (encrypted), bank account, beneficial_owner, verification</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أرقام الوثائق مشفّرة، والملفات مشفّرة ومفحوصة</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D3</w:t>
            </w:r>
          </w:p>
        </w:tc>
        <w:tc>
          <w:tcPr>
            <w:tcW w:type="dxa" w:w="163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الأسطول والطواقم</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fleet.vehicle, seat_layout, license_record, insurance_policy, crew profiles, license_change_request</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تواريخ التراخيص مقفلة، وتُعدّل بطلب</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D4</w:t>
            </w:r>
          </w:p>
        </w:tc>
        <w:tc>
          <w:tcPr>
            <w:tcW w:type="dxa" w:w="163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الشبكة والتعرفات</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ref.city, net.station, station_gate, route, route_stop; pricing.fare_table, fare_table_item; net.line* (later phase)</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تعرفات بإصدارات</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D5</w:t>
            </w:r>
          </w:p>
        </w:tc>
        <w:tc>
          <w:tcPr>
            <w:tcW w:type="dxa" w:w="163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الرحلات والمخزون</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ops.trip, trip_stop, trip_template, seat_lock, seat_segment; crew assignment</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أقفال المقاعد ذرية</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D6</w:t>
            </w:r>
          </w:p>
        </w:tc>
        <w:tc>
          <w:tcPr>
            <w:tcW w:type="dxa" w:w="163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الحجوزات والتذاكر</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sales.booking (partitioned), passenger, ticket, boarding_event, refund_request</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الحد الأدنى من البيانات الشخصية، وجدول الحجوزات مقسّم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D7</w:t>
            </w:r>
          </w:p>
        </w:tc>
        <w:tc>
          <w:tcPr>
            <w:tcW w:type="dxa" w:w="163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التسعير والتوزيع</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pricing.fare_brand, category_fare_rule, passenger_age_band, tax_rule, commission_rule, cancellation_policy</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لقطة سعر لكل حجز</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D8</w:t>
            </w:r>
          </w:p>
        </w:tc>
        <w:tc>
          <w:tcPr>
            <w:tcW w:type="dxa" w:w="163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المحافظ والدفتر</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fin.wallet, ledger_txn, ledger_entry (partitioned), payment, payout, cash_remittance, fin.payment_method (payment options)</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قيد مزدوج، مفاتيح منع التكرار، جدول القيود مقسّم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D9</w:t>
            </w:r>
          </w:p>
        </w:tc>
        <w:tc>
          <w:tcPr>
            <w:tcW w:type="dxa" w:w="163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التتبع والعمليات</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ops.vehicle_position (telemetry database), tracking_state, tracking_alert, stop events, incident_evidence</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قاعدة بيانات منفصلة للمواقع، وحفظ لمدة محددة</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D10</w:t>
            </w:r>
          </w:p>
        </w:tc>
        <w:tc>
          <w:tcPr>
            <w:tcW w:type="dxa" w:w="163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الرحلات المكوكية</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ops.shuttle_ride, ride_segment_charge, presence_beacon (later phase)</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حفظ لمدة محددة</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D11</w:t>
            </w:r>
          </w:p>
        </w:tc>
        <w:tc>
          <w:tcPr>
            <w:tcW w:type="dxa" w:w="163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الشحنات</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ship.shipment, parcel, capacity_booking, tracking_event, delivery_proof, access_point</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سلسلة حيازة</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D12</w:t>
            </w:r>
          </w:p>
        </w:tc>
        <w:tc>
          <w:tcPr>
            <w:tcW w:type="dxa" w:w="163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الأمن والامتثال</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brd.manifest, manifest_route, manifest_delivery, manifest_cargo; sales.entry_rule; sec.screening_*, authority_order, sos_event</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وصول مقيّد ومسجّل</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D13</w:t>
            </w:r>
          </w:p>
        </w:tc>
        <w:tc>
          <w:tcPr>
            <w:tcW w:type="dxa" w:w="163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الشركاء والولاء</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ptn.partner, fuel_card, partner_sale; pricing.loyalty_program, points_account, points_ledger</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مقاصة مع المستحقات</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D14</w:t>
            </w:r>
          </w:p>
        </w:tc>
        <w:tc>
          <w:tcPr>
            <w:tcW w:type="dxa" w:w="163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الفواتير والقيود</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acct.einvoice_document, journal_entry, posting_rule, gl_account, tax_registration</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تتغير بعد الإقفال</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D15</w:t>
            </w:r>
          </w:p>
        </w:tc>
        <w:tc>
          <w:tcPr>
            <w:tcW w:type="dxa" w:w="163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الحالات والإشعارات</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crm.case, case_event, trip_rating, notification_template; notify outbox</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الملاحظات الداخلية منفصلة</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D16</w:t>
            </w:r>
          </w:p>
        </w:tc>
        <w:tc>
          <w:tcPr>
            <w:tcW w:type="dxa" w:w="163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سجلات التدقيق</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audit.auth_event, activity_log, data_access_log, row_change, log_seal</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فقط، مختومة، وتُصدَّر موقّعة</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D17</w:t>
            </w:r>
          </w:p>
        </w:tc>
        <w:tc>
          <w:tcPr>
            <w:tcW w:type="dxa" w:w="163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القنوات والوكالات</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iam.company (type AGENCY), sales.agency_agreement, channel, channel_agreement; integration clients and webhooks</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مفاتيح لكل عميل تكامل، مخزّنة مجزّأة</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D18</w:t>
            </w:r>
          </w:p>
        </w:tc>
        <w:tc>
          <w:tcPr>
            <w:tcW w:type="dxa" w:w="163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إعدادات الصعود والمحطات</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sys.setting boarding.*, net.station_boarding, net.station_gate (counters and bays)</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مغلقة عند الإطلاق؛ الأرقام لا تتكرر</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D19</w:t>
            </w:r>
          </w:p>
        </w:tc>
        <w:tc>
          <w:tcPr>
            <w:tcW w:type="dxa" w:w="163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منح شركات التشغيل</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net.station_operator_grant</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تُلغى ولا تُعدّل؛ يرى كل طرف ما يخصه</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D20</w:t>
            </w:r>
          </w:p>
        </w:tc>
        <w:tc>
          <w:tcPr>
            <w:tcW w:type="dxa" w:w="163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 التشغيل</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net.operation_reference</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تُسحب ولا تُعدّل؛ معزولة لكل ناقل</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D21</w:t>
            </w:r>
          </w:p>
        </w:tc>
        <w:tc>
          <w:tcPr>
            <w:tcW w:type="dxa" w:w="163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صور الصعود</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iam.party_photo, encrypted files in object storage</w:t>
            </w:r>
          </w:p>
        </w:tc>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مشفّرة؛ تُعرض حسب الإعداد وحالة الرحلة</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D22</w:t>
            </w:r>
          </w:p>
        </w:tc>
        <w:tc>
          <w:tcPr>
            <w:tcW w:type="dxa" w:w="163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سياسة الصورة</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photo_rule, photo_policy_change, photo approvals, evidence kinds, data requirements, photo.* settings</w:t>
            </w:r>
          </w:p>
        </w:tc>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تغيير يمر بمراحل الموافقة</w:t>
            </w:r>
          </w:p>
        </w:tc>
      </w:tr>
    </w:tbl>
    <w:p>
      <w:pPr>
        <w:bidi/>
        <w:spacing w:after="120" w:line="300"/>
        <w:jc w:val="right"/>
      </w:pPr>
      <w:r>
        <w:rPr>
          <w:rFonts w:ascii="Arial" w:cs="Arial" w:eastAsia="Arial" w:hAnsi="Arial"/>
          <w:color w:val="0F1B2D"/>
          <w:sz w:val="21"/>
          <w:szCs w:val="21"/>
          <w:rtl/>
        </w:rPr>
        <w:t xml:space="preserve">الجداول بأسمائها في قاعدة البيانات (المخطط والجدول). القاموس الكامل في db/DATA_DICTIONARY.md: 514 جدولاً.</w:t>
      </w:r>
    </w:p>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8. مخططات المستوى الثاني</w:t>
      </w:r>
    </w:p>
    <w:p>
      <w:pPr>
        <w:pStyle w:val="Heading2"/>
        <w:keepNext/>
        <w:bidi/>
        <w:spacing w:after="100" w:before="240"/>
        <w:jc w:val="right"/>
      </w:pPr>
      <w:r>
        <w:rPr>
          <w:rFonts w:ascii="Arial" w:cs="Arial" w:eastAsia="Arial" w:hAnsi="Arial"/>
          <w:b/>
          <w:bCs/>
          <w:color w:val="0A5BD3"/>
          <w:sz w:val="24"/>
          <w:szCs w:val="24"/>
          <w:rtl/>
        </w:rPr>
        <w:t xml:space="preserve">8.1 DFD-4</w:t>
      </w:r>
    </w:p>
    <w:p>
      <w:pPr>
        <w:bidi/>
        <w:spacing w:after="120" w:line="300"/>
        <w:jc w:val="right"/>
      </w:pPr>
      <w:r>
        <w:rPr>
          <w:rFonts w:ascii="Arial" w:cs="Arial" w:eastAsia="Arial" w:hAnsi="Arial"/>
          <w:color w:val="0F1B2D"/>
          <w:sz w:val="21"/>
          <w:szCs w:val="21"/>
          <w:rtl/>
        </w:rPr>
        <w:t xml:space="preserve">تصميم 1.0. يكمّله DFD-4B للعائلات والفئات وDFD-6B لخيارات الدفع.</w:t>
      </w:r>
    </w:p>
    <w:p>
      <w:pPr>
        <w:keepNext/>
        <w:spacing w:after="60" w:before="120"/>
        <w:jc w:val="center"/>
      </w:pPr>
      <w:r>
        <w:drawing>
          <wp:inline distT="0" distB="0" distL="0" distR="0">
            <wp:extent cx="6096000" cy="540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54006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DFD-4 Level 2: P4 Book and ticket</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783"/>
        <w:gridCol w:w="2699"/>
      </w:tblGrid>
      <w:tr>
        <w:trPr>
          <w:tblHeader/>
        </w:trPr>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البحث عن الرحلات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4.2</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المقاعد مؤقتاً</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إدخال بيانات المسافرين</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4.4</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التدقيق الأمني للمسافرين</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تسعير الحجز</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4.6</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تحصيل الدفع</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4.7</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تأكيد الحجز وإصدار التذاكر</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4.8</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الإلغاء والاسترداد</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8.2 DFD-4B</w:t>
      </w:r>
    </w:p>
    <w:p>
      <w:pPr>
        <w:bidi/>
        <w:spacing w:after="120" w:line="300"/>
        <w:jc w:val="right"/>
      </w:pPr>
      <w:r>
        <w:rPr>
          <w:rFonts w:ascii="Arial" w:cs="Arial" w:eastAsia="Arial" w:hAnsi="Arial"/>
          <w:color w:val="0F1B2D"/>
          <w:sz w:val="21"/>
          <w:szCs w:val="21"/>
          <w:rtl/>
        </w:rPr>
        <w:t xml:space="preserve">جديد: كما بُني في 1038.</w:t>
      </w:r>
    </w:p>
    <w:p>
      <w:pPr>
        <w:keepNext/>
        <w:spacing w:after="60" w:before="120"/>
        <w:jc w:val="center"/>
      </w:pPr>
      <w:r>
        <w:drawing>
          <wp:inline distT="0" distB="0" distL="0" distR="0">
            <wp:extent cx="6096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19907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DFD-4B Level 2: families and passenger categories (in P4)</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783"/>
        <w:gridCol w:w="2699"/>
      </w:tblGrid>
      <w:tr>
        <w:trPr>
          <w:tblHeader/>
        </w:trPr>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4B.1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فئات العمر وأسعار الفئات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4B.2</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حفظ العائلة وأفرادها</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4B.3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تطبيق قواعد رب العائلة وحدوده</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4B.4</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تسعير كل مسافر</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4B.5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للعائلة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8.3 DFD-6</w:t>
      </w:r>
    </w:p>
    <w:p>
      <w:pPr>
        <w:keepNext/>
        <w:spacing w:after="60" w:before="120"/>
        <w:jc w:val="center"/>
      </w:pPr>
      <w:r>
        <w:drawing>
          <wp:inline distT="0" distB="0" distL="0" distR="0">
            <wp:extent cx="60960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96000" cy="40290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DFD-6 Level 2: P6 Manage wallet, payments and settlement</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783"/>
        <w:gridCol w:w="2699"/>
      </w:tblGrid>
      <w:tr>
        <w:trPr>
          <w:tblHeader/>
        </w:trPr>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شحن المحفظة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6.2</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قيمة الحجز ضماناً</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تحرير المبلغ عند الإتمام</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6.4</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الاسترداد</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تصفية نقد الناقل</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6.6</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دفعات الناقلين</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6.7</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سحب رصيد العميل</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6.8</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المطابقة اليومية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8.4 DFD-6B</w:t>
      </w:r>
    </w:p>
    <w:p>
      <w:pPr>
        <w:bidi/>
        <w:spacing w:after="120" w:line="300"/>
        <w:jc w:val="right"/>
      </w:pPr>
      <w:r>
        <w:rPr>
          <w:rFonts w:ascii="Arial" w:cs="Arial" w:eastAsia="Arial" w:hAnsi="Arial"/>
          <w:color w:val="0F1B2D"/>
          <w:sz w:val="21"/>
          <w:szCs w:val="21"/>
          <w:rtl/>
        </w:rPr>
        <w:t xml:space="preserve">جديد: كما بُني في 1056 و1057.</w:t>
      </w:r>
    </w:p>
    <w:p>
      <w:pPr>
        <w:keepNext/>
        <w:spacing w:after="60" w:before="120"/>
        <w:jc w:val="center"/>
      </w:pPr>
      <w:r>
        <w:drawing>
          <wp:inline distT="0" distB="0" distL="0" distR="0">
            <wp:extent cx="6096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96000" cy="20478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DFD-6B Level 2: payment options, counter cash and pay later (in P4 and P6)</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783"/>
        <w:gridCol w:w="2699"/>
      </w:tblGrid>
      <w:tr>
        <w:trPr>
          <w:tblHeader/>
        </w:trPr>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6B.1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خيارات الدفع وإغلاقها وضبطها</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6B.2</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الخيار والمبلغ</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6B.3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الآن والدفع لاحقاً</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6B.4</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البيع والقبض في الكاونتر</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6B.5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إنهاء الحجوزات غير المدفوعة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6B.6</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متابعة نقد الكاونتر وتوريده</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8.5 DFD-7</w:t>
      </w:r>
    </w:p>
    <w:p>
      <w:pPr>
        <w:keepNext/>
        <w:spacing w:after="60" w:before="120"/>
        <w:jc w:val="center"/>
      </w:pPr>
      <w:r>
        <w:drawing>
          <wp:inline distT="0" distB="0" distL="0" distR="0">
            <wp:extent cx="60960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96000" cy="42005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DFD-7 Level 2: P7 Operate trips (boarding and tracking)</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783"/>
        <w:gridCol w:w="2699"/>
      </w:tblGrid>
      <w:tr>
        <w:trPr>
          <w:tblHeader/>
        </w:trPr>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تتبع الرحلة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7.2</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مسح رموز الصعود</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أحداث المحطات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7.4</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إطلاق تنبيهات التتبع</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7.5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إتمام الرحلة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8.6 DFD-8</w:t>
      </w:r>
    </w:p>
    <w:p>
      <w:pPr>
        <w:bidi/>
        <w:spacing w:after="120" w:line="300"/>
        <w:jc w:val="right"/>
      </w:pPr>
      <w:r>
        <w:rPr>
          <w:rFonts w:ascii="Arial" w:cs="Arial" w:eastAsia="Arial" w:hAnsi="Arial"/>
          <w:color w:val="0F1B2D"/>
          <w:sz w:val="21"/>
          <w:szCs w:val="21"/>
          <w:rtl/>
        </w:rPr>
        <w:t xml:space="preserve">الوحدة مغلقة عند الإطلاق، وجداولها وحدها قائمة.</w:t>
      </w:r>
    </w:p>
    <w:p>
      <w:pPr>
        <w:keepNext/>
        <w:spacing w:after="60" w:before="120"/>
        <w:jc w:val="center"/>
      </w:pPr>
      <w:r>
        <w:drawing>
          <wp:inline distT="0" distB="0" distL="0" distR="0">
            <wp:extent cx="609600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455295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DFD-8 Level 2: P8 Operate shuttle rides</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783"/>
        <w:gridCol w:w="2699"/>
      </w:tblGrid>
      <w:tr>
        <w:trPr>
          <w:tblHeader/>
        </w:trPr>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الموقع والبلوتوث</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8.2</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الرحلة عند الصعود</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تأكيد الوجود</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8.4</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خصم المقطع عند المغادرة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التنبيه وتسجيل المستحق</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8.6</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إغلاق الرحلة عند النزول</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8.7</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تتبع سعة المركبة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8.7 DFD-9</w:t>
      </w:r>
    </w:p>
    <w:p>
      <w:pPr>
        <w:keepNext/>
        <w:spacing w:after="60" w:before="120"/>
        <w:jc w:val="center"/>
      </w:pPr>
      <w:r>
        <w:drawing>
          <wp:inline distT="0" distB="0" distL="0" distR="0">
            <wp:extent cx="609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96000" cy="45720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DFD-9 Level 2: P9 Ship and deliver consignments</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783"/>
        <w:gridCol w:w="2699"/>
      </w:tblGrid>
      <w:tr>
        <w:trPr>
          <w:tblHeader/>
        </w:trPr>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إنشاء الشحنة وتسعيرها</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9.2</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القبول في المحطة أو النقطة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التوجيه والفرز</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9.4</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النقل على رحلة النقل</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التسليم بإثبات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9.6</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خيارات التسليم</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9.7</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تسوية الأجور والتحصيل</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9.8</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التبادل مع الشركاء العالميين</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8.8 DFD-10</w:t>
      </w:r>
    </w:p>
    <w:p>
      <w:pPr>
        <w:keepNext/>
        <w:spacing w:after="60" w:before="120"/>
        <w:jc w:val="center"/>
      </w:pPr>
      <w:r>
        <w:drawing>
          <wp:inline distT="0" distB="0" distL="0" distR="0">
            <wp:extent cx="6096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41243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DFD-10 Level 2: P10 Security and compliance hub</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783"/>
        <w:gridCol w:w="2699"/>
      </w:tblGrid>
      <w:tr>
        <w:trPr>
          <w:tblHeader/>
        </w:trPr>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التدقيق على الأشخاص والمركبات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10.2</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تقديم البيان والحصول على الموافقة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تطبيق أوامر الجهات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10.4</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معالجة طلبات البيانات الرسمية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معالجة الاستغاثة والحوادث</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10.6</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تبادل رسائل الحدود</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10.7</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نشر مؤشرات الحوكمة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8.9 DFD-10B</w:t>
      </w:r>
    </w:p>
    <w:p>
      <w:pPr>
        <w:bidi/>
        <w:spacing w:after="120" w:line="300"/>
        <w:jc w:val="right"/>
      </w:pPr>
      <w:r>
        <w:rPr>
          <w:rFonts w:ascii="Arial" w:cs="Arial" w:eastAsia="Arial" w:hAnsi="Arial"/>
          <w:color w:val="0F1B2D"/>
          <w:sz w:val="21"/>
          <w:szCs w:val="21"/>
          <w:rtl/>
        </w:rPr>
        <w:t xml:space="preserve">جديد: كما بُني من 1038 وما بعدها.</w:t>
      </w:r>
    </w:p>
    <w:p>
      <w:pPr>
        <w:keepNext/>
        <w:spacing w:after="60" w:before="120"/>
        <w:jc w:val="center"/>
      </w:pPr>
      <w:r>
        <w:drawing>
          <wp:inline distT="0" distB="0" distL="0" distR="0">
            <wp:extent cx="6096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96000" cy="173355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DFD-10B Level 2: trip manifests and travel documents (in P10)</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783"/>
        <w:gridCol w:w="2699"/>
      </w:tblGrid>
      <w:tr>
        <w:trPr>
          <w:tblHeader/>
        </w:trPr>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10B.1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إصدار بيان الرحلة وتوقيعه</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10B.2</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توجيهه وتسليمه</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10B.3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تأكيد الاستلام</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10B.4</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 ما قبل الوصول ورسائل الحدود</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10B.5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حفظ قواعد وثائق السفر</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10B.6</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وثيقة المسافر</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8.10 DFD-11</w:t>
      </w:r>
    </w:p>
    <w:p>
      <w:pPr>
        <w:bidi/>
        <w:spacing w:after="120" w:line="300"/>
        <w:jc w:val="right"/>
      </w:pPr>
      <w:r>
        <w:rPr>
          <w:rFonts w:ascii="Arial" w:cs="Arial" w:eastAsia="Arial" w:hAnsi="Arial"/>
          <w:color w:val="0F1B2D"/>
          <w:sz w:val="21"/>
          <w:szCs w:val="21"/>
          <w:rtl/>
        </w:rPr>
        <w:t xml:space="preserve">الولاء بيانات وشاشات؛ الوقود والاستراحات مغلقة.</w:t>
      </w:r>
    </w:p>
    <w:p>
      <w:pPr>
        <w:keepNext/>
        <w:spacing w:after="60" w:before="120"/>
        <w:jc w:val="center"/>
      </w:pPr>
      <w:r>
        <w:drawing>
          <wp:inline distT="0" distB="0" distL="0" distR="0">
            <wp:extent cx="6096000" cy="575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096000" cy="57531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DFD-11 Level 2: P11 Partners and loyalty</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783"/>
        <w:gridCol w:w="2699"/>
      </w:tblGrid>
      <w:tr>
        <w:trPr>
          <w:tblHeader/>
        </w:trPr>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الإذن بشراء الوقود</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11.2</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بيع الشريك</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كسب النقاط</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11.4</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استبدال النقاط وتحويلها</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مقاصة الشركاء وتسويتهم</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8.11 DFD-12</w:t>
      </w:r>
    </w:p>
    <w:p>
      <w:pPr>
        <w:keepNext/>
        <w:spacing w:after="60" w:before="120"/>
        <w:jc w:val="center"/>
      </w:pPr>
      <w:r>
        <w:drawing>
          <wp:inline distT="0" distB="0" distL="0" distR="0">
            <wp:extent cx="60960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096000" cy="44100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DFD-12 Level 2: P12 Accounting and e-invoicing</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783"/>
        <w:gridCol w:w="2699"/>
      </w:tblGrid>
      <w:tr>
        <w:trPr>
          <w:tblHeader/>
        </w:trPr>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إعداد مسودة الفاتورة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12.2</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إقفال الفاتورة وتوقيعها</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الإرسال إلى الهيئة الضريبية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12.4</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إصدار إشعار دائن أو مدين</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ترحيل القيود</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12.6</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المزامنة مع النظام المحاسبي</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12.7</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مطابقة الدفتر الفرعي</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8.12 DFD-15</w:t>
      </w:r>
    </w:p>
    <w:p>
      <w:pPr>
        <w:bidi/>
        <w:spacing w:after="120" w:line="300"/>
        <w:jc w:val="right"/>
      </w:pPr>
      <w:r>
        <w:rPr>
          <w:rFonts w:ascii="Arial" w:cs="Arial" w:eastAsia="Arial" w:hAnsi="Arial"/>
          <w:color w:val="0F1B2D"/>
          <w:sz w:val="21"/>
          <w:szCs w:val="21"/>
          <w:rtl/>
        </w:rPr>
        <w:t xml:space="preserve">من ملحق النماذج؛ المحطات مغلقة عند الإطلاق.</w:t>
      </w:r>
    </w:p>
    <w:p>
      <w:pPr>
        <w:keepNext/>
        <w:spacing w:after="60" w:before="120"/>
        <w:jc w:val="center"/>
      </w:pPr>
      <w:r>
        <w:drawing>
          <wp:inline distT="0" distB="0" distL="0" distR="0">
            <wp:extent cx="60960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096000" cy="432435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DFD-15 Level 2: operate boarding stations (P15)</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783"/>
        <w:gridCol w:w="2699"/>
      </w:tblGrid>
      <w:tr>
        <w:trPr>
          <w:tblHeader/>
        </w:trPr>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إعدادات الصعود</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15.2</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المحطات وترقيم الكاونترات والبوابات</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شركات التشغيل</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15.4</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حفظ الأرقام المرجعية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منح صلاحيات شركات التشغيل وإلغاؤها</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15.6</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تقرير صلاحيات الشركة وعرضها</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8.13 DFD-16</w:t>
      </w:r>
    </w:p>
    <w:p>
      <w:pPr>
        <w:bidi/>
        <w:spacing w:after="120" w:line="300"/>
        <w:jc w:val="right"/>
      </w:pPr>
      <w:r>
        <w:rPr>
          <w:rFonts w:ascii="Arial" w:cs="Arial" w:eastAsia="Arial" w:hAnsi="Arial"/>
          <w:color w:val="0F1B2D"/>
          <w:sz w:val="21"/>
          <w:szCs w:val="21"/>
          <w:rtl/>
        </w:rPr>
        <w:t xml:space="preserve">من ملحق النماذج؛ الصورة مغلقة حتى أساسها القانوني.</w:t>
      </w:r>
    </w:p>
    <w:p>
      <w:pPr>
        <w:keepNext/>
        <w:spacing w:after="60" w:before="120"/>
        <w:jc w:val="center"/>
      </w:pPr>
      <w:r>
        <w:drawing>
          <wp:inline distT="0" distB="0" distL="0" distR="0">
            <wp:extent cx="60960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096000" cy="45243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DFD-16 Level 2: manage boarding photos (P16)</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783"/>
        <w:gridCol w:w="2699"/>
      </w:tblGrid>
      <w:tr>
        <w:trPr>
          <w:tblHeader/>
        </w:trPr>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التقاط الصور وحفظها</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16.2</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قواعد الصورة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تغيير السياسة والإعدادات بالمراحل</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16.4</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تغيير صورة محفوظة بشخصين</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الصورة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16.6</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الهوية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r>
    </w:tbl>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9. التتبع بين حالات الاستخدام والعمليات والمخططات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3181"/>
        <w:gridCol w:w="2795"/>
        <w:gridCol w:w="2795"/>
      </w:tblGrid>
      <w:tr>
        <w:trPr>
          <w:tblHeader/>
        </w:trPr>
        <w:tc>
          <w:tcPr>
            <w:tcW w:type="dxa" w:w="86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المخطط</w:t>
            </w:r>
          </w:p>
        </w:tc>
        <w:tc>
          <w:tcPr>
            <w:tcW w:type="dxa" w:w="318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العنوان</w:t>
            </w:r>
          </w:p>
        </w:tc>
        <w:tc>
          <w:tcPr>
            <w:tcW w:type="dxa" w:w="279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العمليات</w:t>
            </w:r>
          </w:p>
        </w:tc>
        <w:tc>
          <w:tcPr>
            <w:tcW w:type="dxa" w:w="279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مخططات تدفق البيانات</w:t>
            </w:r>
          </w:p>
        </w:tc>
      </w:tr>
      <w:tr>
        <w:trPr>
          <w:cantSplit/>
        </w:trPr>
        <w:tc>
          <w:tcPr>
            <w:tcW w:type="dxa" w:w="86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الرحلات المجدولة</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P1، P4، P5، P6، P10</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DFD-4، DFD-6</w:t>
            </w:r>
          </w:p>
        </w:tc>
      </w:tr>
      <w:tr>
        <w:trPr>
          <w:cantSplit/>
        </w:trPr>
        <w:tc>
          <w:tcPr>
            <w:tcW w:type="dxa" w:w="86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UC-2</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النقل المكوكي</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P1، P8، P6</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DFD-8</w:t>
            </w:r>
          </w:p>
        </w:tc>
      </w:tr>
      <w:tr>
        <w:trPr>
          <w:cantSplit/>
        </w:trPr>
        <w:tc>
          <w:tcPr>
            <w:tcW w:type="dxa" w:w="86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UC-3</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عمليات الناقل</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P1، P2، P3، P6</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DFD-1A</w:t>
            </w:r>
          </w:p>
        </w:tc>
      </w:tr>
      <w:tr>
        <w:trPr>
          <w:cantSplit/>
        </w:trPr>
        <w:tc>
          <w:tcPr>
            <w:tcW w:type="dxa" w:w="86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UC-4</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تطبيق السائق</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P7، P10، P11</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DFD-7، DFD-10</w:t>
            </w:r>
          </w:p>
        </w:tc>
      </w:tr>
      <w:tr>
        <w:trPr>
          <w:cantSplit/>
        </w:trPr>
        <w:tc>
          <w:tcPr>
            <w:tcW w:type="dxa" w:w="86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UC-5</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الشحن والخدمات اللوجستية</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P9، P6</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DFD-9</w:t>
            </w:r>
          </w:p>
        </w:tc>
      </w:tr>
      <w:tr>
        <w:trPr>
          <w:cantSplit/>
        </w:trPr>
        <w:tc>
          <w:tcPr>
            <w:tcW w:type="dxa" w:w="86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UC-6</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شركاء الخدمات والولاء</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P11، P6</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DFD-11</w:t>
            </w:r>
          </w:p>
        </w:tc>
      </w:tr>
      <w:tr>
        <w:trPr>
          <w:cantSplit/>
        </w:trPr>
        <w:tc>
          <w:tcPr>
            <w:tcW w:type="dxa" w:w="86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UC-7</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الإدارة والمالية والدعم</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P2، P5، P6، P13</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DFD-6، DFD-6B، DFD-1B</w:t>
            </w:r>
          </w:p>
        </w:tc>
      </w:tr>
      <w:tr>
        <w:trPr>
          <w:cantSplit/>
        </w:trPr>
        <w:tc>
          <w:tcPr>
            <w:tcW w:type="dxa" w:w="86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UC-8</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الأمن والامتثال والجهات</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P10، P1</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DFD-10</w:t>
            </w:r>
          </w:p>
        </w:tc>
      </w:tr>
      <w:tr>
        <w:trPr>
          <w:cantSplit/>
        </w:trPr>
        <w:tc>
          <w:tcPr>
            <w:tcW w:type="dxa" w:w="86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UC-9</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قنوات التوزيع والوكالات</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P14، P4، P6</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DFD-1B</w:t>
            </w:r>
          </w:p>
        </w:tc>
      </w:tr>
      <w:tr>
        <w:trPr>
          <w:cantSplit/>
        </w:trPr>
        <w:tc>
          <w:tcPr>
            <w:tcW w:type="dxa" w:w="86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UC-10</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المحاسبة والفوترة الإلكترونية</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P12، P6</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DFD-12</w:t>
            </w:r>
          </w:p>
        </w:tc>
      </w:tr>
      <w:tr>
        <w:trPr>
          <w:cantSplit/>
        </w:trPr>
        <w:tc>
          <w:tcPr>
            <w:tcW w:type="dxa" w:w="86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UC-11</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محطات الصعود وشركات التشغيل</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P15، P1</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DFD-1C، DFD-15</w:t>
            </w:r>
          </w:p>
        </w:tc>
      </w:tr>
      <w:tr>
        <w:trPr>
          <w:cantSplit/>
        </w:trPr>
        <w:tc>
          <w:tcPr>
            <w:tcW w:type="dxa" w:w="86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UC-12</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صورة الصعود وسياستها</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P16، P4، P7</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DFD-1C، DFD-16</w:t>
            </w:r>
          </w:p>
        </w:tc>
      </w:tr>
      <w:tr>
        <w:trPr>
          <w:cantSplit/>
        </w:trPr>
        <w:tc>
          <w:tcPr>
            <w:tcW w:type="dxa" w:w="86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UC-13</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خيارات الدفع</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P4، P6</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DFD-6B</w:t>
            </w:r>
          </w:p>
        </w:tc>
      </w:tr>
      <w:tr>
        <w:trPr>
          <w:cantSplit/>
        </w:trPr>
        <w:tc>
          <w:tcPr>
            <w:tcW w:type="dxa" w:w="86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UC-14</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العائلات وفئات المسافرين</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P4، P5، P1</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DFD-4B</w:t>
            </w:r>
          </w:p>
        </w:tc>
      </w:tr>
      <w:tr>
        <w:trPr>
          <w:cantSplit/>
        </w:trPr>
        <w:tc>
          <w:tcPr>
            <w:tcW w:type="dxa" w:w="86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UC-15</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الركاب ووثائق السفر</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P10، P4</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DFD-10B</w:t>
            </w:r>
          </w:p>
        </w:tc>
      </w:tr>
      <w:tr>
        <w:trPr>
          <w:cantSplit/>
        </w:trPr>
        <w:tc>
          <w:tcPr>
            <w:tcW w:type="dxa" w:w="86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UC-16</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الحساب والخصوصية وأمن الدخول</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P1</w:t>
            </w:r>
          </w:p>
        </w:tc>
        <w:tc>
          <w:tcPr>
            <w:tcW w:type="dxa" w:w="279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DFD-1A</w:t>
            </w:r>
          </w:p>
        </w:tc>
      </w:tr>
      <w:tr>
        <w:trPr>
          <w:cantSplit/>
        </w:trPr>
        <w:tc>
          <w:tcPr>
            <w:tcW w:type="dxa" w:w="86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UC-17</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خدمات المراحل اللاحقة</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P3، P9</w:t>
            </w:r>
          </w:p>
        </w:tc>
        <w:tc>
          <w:tcPr>
            <w:tcW w:type="dxa" w:w="279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DFD-1A، DFD-1B</w:t>
            </w:r>
          </w:p>
        </w:tc>
      </w:tr>
    </w:tbl>
    <w:p>
      <w:pPr>
        <w:bidi/>
        <w:spacing w:after="120" w:line="300"/>
        <w:jc w:val="right"/>
      </w:pPr>
      <w:r>
        <w:rPr>
          <w:rFonts w:ascii="Arial" w:cs="Arial" w:eastAsia="Arial" w:hAnsi="Arial"/>
          <w:color w:val="0F1B2D"/>
          <w:sz w:val="21"/>
          <w:szCs w:val="21"/>
          <w:rtl/>
        </w:rPr>
        <w:t xml:space="preserve">وتربط مصفوفة تتبع المتطلبات كل حالة بمتطلبها وبالاختبار الذي يثبتها (وثيقة مواصفات المتطلبات ومصفوفة التتبع).</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10. ملاحظات وافتراضات</w:t>
      </w:r>
    </w:p>
    <w:p>
      <w:pPr>
        <w:pStyle w:val="ListParagraph"/>
        <w:numPr>
          <w:ilvl w:val="0"/>
          <w:numId w:val="2"/>
        </w:numPr>
        <w:bidi/>
        <w:spacing w:after="80" w:line="290"/>
        <w:jc w:val="right"/>
      </w:pPr>
      <w:r>
        <w:rPr>
          <w:rFonts w:ascii="Arial" w:cs="Arial" w:eastAsia="Arial" w:hAnsi="Arial"/>
          <w:color w:val="0F1B2D"/>
          <w:sz w:val="21"/>
          <w:szCs w:val="21"/>
          <w:rtl/>
        </w:rPr>
        <w:t xml:space="preserve">الحالة مأخوذة من الكود بعد الالتزام b983b22، ومن مفاتيح الوحدات كما تبدأ بها المنصة. فتح وحدة يغيّر حالة حالاتها من «مغلقة» إلى «مبنية» دون عمل برمجي.</w:t>
      </w:r>
    </w:p>
    <w:p>
      <w:pPr>
        <w:pStyle w:val="ListParagraph"/>
        <w:numPr>
          <w:ilvl w:val="0"/>
          <w:numId w:val="2"/>
        </w:numPr>
        <w:bidi/>
        <w:spacing w:after="80" w:line="290"/>
        <w:jc w:val="right"/>
      </w:pPr>
      <w:r>
        <w:rPr>
          <w:rFonts w:ascii="Arial" w:cs="Arial" w:eastAsia="Arial" w:hAnsi="Arial"/>
          <w:color w:val="0F1B2D"/>
          <w:sz w:val="21"/>
          <w:szCs w:val="21"/>
          <w:rtl/>
        </w:rPr>
        <w:t xml:space="preserve">«بيانات وشاشات فقط» تعني أن المنصة تحفظ البيانات وتعرضها وتعدّلها بشاشات الإدارة العامة، دون سير العمل الخاص بالحالة. بناء سير العمل عمل برمجي.</w:t>
      </w:r>
    </w:p>
    <w:p>
      <w:pPr>
        <w:pStyle w:val="ListParagraph"/>
        <w:numPr>
          <w:ilvl w:val="0"/>
          <w:numId w:val="2"/>
        </w:numPr>
        <w:bidi/>
        <w:spacing w:after="80" w:line="290"/>
        <w:jc w:val="right"/>
      </w:pPr>
      <w:r>
        <w:rPr>
          <w:rFonts w:ascii="Arial" w:cs="Arial" w:eastAsia="Arial" w:hAnsi="Arial"/>
          <w:color w:val="0F1B2D"/>
          <w:sz w:val="21"/>
          <w:szCs w:val="21"/>
          <w:rtl/>
        </w:rPr>
        <w:t xml:space="preserve">مخططات المستوى الثاني من 1.0 (DFD-4 إلى DFD-12) هي التصميم المستهدف، وجداولها تذكر حالة كل عملية. أما DFD-4B وDFD-6B وDFD-10B وDFD-15 وDFD-16 فمرسومة كما بُنيت.</w:t>
      </w:r>
    </w:p>
    <w:p>
      <w:pPr>
        <w:pStyle w:val="ListParagraph"/>
        <w:numPr>
          <w:ilvl w:val="0"/>
          <w:numId w:val="2"/>
        </w:numPr>
        <w:bidi/>
        <w:spacing w:after="80" w:line="290"/>
        <w:jc w:val="right"/>
      </w:pPr>
      <w:r>
        <w:rPr>
          <w:rFonts w:ascii="Arial" w:cs="Arial" w:eastAsia="Arial" w:hAnsi="Arial"/>
          <w:color w:val="0F1B2D"/>
          <w:sz w:val="21"/>
          <w:szCs w:val="21"/>
          <w:rtl/>
        </w:rPr>
        <w:t xml:space="preserve">يُعاد توليد المخططات من النموذج (docs/readiness/generator/models_v2.py) بالأمر الموصوف في docs/readiness/README.md، فتبقى مطابقة له.</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حالات الاستخدام وتدفق البيانات ·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2be8e0b2b616cdd1602de8b905a00ff20a4068.png"/><Relationship Id="rId10" Type="http://schemas.openxmlformats.org/officeDocument/2006/relationships/image" Target="media/422b3d4149ce077057f3861a24cd09d83da29a56.png"/><Relationship Id="rId11" Type="http://schemas.openxmlformats.org/officeDocument/2006/relationships/image" Target="media/d0db6614ff683bbe4608b57ed70842535ca21a66.png"/><Relationship Id="rId12" Type="http://schemas.openxmlformats.org/officeDocument/2006/relationships/image" Target="media/39621101e0ca2739cbf8275db7fb382f93b01582.png"/><Relationship Id="rId13" Type="http://schemas.openxmlformats.org/officeDocument/2006/relationships/image" Target="media/e1e4a27397ff5ec13e3da39f1811545c342a07bd.png"/><Relationship Id="rId14" Type="http://schemas.openxmlformats.org/officeDocument/2006/relationships/image" Target="media/066284aeb67478f3d2875c630d305637fc622798.png"/><Relationship Id="rId15" Type="http://schemas.openxmlformats.org/officeDocument/2006/relationships/image" Target="media/21132c41794bcde7f9126691004c98d60b972c2e.png"/><Relationship Id="rId16" Type="http://schemas.openxmlformats.org/officeDocument/2006/relationships/image" Target="media/9e8679cbf9539bb133c49c92154cc8304e2bd4b9.png"/><Relationship Id="rId17" Type="http://schemas.openxmlformats.org/officeDocument/2006/relationships/image" Target="media/7b19bb1cdaecb8075af00247c692120721cb86bb.png"/><Relationship Id="rId18" Type="http://schemas.openxmlformats.org/officeDocument/2006/relationships/image" Target="media/234f09573b6b1d5973d4293d41f39ea674a9b53f.png"/><Relationship Id="rId19" Type="http://schemas.openxmlformats.org/officeDocument/2006/relationships/image" Target="media/a0c78f841739dfdb0cbd75875db26d8b41e7da9e.png"/><Relationship Id="rId20" Type="http://schemas.openxmlformats.org/officeDocument/2006/relationships/image" Target="media/91f4c697f38f3cf4c8f12371aa71b6dab76a65bd.png"/><Relationship Id="rId21" Type="http://schemas.openxmlformats.org/officeDocument/2006/relationships/image" Target="media/1f911ac0c3be21d25e2d9b887868136643339326.png"/><Relationship Id="rId22" Type="http://schemas.openxmlformats.org/officeDocument/2006/relationships/image" Target="media/1ee83ec8b49fa4647c8a088acf7253f8f4cd319b.png"/><Relationship Id="rId23" Type="http://schemas.openxmlformats.org/officeDocument/2006/relationships/image" Target="media/1015bea013e99dbc8100645f3fe8e448eefda1a2.png"/><Relationship Id="rId24" Type="http://schemas.openxmlformats.org/officeDocument/2006/relationships/image" Target="media/f31afd133913bb13ee5e1ff1635f01a4588468f9.png"/><Relationship Id="rId25" Type="http://schemas.openxmlformats.org/officeDocument/2006/relationships/image" Target="media/7f31e9d095008a3b1e41f793c6265db3dc8b2599.png"/><Relationship Id="rId26" Type="http://schemas.openxmlformats.org/officeDocument/2006/relationships/image" Target="media/ddc6a307714ca849bb8532586157b392d21a642f.png"/><Relationship Id="rId27" Type="http://schemas.openxmlformats.org/officeDocument/2006/relationships/image" Target="media/1904a734a6c91e0d7ee05379f076853b0cc13af9.png"/><Relationship Id="rId28" Type="http://schemas.openxmlformats.org/officeDocument/2006/relationships/image" Target="media/6044c46e27b7a7c10db95b4c4235508c2d883fa3.png"/><Relationship Id="rId29" Type="http://schemas.openxmlformats.org/officeDocument/2006/relationships/image" Target="media/d74f30c3236995953e9025b9dd35caf52a6fa3f4.png"/><Relationship Id="rId30" Type="http://schemas.openxmlformats.org/officeDocument/2006/relationships/image" Target="media/36fe2eeca91c590315d6beeb2ca33812adf88581.png"/><Relationship Id="rId31" Type="http://schemas.openxmlformats.org/officeDocument/2006/relationships/image" Target="media/94b267f34981d594bf47b17811897aa8c9772d5a.png"/><Relationship Id="rId32" Type="http://schemas.openxmlformats.org/officeDocument/2006/relationships/image" Target="media/45efe8889c6e3af831d3a0edf7dbb9b2167e0861.png"/><Relationship Id="rId33" Type="http://schemas.openxmlformats.org/officeDocument/2006/relationships/image" Target="media/77ef59cd3e166ff3755e5c340c6440b559f33dd3.png"/><Relationship Id="rId34" Type="http://schemas.openxmlformats.org/officeDocument/2006/relationships/image" Target="media/d66c25cb018d1b8ae7c4baa51a18f956617c9479.png"/><Relationship Id="rId35" Type="http://schemas.openxmlformats.org/officeDocument/2006/relationships/image" Target="media/a03aee87f921bcb29eb34b31b13fb0e99939d41a.png"/><Relationship Id="rId36" Type="http://schemas.openxmlformats.org/officeDocument/2006/relationships/image" Target="media/9ca4449278d8d6b1bc506a57d0d7d8531c729d1c.png"/><Relationship Id="rId37" Type="http://schemas.openxmlformats.org/officeDocument/2006/relationships/image" Target="media/f42ffb5cabf630b337f631f28125357ac9dee791.png"/><Relationship Id="rId38" Type="http://schemas.openxmlformats.org/officeDocument/2006/relationships/image" Target="media/00d55744ef299fc9aa798d010e2c019a19a8610a.png"/><Relationship Id="rId39" Type="http://schemas.openxmlformats.org/officeDocument/2006/relationships/image" Target="media/b025f007270857cc705e63cfb59d0c0b1bddb5eb.png"/><Relationship Id="rId40" Type="http://schemas.openxmlformats.org/officeDocument/2006/relationships/image" Target="media/1f96994412697059760ae132542dea3250410480.png"/><Relationship Id="rId41" Type="http://schemas.openxmlformats.org/officeDocument/2006/relationships/image" Target="media/d6a94da7403f13a0035489cf2e70cd3caf4fb0f4.png"/><Relationship Id="rId42" Type="http://schemas.openxmlformats.org/officeDocument/2006/relationships/image" Target="media/a659ac5b9329e5635fa3d66ca146fcc8e1b8e5ab.png"/><Relationship Id="rId43" Type="http://schemas.openxmlformats.org/officeDocument/2006/relationships/image" Target="media/b0e90447ffea9f4401e792e74a059d2b67acc26f.png"/><Relationship Id="rId44" Type="http://schemas.openxmlformats.org/officeDocument/2006/relationships/image" Target="media/c01ee2bebcdabc66169c4a62bc91fa2507977dc7.png"/><Relationship Id="rId45" Type="http://schemas.openxmlformats.org/officeDocument/2006/relationships/image" Target="media/eb9cc6b9fc3c7595102a92150503dcc7220785ca.png"/><Relationship Id="rId46" Type="http://schemas.openxmlformats.org/officeDocument/2006/relationships/image" Target="media/f248cc50aea3da168064158383631d2ae5792709.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حالات الاستخدام وتدفق البيانات · 2.0</dc:title>
  <dc:creator>Masslak</dc:creator>
  <cp:lastModifiedBy>Un-named</cp:lastModifiedBy>
  <cp:revision>1</cp:revision>
  <dcterms:created xsi:type="dcterms:W3CDTF">2026-10-12T14:44:43.572Z</dcterms:created>
  <dcterms:modified xsi:type="dcterms:W3CDTF">2026-10-12T14:44:43.773Z</dcterms:modified>
</cp:coreProperties>
</file>

<file path=docProps/custom.xml><?xml version="1.0" encoding="utf-8"?>
<Properties xmlns="http://schemas.openxmlformats.org/officeDocument/2006/custom-properties" xmlns:vt="http://schemas.openxmlformats.org/officeDocument/2006/docPropsVTypes"/>
</file>