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3843"/>
        <w:gridCol w:w="3608"/>
        <w:gridCol w:w="1478"/>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ويُختبر عند الاستئناف</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المراجعة عند الاستئناف</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برقم المنشأة ورقم المستخدم وكلمة مرور من المسؤول (2026-10-23).</w:t>
            </w:r>
            <w:r>
              <w:rPr>
                <w:rFonts w:ascii="Arial" w:cs="Arial" w:eastAsia="Arial" w:hAnsi="Arial"/>
                <w:b w:val="false"/>
                <w:bCs w:val="false"/>
                <w:sz w:val="18"/>
                <w:szCs w:val="18"/>
                <w:rtl/>
              </w:rPr>
              <w:t xml:space="preserve"> يدخل المستخدم بثلاثة: رقم تعريف الشركة أو المنظمة أو المنشأة (المشترك)، ورقم تعريف المستخدم، وكلمة مرور يرسلها له مسؤول الحساب، ويجب تغييرها عند الدخول أول مرة. وصلاحيات المستخدمين تُدار من المسؤول. يختلف هذا عن المبني في S0 (المشترك بالنطاق الفرعي، والدخول بالبريد، وكلمة المرور يضعها المستخدم من رابط الدعوة، ثم التحقق بخطوتين)؛ فيُبنى عند الاستئناف مع إبقاء التحقق بخطوتين ما لم يقرر المالك غير ذلك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(S0)</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عند الاستئناف</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2026-10-23T21:46:08.785Z</dcterms:created>
  <dcterms:modified xsi:type="dcterms:W3CDTF">2026-10-23T21:46:08.792Z</dcterms:modified>
</cp:coreProperties>
</file>

<file path=docProps/custom.xml><?xml version="1.0" encoding="utf-8"?>
<Properties xmlns="http://schemas.openxmlformats.org/officeDocument/2006/custom-properties" xmlns:vt="http://schemas.openxmlformats.org/officeDocument/2006/docPropsVTypes"/>
</file>