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DOC-B11 — مواصفة البيئات والبناء والإصدار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البيئات</w:t>
        </w:r>
      </w:hyperlink>
    </w:p>
    <w:p>
      <w:pPr>
        <w:bidi/>
        <w:spacing w:after="50" w:before="0"/>
        <w:ind w:left="0"/>
      </w:pPr>
      <w:hyperlink w:history="1" w:anchor="_sec3">
        <w:r>
          <w:rPr>
            <w:rFonts w:ascii="Arial" w:cs="Arial" w:eastAsia="Arial" w:hAnsi="Arial"/>
            <w:b/>
            <w:bCs/>
            <w:color w:val="1F3A5F"/>
            <w:sz w:val="20"/>
            <w:szCs w:val="20"/>
            <w:rtl/>
          </w:rPr>
          <w:t xml:space="preserve">3. ما يعمل أين</w:t>
        </w:r>
      </w:hyperlink>
    </w:p>
    <w:p>
      <w:pPr>
        <w:bidi/>
        <w:spacing w:after="50" w:before="0"/>
        <w:ind w:left="0"/>
      </w:pPr>
      <w:hyperlink w:history="1" w:anchor="_sec4">
        <w:r>
          <w:rPr>
            <w:rFonts w:ascii="Arial" w:cs="Arial" w:eastAsia="Arial" w:hAnsi="Arial"/>
            <w:b/>
            <w:bCs/>
            <w:color w:val="1F3A5F"/>
            <w:sz w:val="20"/>
            <w:szCs w:val="20"/>
            <w:rtl/>
          </w:rPr>
          <w:t xml:space="preserve">4. التفرّع والإصدارات</w:t>
        </w:r>
      </w:hyperlink>
    </w:p>
    <w:p>
      <w:pPr>
        <w:bidi/>
        <w:spacing w:after="50" w:before="0"/>
        <w:ind w:left="0"/>
      </w:pPr>
      <w:hyperlink w:history="1" w:anchor="_sec8">
        <w:r>
          <w:rPr>
            <w:rFonts w:ascii="Arial" w:cs="Arial" w:eastAsia="Arial" w:hAnsi="Arial"/>
            <w:b/>
            <w:bCs/>
            <w:color w:val="1F3A5F"/>
            <w:sz w:val="20"/>
            <w:szCs w:val="20"/>
            <w:rtl/>
          </w:rPr>
          <w:t xml:space="preserve">5. خط البناء</w:t>
        </w:r>
      </w:hyperlink>
    </w:p>
    <w:p>
      <w:pPr>
        <w:bidi/>
        <w:spacing w:after="50" w:before="0"/>
        <w:ind w:left="0"/>
      </w:pPr>
      <w:hyperlink w:history="1" w:anchor="_sec12">
        <w:r>
          <w:rPr>
            <w:rFonts w:ascii="Arial" w:cs="Arial" w:eastAsia="Arial" w:hAnsi="Arial"/>
            <w:b/>
            <w:bCs/>
            <w:color w:val="1F3A5F"/>
            <w:sz w:val="20"/>
            <w:szCs w:val="20"/>
            <w:rtl/>
          </w:rPr>
          <w:t xml:space="preserve">6. استراتيجية ترحيل القاعدة</w:t>
        </w:r>
      </w:hyperlink>
    </w:p>
    <w:p>
      <w:pPr>
        <w:bidi/>
        <w:spacing w:after="50" w:before="0"/>
        <w:ind w:left="0"/>
      </w:pPr>
      <w:hyperlink w:history="1" w:anchor="_sec16">
        <w:r>
          <w:rPr>
            <w:rFonts w:ascii="Arial" w:cs="Arial" w:eastAsia="Arial" w:hAnsi="Arial"/>
            <w:b/>
            <w:bCs/>
            <w:color w:val="1F3A5F"/>
            <w:sz w:val="20"/>
            <w:szCs w:val="20"/>
            <w:rtl/>
          </w:rPr>
          <w:t xml:space="preserve">7. بوابات الإصدار</w:t>
        </w:r>
      </w:hyperlink>
    </w:p>
    <w:p>
      <w:pPr>
        <w:bidi/>
        <w:spacing w:after="50" w:before="0"/>
        <w:ind w:left="0"/>
      </w:pPr>
      <w:hyperlink w:history="1" w:anchor="_sec17">
        <w:r>
          <w:rPr>
            <w:rFonts w:ascii="Arial" w:cs="Arial" w:eastAsia="Arial" w:hAnsi="Arial"/>
            <w:b/>
            <w:bCs/>
            <w:color w:val="1F3A5F"/>
            <w:sz w:val="20"/>
            <w:szCs w:val="20"/>
            <w:rtl/>
          </w:rPr>
          <w:t xml:space="preserve">8. التراجع</w:t>
        </w:r>
      </w:hyperlink>
    </w:p>
    <w:p>
      <w:pPr>
        <w:bidi/>
        <w:spacing w:after="50" w:before="0"/>
        <w:ind w:left="0"/>
      </w:pPr>
      <w:hyperlink w:history="1" w:anchor="_sec18">
        <w:r>
          <w:rPr>
            <w:rFonts w:ascii="Arial" w:cs="Arial" w:eastAsia="Arial" w:hAnsi="Arial"/>
            <w:b/>
            <w:bCs/>
            <w:color w:val="1F3A5F"/>
            <w:sz w:val="20"/>
            <w:szCs w:val="20"/>
            <w:rtl/>
          </w:rPr>
          <w:t xml:space="preserve">9. الإعدادات والأسرار لكل بيئة</w:t>
        </w:r>
      </w:hyperlink>
    </w:p>
    <w:p>
      <w:pPr>
        <w:bidi/>
        <w:spacing w:after="50" w:before="0"/>
        <w:ind w:left="0"/>
      </w:pPr>
      <w:hyperlink w:history="1" w:anchor="_sec19">
        <w:r>
          <w:rPr>
            <w:rFonts w:ascii="Arial" w:cs="Arial" w:eastAsia="Arial" w:hAnsi="Arial"/>
            <w:b/>
            <w:bCs/>
            <w:color w:val="1F3A5F"/>
            <w:sz w:val="20"/>
            <w:szCs w:val="20"/>
            <w:rtl/>
          </w:rPr>
          <w:t xml:space="preserve">10. البيانات في البيئات غير الإنتاجية</w:t>
        </w:r>
      </w:hyperlink>
    </w:p>
    <w:p>
      <w:pPr>
        <w:bidi/>
        <w:spacing w:after="50" w:before="0"/>
        <w:ind w:left="0"/>
      </w:pPr>
      <w:hyperlink w:history="1" w:anchor="_sec20">
        <w:r>
          <w:rPr>
            <w:rFonts w:ascii="Arial" w:cs="Arial" w:eastAsia="Arial" w:hAnsi="Arial"/>
            <w:b/>
            <w:bCs/>
            <w:color w:val="1F3A5F"/>
            <w:sz w:val="20"/>
            <w:szCs w:val="20"/>
            <w:rtl/>
          </w:rPr>
          <w:t xml:space="preserve">11. حزمة النشر القابلة للنقل</w:t>
        </w:r>
      </w:hyperlink>
    </w:p>
    <w:p>
      <w:pPr>
        <w:bidi/>
        <w:spacing w:after="50" w:before="0"/>
        <w:ind w:left="0"/>
      </w:pPr>
      <w:hyperlink w:history="1" w:anchor="_sec21">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14.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1"/>
        <w:bidi/>
      </w:pPr>
      <w:bookmarkStart w:name="_sec2" w:id="2"/>
      <w:r>
        <w:rPr>
          <w:rFonts w:ascii="Arial" w:cs="Arial" w:eastAsia="Arial" w:hAnsi="Arial"/>
          <w:b/>
          <w:bCs/>
          <w:color w:val="1F3A5F"/>
          <w:sz w:val="32"/>
          <w:szCs w:val="32"/>
          <w:rtl/>
        </w:rPr>
        <w:t xml:space="preserve">2. البيئات</w:t>
      </w:r>
      <w:bookmarkEnd w:id="2"/>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90500"/>
                    </a:xfrm>
                    <a:prstGeom prst="rect">
                      <a:avLst/>
                    </a:prstGeom>
                  </pic:spPr>
                </pic:pic>
              </a:graphicData>
            </a:graphic>
          </wp:inline>
        </w:drawing>
      </w:r>
    </w:p>
    <w:p>
      <w:pPr>
        <w:pStyle w:val="Heading1"/>
        <w:bidi/>
      </w:pPr>
      <w:bookmarkStart w:name="_sec3" w:id="3"/>
      <w:r>
        <w:rPr>
          <w:rFonts w:ascii="Arial" w:cs="Arial" w:eastAsia="Arial" w:hAnsi="Arial"/>
          <w:b/>
          <w:bCs/>
          <w:color w:val="1F3A5F"/>
          <w:sz w:val="32"/>
          <w:szCs w:val="32"/>
          <w:rtl/>
        </w:rPr>
        <w:t xml:space="preserve">3. ما يعمل أين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التفرّع والإصدارات</w:t>
      </w:r>
      <w:bookmarkEnd w:id="4"/>
    </w:p>
    <w:p>
      <w:pPr>
        <w:pStyle w:val="Heading2"/>
        <w:bidi/>
      </w:pPr>
      <w:bookmarkStart w:name="_sec5" w:id="5"/>
      <w:r>
        <w:rPr>
          <w:rFonts w:ascii="Arial" w:cs="Arial" w:eastAsia="Arial" w:hAnsi="Arial"/>
          <w:b/>
          <w:bCs/>
          <w:color w:val="2B5C8A"/>
          <w:sz w:val="26"/>
          <w:szCs w:val="26"/>
          <w:rtl/>
        </w:rPr>
        <w:t xml:space="preserve">4.1 التفرّع </w:t>
      </w:r>
      <w:r>
        <w:rPr>
          <w:rFonts w:ascii="Arial" w:cs="Arial" w:eastAsia="Arial" w:hAnsi="Arial"/>
          <w:color w:val="E0A800"/>
          <w:sz w:val="26"/>
          <w:szCs w:val="26"/>
          <w:rtl/>
        </w:rPr>
        <w:t xml:space="preserve">●</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2"/>
        <w:bidi/>
      </w:pPr>
      <w:bookmarkStart w:name="_sec6" w:id="6"/>
      <w:r>
        <w:rPr>
          <w:rFonts w:ascii="Arial" w:cs="Arial" w:eastAsia="Arial" w:hAnsi="Arial"/>
          <w:b/>
          <w:bCs/>
          <w:color w:val="2B5C8A"/>
          <w:sz w:val="26"/>
          <w:szCs w:val="26"/>
          <w:rtl/>
        </w:rPr>
        <w:t xml:space="preserve">4.2 ترقيم الإصدارات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2"/>
        <w:bidi/>
      </w:pPr>
      <w:bookmarkStart w:name="_sec7" w:id="7"/>
      <w:r>
        <w:rPr>
          <w:rFonts w:ascii="Arial" w:cs="Arial" w:eastAsia="Arial" w:hAnsi="Arial"/>
          <w:b/>
          <w:bCs/>
          <w:color w:val="2B5C8A"/>
          <w:sz w:val="26"/>
          <w:szCs w:val="26"/>
          <w:rtl/>
        </w:rPr>
        <w:t xml:space="preserve">4.3 سجل الإصدارات (FR-PLT-045، البند 1)</w:t>
      </w:r>
      <w:bookmarkEnd w:id="7"/>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1"/>
        <w:bidi/>
      </w:pPr>
      <w:bookmarkStart w:name="_sec8" w:id="8"/>
      <w:r>
        <w:rPr>
          <w:rFonts w:ascii="Arial" w:cs="Arial" w:eastAsia="Arial" w:hAnsi="Arial"/>
          <w:b/>
          <w:bCs/>
          <w:color w:val="1F3A5F"/>
          <w:sz w:val="32"/>
          <w:szCs w:val="32"/>
          <w:rtl/>
        </w:rPr>
        <w:t xml:space="preserve">5. خط البناء</w:t>
      </w:r>
      <w:bookmarkEnd w:id="8"/>
    </w:p>
    <w:p>
      <w:pPr>
        <w:pStyle w:val="Heading2"/>
        <w:bidi/>
      </w:pPr>
      <w:bookmarkStart w:name="_sec9" w:id="9"/>
      <w:r>
        <w:rPr>
          <w:rFonts w:ascii="Arial" w:cs="Arial" w:eastAsia="Arial" w:hAnsi="Arial"/>
          <w:b/>
          <w:bCs/>
          <w:color w:val="2B5C8A"/>
          <w:sz w:val="26"/>
          <w:szCs w:val="26"/>
          <w:rtl/>
        </w:rPr>
        <w:t xml:space="preserve">5.1 خط القاعدة القائم</w:t>
      </w:r>
      <w:bookmarkEnd w:id="9"/>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3"/>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3"/>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2"/>
        <w:bidi/>
      </w:pPr>
      <w:bookmarkStart w:name="_sec10" w:id="10"/>
      <w:r>
        <w:rPr>
          <w:rFonts w:ascii="Arial" w:cs="Arial" w:eastAsia="Arial" w:hAnsi="Arial"/>
          <w:b/>
          <w:bCs/>
          <w:color w:val="2B5C8A"/>
          <w:sz w:val="26"/>
          <w:szCs w:val="26"/>
          <w:rtl/>
        </w:rPr>
        <w:t xml:space="preserve">5.2 خط التطبيق </w:t>
      </w:r>
      <w:r>
        <w:rPr>
          <w:rFonts w:ascii="Arial" w:cs="Arial" w:eastAsia="Arial" w:hAnsi="Arial"/>
          <w:color w:val="E0A800"/>
          <w:sz w:val="26"/>
          <w:szCs w:val="26"/>
          <w:rtl/>
        </w:rPr>
        <w:t xml:space="preserve">●</w:t>
      </w:r>
      <w:bookmarkEnd w:id="10"/>
    </w:p>
    <w:p>
      <w:pPr>
        <w:keepNext/>
        <w:bidi/>
        <w:spacing w:after="60" w:before="160"/>
        <w:jc w:val="center"/>
      </w:pPr>
      <w:r>
        <w:drawing>
          <wp:inline distT="0" distB="0" distL="0" distR="0">
            <wp:extent cx="20097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5.3 المهمة الأسبوعية (FR-PLT-045، البند 3)</w:t>
      </w:r>
      <w:bookmarkEnd w:id="11"/>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1"/>
        <w:bidi/>
      </w:pPr>
      <w:bookmarkStart w:name="_sec12" w:id="12"/>
      <w:r>
        <w:rPr>
          <w:rFonts w:ascii="Arial" w:cs="Arial" w:eastAsia="Arial" w:hAnsi="Arial"/>
          <w:b/>
          <w:bCs/>
          <w:color w:val="1F3A5F"/>
          <w:sz w:val="32"/>
          <w:szCs w:val="32"/>
          <w:rtl/>
        </w:rPr>
        <w:t xml:space="preserve">6. استراتيجية ترحيل القاعدة</w:t>
      </w:r>
      <w:bookmarkEnd w:id="12"/>
    </w:p>
    <w:p>
      <w:pPr>
        <w:pStyle w:val="Heading2"/>
        <w:bidi/>
      </w:pPr>
      <w:bookmarkStart w:name="_sec13" w:id="13"/>
      <w:r>
        <w:rPr>
          <w:rFonts w:ascii="Arial" w:cs="Arial" w:eastAsia="Arial" w:hAnsi="Arial"/>
          <w:b/>
          <w:bCs/>
          <w:color w:val="2B5C8A"/>
          <w:sz w:val="26"/>
          <w:szCs w:val="26"/>
          <w:rtl/>
        </w:rPr>
        <w:t xml:space="preserve">6.1 الوضع اليوم</w:t>
      </w:r>
      <w:bookmarkEnd w:id="13"/>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2"/>
        <w:bidi/>
      </w:pPr>
      <w:bookmarkStart w:name="_sec14" w:id="14"/>
      <w:r>
        <w:rPr>
          <w:rFonts w:ascii="Arial" w:cs="Arial" w:eastAsia="Arial" w:hAnsi="Arial"/>
          <w:b/>
          <w:bCs/>
          <w:color w:val="2B5C8A"/>
          <w:sz w:val="26"/>
          <w:szCs w:val="26"/>
          <w:rtl/>
        </w:rPr>
        <w:t xml:space="preserve">6.2 المقترح </w:t>
      </w:r>
      <w:r>
        <w:rPr>
          <w:rFonts w:ascii="Arial" w:cs="Arial" w:eastAsia="Arial" w:hAnsi="Arial"/>
          <w:color w:val="E0A800"/>
          <w:sz w:val="26"/>
          <w:szCs w:val="26"/>
          <w:rtl/>
        </w:rPr>
        <w:t xml:space="preserve">●</w:t>
      </w:r>
      <w:bookmarkEnd w:id="14"/>
    </w:p>
    <w:p>
      <w:pPr>
        <w:pStyle w:val="ListParagraph"/>
        <w:numPr>
          <w:ilvl w:val="0"/>
          <w:numId w:val="4"/>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4"/>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4"/>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4"/>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4"/>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4"/>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4"/>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4"/>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2"/>
        <w:bidi/>
      </w:pPr>
      <w:bookmarkStart w:name="_sec15" w:id="15"/>
      <w:r>
        <w:rPr>
          <w:rFonts w:ascii="Arial" w:cs="Arial" w:eastAsia="Arial" w:hAnsi="Arial"/>
          <w:b/>
          <w:bCs/>
          <w:color w:val="2B5C8A"/>
          <w:sz w:val="26"/>
          <w:szCs w:val="26"/>
          <w:rtl/>
        </w:rPr>
        <w:t xml:space="preserve">6.3 فحص التكافؤ في CI </w:t>
      </w:r>
      <w:r>
        <w:rPr>
          <w:rFonts w:ascii="Arial" w:cs="Arial" w:eastAsia="Arial" w:hAnsi="Arial"/>
          <w:color w:val="E0A800"/>
          <w:sz w:val="26"/>
          <w:szCs w:val="26"/>
          <w:rtl/>
        </w:rPr>
        <w:t xml:space="preserve">●</w:t>
      </w:r>
      <w:bookmarkEnd w:id="15"/>
    </w:p>
    <w:p>
      <w:pPr>
        <w:keepNext/>
        <w:bidi/>
        <w:spacing w:after="60" w:before="160"/>
        <w:jc w:val="center"/>
      </w:pPr>
      <w:r>
        <w:drawing>
          <wp:inline distT="0" distB="0" distL="0" distR="0">
            <wp:extent cx="6096000" cy="78200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1"/>
        <w:bidi/>
      </w:pPr>
      <w:bookmarkStart w:name="_sec16" w:id="16"/>
      <w:r>
        <w:rPr>
          <w:rFonts w:ascii="Arial" w:cs="Arial" w:eastAsia="Arial" w:hAnsi="Arial"/>
          <w:b/>
          <w:bCs/>
          <w:color w:val="1F3A5F"/>
          <w:sz w:val="32"/>
          <w:szCs w:val="32"/>
          <w:rtl/>
        </w:rPr>
        <w:t xml:space="preserve">7. بوابات الإصدار</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التراجع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1"/>
        <w:bidi/>
      </w:pPr>
      <w:bookmarkStart w:name="_sec18" w:id="18"/>
      <w:r>
        <w:rPr>
          <w:rFonts w:ascii="Arial" w:cs="Arial" w:eastAsia="Arial" w:hAnsi="Arial"/>
          <w:b/>
          <w:bCs/>
          <w:color w:val="1F3A5F"/>
          <w:sz w:val="32"/>
          <w:szCs w:val="32"/>
          <w:rtl/>
        </w:rPr>
        <w:t xml:space="preserve">9. الإعدادات والأسرار لكل بيئة</w:t>
      </w:r>
      <w:bookmarkEnd w:id="18"/>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البيانات في البيئات غير الإنتاجية</w:t>
      </w:r>
      <w:bookmarkEnd w:id="19"/>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5"/>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5"/>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5"/>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5"/>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1"/>
        <w:bidi/>
      </w:pPr>
      <w:bookmarkStart w:name="_sec20" w:id="20"/>
      <w:r>
        <w:rPr>
          <w:rFonts w:ascii="Arial" w:cs="Arial" w:eastAsia="Arial" w:hAnsi="Arial"/>
          <w:b/>
          <w:bCs/>
          <w:color w:val="1F3A5F"/>
          <w:sz w:val="32"/>
          <w:szCs w:val="32"/>
          <w:rtl/>
        </w:rPr>
        <w:t xml:space="preserve">11. حزمة النشر القابلة للنقل</w:t>
      </w:r>
      <w:bookmarkEnd w:id="20"/>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1"/>
        <w:bidi/>
      </w:pPr>
      <w:bookmarkStart w:name="_sec21" w:id="21"/>
      <w:r>
        <w:rPr>
          <w:rFonts w:ascii="Arial" w:cs="Arial" w:eastAsia="Arial" w:hAnsi="Arial"/>
          <w:b/>
          <w:bCs/>
          <w:color w:val="1F3A5F"/>
          <w:sz w:val="32"/>
          <w:szCs w:val="32"/>
          <w:rtl/>
        </w:rPr>
        <w:t xml:space="preserve">12.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13. تعارضات وفجوات في المصادر</w:t>
      </w:r>
      <w:bookmarkEnd w:id="22"/>
    </w:p>
    <w:p>
      <w:pPr>
        <w:pStyle w:val="ListParagraph"/>
        <w:numPr>
          <w:ilvl w:val="0"/>
          <w:numId w:val="6"/>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6"/>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DOC-B11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f3dc959156772b35bb1ceeb2523d896c0117663.png"/><Relationship Id="rId10" Type="http://schemas.openxmlformats.org/officeDocument/2006/relationships/image" Target="media/e94ebe6c4db9727b68f1ee4a9286f616440483e7.png"/><Relationship Id="rId11" Type="http://schemas.openxmlformats.org/officeDocument/2006/relationships/image" Target="media/64132523d7b28330b4d50eb997125b9cdc13bfb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DOC-B11 — مواصفة البيئات والبناء والإصدار</dc:title>
  <dc:creator>Claude</dc:creator>
  <dc:description>BankFas database design document</dc:description>
  <cp:lastModifiedBy>Un-named</cp:lastModifiedBy>
  <cp:revision>1</cp:revision>
  <dcterms:created xsi:type="dcterms:W3CDTF">2026-10-19T21:17:55.412Z</dcterms:created>
  <dcterms:modified xsi:type="dcterms:W3CDTF">2026-10-19T21:17:55.412Z</dcterms:modified>
</cp:coreProperties>
</file>

<file path=docProps/custom.xml><?xml version="1.0" encoding="utf-8"?>
<Properties xmlns="http://schemas.openxmlformats.org/officeDocument/2006/custom-properties" xmlns:vt="http://schemas.openxmlformats.org/officeDocument/2006/docPropsVTypes"/>
</file>