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DOC-F04 — تسلسل ربط سياق المشترك لكل اتصال ومهمة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يقرّه المستودع اليوم</w:t>
        </w:r>
      </w:hyperlink>
    </w:p>
    <w:p>
      <w:pPr>
        <w:bidi/>
        <w:spacing w:after="50" w:before="0"/>
        <w:ind w:left="0"/>
      </w:pPr>
      <w:hyperlink w:history="1" w:anchor="_sec3">
        <w:r>
          <w:rPr>
            <w:rFonts w:ascii="Arial" w:cs="Arial" w:eastAsia="Arial" w:hAnsi="Arial"/>
            <w:b/>
            <w:bCs/>
            <w:color w:val="1F3A5F"/>
            <w:sz w:val="20"/>
            <w:szCs w:val="20"/>
            <w:rtl/>
          </w:rPr>
          <w:t xml:space="preserve">3. أنواع الاتصال الأربعة</w:t>
        </w:r>
      </w:hyperlink>
    </w:p>
    <w:p>
      <w:pPr>
        <w:bidi/>
        <w:spacing w:after="50" w:before="0"/>
        <w:ind w:left="0"/>
      </w:pPr>
      <w:hyperlink w:history="1" w:anchor="_sec4">
        <w:r>
          <w:rPr>
            <w:rFonts w:ascii="Arial" w:cs="Arial" w:eastAsia="Arial" w:hAnsi="Arial"/>
            <w:b/>
            <w:bCs/>
            <w:color w:val="1F3A5F"/>
            <w:sz w:val="20"/>
            <w:szCs w:val="20"/>
            <w:rtl/>
          </w:rPr>
          <w:t xml:space="preserve">4. تسلسل الطلب الواحد لمستخدم المشترك</w:t>
        </w:r>
      </w:hyperlink>
    </w:p>
    <w:p>
      <w:pPr>
        <w:bidi/>
        <w:spacing w:after="50" w:before="0"/>
        <w:ind w:left="0"/>
      </w:pPr>
      <w:hyperlink w:history="1" w:anchor="_sec11">
        <w:r>
          <w:rPr>
            <w:rFonts w:ascii="Arial" w:cs="Arial" w:eastAsia="Arial" w:hAnsi="Arial"/>
            <w:b/>
            <w:bCs/>
            <w:color w:val="1F3A5F"/>
            <w:sz w:val="20"/>
            <w:szCs w:val="20"/>
            <w:rtl/>
          </w:rPr>
          <w:t xml:space="preserve">5. مهام الخلفية وعامل Outbox</w:t>
        </w:r>
      </w:hyperlink>
    </w:p>
    <w:p>
      <w:pPr>
        <w:bidi/>
        <w:spacing w:after="50" w:before="0"/>
        <w:ind w:left="0"/>
      </w:pPr>
      <w:hyperlink w:history="1" w:anchor="_sec14">
        <w:r>
          <w:rPr>
            <w:rFonts w:ascii="Arial" w:cs="Arial" w:eastAsia="Arial" w:hAnsi="Arial"/>
            <w:b/>
            <w:bCs/>
            <w:color w:val="1F3A5F"/>
            <w:sz w:val="20"/>
            <w:szCs w:val="20"/>
            <w:rtl/>
          </w:rPr>
          <w:t xml:space="preserve">6. مشغّلو المنصة والدعم المؤقت</w:t>
        </w:r>
      </w:hyperlink>
    </w:p>
    <w:p>
      <w:pPr>
        <w:bidi/>
        <w:spacing w:after="50" w:before="0"/>
        <w:ind w:left="0"/>
      </w:pPr>
      <w:hyperlink w:history="1" w:anchor="_sec17">
        <w:r>
          <w:rPr>
            <w:rFonts w:ascii="Arial" w:cs="Arial" w:eastAsia="Arial" w:hAnsi="Arial"/>
            <w:b/>
            <w:bCs/>
            <w:color w:val="1F3A5F"/>
            <w:sz w:val="20"/>
            <w:szCs w:val="20"/>
            <w:rtl/>
          </w:rPr>
          <w:t xml:space="preserve">7. مصفوفة حالة المشترك والدور (O-18)</w:t>
        </w:r>
      </w:hyperlink>
    </w:p>
    <w:p>
      <w:pPr>
        <w:bidi/>
        <w:spacing w:after="50" w:before="0"/>
        <w:ind w:left="0"/>
      </w:pPr>
      <w:hyperlink w:history="1" w:anchor="_sec22">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وJ7 تدقيق الربط)،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ما يقرّه المستودع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2"/>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2"/>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2"/>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1"/>
        <w:bidi/>
      </w:pPr>
      <w:bookmarkStart w:name="_sec3" w:id="3"/>
      <w:r>
        <w:rPr>
          <w:rFonts w:ascii="Arial" w:cs="Arial" w:eastAsia="Arial" w:hAnsi="Arial"/>
          <w:b/>
          <w:bCs/>
          <w:color w:val="1F3A5F"/>
          <w:sz w:val="32"/>
          <w:szCs w:val="32"/>
          <w:rtl/>
        </w:rPr>
        <w:t xml:space="preserve">3. أنواع الاتصال الأربعة</w:t>
      </w:r>
      <w:bookmarkEnd w:id="3"/>
    </w:p>
    <w:p>
      <w:pPr>
        <w:keepNext/>
        <w:bidi/>
        <w:spacing w:after="60" w:before="160"/>
        <w:jc w:val="center"/>
      </w:pPr>
      <w:r>
        <w:drawing>
          <wp:inline distT="0" distB="0" distL="0" distR="0">
            <wp:extent cx="6096000" cy="16192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1"/>
        <w:bidi/>
      </w:pPr>
      <w:bookmarkStart w:name="_sec4" w:id="4"/>
      <w:r>
        <w:rPr>
          <w:rFonts w:ascii="Arial" w:cs="Arial" w:eastAsia="Arial" w:hAnsi="Arial"/>
          <w:b/>
          <w:bCs/>
          <w:color w:val="1F3A5F"/>
          <w:sz w:val="32"/>
          <w:szCs w:val="32"/>
          <w:rtl/>
        </w:rPr>
        <w:t xml:space="preserve">4. تسلسل الطلب الواحد لمستخدم المشترك</w:t>
      </w:r>
      <w:bookmarkEnd w:id="4"/>
    </w:p>
    <w:p>
      <w:pPr>
        <w:pStyle w:val="Heading2"/>
        <w:bidi/>
      </w:pPr>
      <w:bookmarkStart w:name="_sec5" w:id="5"/>
      <w:r>
        <w:rPr>
          <w:rFonts w:ascii="Arial" w:cs="Arial" w:eastAsia="Arial" w:hAnsi="Arial"/>
          <w:b/>
          <w:bCs/>
          <w:color w:val="2B5C8A"/>
          <w:sz w:val="26"/>
          <w:szCs w:val="26"/>
          <w:rtl/>
        </w:rPr>
        <w:t xml:space="preserve">4.1 المخطط</w:t>
      </w:r>
      <w:bookmarkEnd w:id="5"/>
    </w:p>
    <w:p>
      <w:pPr>
        <w:keepNext/>
        <w:bidi/>
        <w:spacing w:after="60" w:before="160"/>
        <w:jc w:val="center"/>
      </w:pPr>
      <w:r>
        <w:drawing>
          <wp:inline distT="0" distB="0" distL="0" distR="0">
            <wp:extent cx="6096000" cy="33813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81375"/>
                    </a:xfrm>
                    <a:prstGeom prst="rect">
                      <a:avLst/>
                    </a:prstGeom>
                  </pic:spPr>
                </pic:pic>
              </a:graphicData>
            </a:graphic>
          </wp:inline>
        </w:drawing>
      </w:r>
    </w:p>
    <w:p>
      <w:pPr>
        <w:pStyle w:val="Heading2"/>
        <w:bidi/>
      </w:pPr>
      <w:bookmarkStart w:name="_sec6" w:id="6"/>
      <w:r>
        <w:rPr>
          <w:rFonts w:ascii="Arial" w:cs="Arial" w:eastAsia="Arial" w:hAnsi="Arial"/>
          <w:b/>
          <w:bCs/>
          <w:color w:val="2B5C8A"/>
          <w:sz w:val="26"/>
          <w:szCs w:val="26"/>
          <w:rtl/>
        </w:rPr>
        <w:t xml:space="preserve">4.2 قواعد طبقة التطبيق</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4.3 ما يجري داخل </w:t>
      </w:r>
      <w:r>
        <w:rPr>
          <w:rFonts w:ascii="Courier New" w:cs="Courier New" w:eastAsia="Courier New" w:hAnsi="Courier New"/>
          <w:b/>
          <w:bCs/>
          <w:color w:val="1F2937"/>
          <w:sz w:val="22"/>
          <w:szCs w:val="22"/>
          <w:rtl/>
        </w:rPr>
        <w:t xml:space="preserve">‎sec.usp_SetSessionContext‎</w:t>
      </w:r>
      <w:bookmarkEnd w:id="7"/>
    </w:p>
    <w:p>
      <w:pPr>
        <w:keepNext/>
        <w:bidi/>
        <w:spacing w:after="60" w:before="160"/>
        <w:jc w:val="center"/>
      </w:pPr>
      <w:r>
        <w:drawing>
          <wp:inline distT="0" distB="0" distL="0" distR="0">
            <wp:extent cx="3571875"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2"/>
        <w:bidi/>
      </w:pPr>
      <w:bookmarkStart w:name="_sec8" w:id="8"/>
      <w:r>
        <w:rPr>
          <w:rFonts w:ascii="Arial" w:cs="Arial" w:eastAsia="Arial" w:hAnsi="Arial"/>
          <w:b/>
          <w:bCs/>
          <w:color w:val="2B5C8A"/>
          <w:sz w:val="26"/>
          <w:szCs w:val="26"/>
          <w:rtl/>
        </w:rPr>
        <w:t xml:space="preserve">4.4 صف الربط ودوال RLS</w:t>
      </w:r>
      <w:bookmarkEnd w:id="8"/>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3"/>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2"/>
        <w:bidi/>
      </w:pPr>
      <w:bookmarkStart w:name="_sec9" w:id="9"/>
      <w:r>
        <w:rPr>
          <w:rFonts w:ascii="Arial" w:cs="Arial" w:eastAsia="Arial" w:hAnsi="Arial"/>
          <w:b/>
          <w:bCs/>
          <w:color w:val="2B5C8A"/>
          <w:sz w:val="26"/>
          <w:szCs w:val="26"/>
          <w:rtl/>
        </w:rPr>
        <w:t xml:space="preserve">4.5 الفشل وما يفعله التطبيق</w:t>
      </w:r>
      <w:bookmarkEnd w:id="9"/>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4.6 السحب</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1"/>
        <w:bidi/>
      </w:pPr>
      <w:bookmarkStart w:name="_sec11" w:id="11"/>
      <w:r>
        <w:rPr>
          <w:rFonts w:ascii="Arial" w:cs="Arial" w:eastAsia="Arial" w:hAnsi="Arial"/>
          <w:b/>
          <w:bCs/>
          <w:color w:val="1F3A5F"/>
          <w:sz w:val="32"/>
          <w:szCs w:val="32"/>
          <w:rtl/>
        </w:rPr>
        <w:t xml:space="preserve">5. مهام الخلفية وعامل Outbox</w:t>
      </w:r>
      <w:bookmarkEnd w:id="11"/>
    </w:p>
    <w:p>
      <w:pPr>
        <w:pStyle w:val="Heading2"/>
        <w:bidi/>
      </w:pPr>
      <w:bookmarkStart w:name="_sec12" w:id="12"/>
      <w:r>
        <w:rPr>
          <w:rFonts w:ascii="Arial" w:cs="Arial" w:eastAsia="Arial" w:hAnsi="Arial"/>
          <w:b/>
          <w:bCs/>
          <w:color w:val="2B5C8A"/>
          <w:sz w:val="26"/>
          <w:szCs w:val="26"/>
          <w:rtl/>
        </w:rPr>
        <w:t xml:space="preserve">5.1 الوضع اليوم: المسار غير مبني</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2"/>
        <w:bidi/>
      </w:pPr>
      <w:bookmarkStart w:name="_sec13" w:id="13"/>
      <w:r>
        <w:rPr>
          <w:rFonts w:ascii="Arial" w:cs="Arial" w:eastAsia="Arial" w:hAnsi="Arial"/>
          <w:b/>
          <w:bCs/>
          <w:color w:val="2B5C8A"/>
          <w:sz w:val="26"/>
          <w:szCs w:val="26"/>
          <w:rtl/>
        </w:rPr>
        <w:t xml:space="preserve">5.2 التصميم المقترح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3"/>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3"/>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3"/>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3"/>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3"/>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4"/>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1"/>
        <w:bidi/>
      </w:pPr>
      <w:bookmarkStart w:name="_sec14" w:id="14"/>
      <w:r>
        <w:rPr>
          <w:rFonts w:ascii="Arial" w:cs="Arial" w:eastAsia="Arial" w:hAnsi="Arial"/>
          <w:b/>
          <w:bCs/>
          <w:color w:val="1F3A5F"/>
          <w:sz w:val="32"/>
          <w:szCs w:val="32"/>
          <w:rtl/>
        </w:rPr>
        <w:t xml:space="preserve">6. مشغّلو المنصة والدعم المؤقت</w:t>
      </w:r>
      <w:bookmarkEnd w:id="14"/>
    </w:p>
    <w:p>
      <w:pPr>
        <w:pStyle w:val="Heading2"/>
        <w:bidi/>
      </w:pPr>
      <w:bookmarkStart w:name="_sec15" w:id="15"/>
      <w:r>
        <w:rPr>
          <w:rFonts w:ascii="Arial" w:cs="Arial" w:eastAsia="Arial" w:hAnsi="Arial"/>
          <w:b/>
          <w:bCs/>
          <w:color w:val="2B5C8A"/>
          <w:sz w:val="26"/>
          <w:szCs w:val="26"/>
          <w:rtl/>
        </w:rPr>
        <w:t xml:space="preserve">6.1 مشغّل المنصة (</w:t>
      </w:r>
      <w:r>
        <w:rPr>
          <w:rFonts w:ascii="Courier New" w:cs="Courier New" w:eastAsia="Courier New" w:hAnsi="Courier New"/>
          <w:b/>
          <w:bCs/>
          <w:color w:val="1F2937"/>
          <w:sz w:val="22"/>
          <w:szCs w:val="22"/>
          <w:rtl/>
        </w:rPr>
        <w:t xml:space="preserve">‎tp_platform‎</w:t>
      </w:r>
      <w:r>
        <w:rPr>
          <w:rFonts w:ascii="Arial" w:cs="Arial" w:eastAsia="Arial" w:hAnsi="Arial"/>
          <w:b/>
          <w:bCs/>
          <w:color w:val="2B5C8A"/>
          <w:sz w:val="26"/>
          <w:szCs w:val="26"/>
          <w:rtl/>
        </w:rPr>
        <w:t xml:space="preserve">)</w:t>
      </w:r>
      <w:bookmarkEnd w:id="15"/>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3"/>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3"/>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3"/>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3"/>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2"/>
        <w:bidi/>
      </w:pPr>
      <w:bookmarkStart w:name="_sec16" w:id="16"/>
      <w:r>
        <w:rPr>
          <w:rFonts w:ascii="Arial" w:cs="Arial" w:eastAsia="Arial" w:hAnsi="Arial"/>
          <w:b/>
          <w:bCs/>
          <w:color w:val="2B5C8A"/>
          <w:sz w:val="26"/>
          <w:szCs w:val="26"/>
          <w:rtl/>
        </w:rPr>
        <w:t xml:space="preserve">6.2 الدعم المؤقت </w:t>
      </w:r>
      <w:r>
        <w:rPr>
          <w:rFonts w:ascii="Arial" w:cs="Arial" w:eastAsia="Arial" w:hAnsi="Arial"/>
          <w:color w:val="E0A800"/>
          <w:sz w:val="26"/>
          <w:szCs w:val="26"/>
          <w:rtl/>
        </w:rPr>
        <w:t xml:space="preserve">●</w:t>
      </w:r>
      <w:bookmarkEnd w:id="16"/>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5"/>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5"/>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5"/>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5"/>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1"/>
        <w:bidi/>
      </w:pPr>
      <w:bookmarkStart w:name="_sec17" w:id="17"/>
      <w:r>
        <w:rPr>
          <w:rFonts w:ascii="Arial" w:cs="Arial" w:eastAsia="Arial" w:hAnsi="Arial"/>
          <w:b/>
          <w:bCs/>
          <w:color w:val="1F3A5F"/>
          <w:sz w:val="32"/>
          <w:szCs w:val="32"/>
          <w:rtl/>
        </w:rPr>
        <w:t xml:space="preserve">7. مصفوفة حالة المشترك والدور (O-18)</w:t>
      </w:r>
      <w:bookmarkEnd w:id="17"/>
    </w:p>
    <w:p>
      <w:pPr>
        <w:pStyle w:val="Heading2"/>
        <w:bidi/>
      </w:pPr>
      <w:bookmarkStart w:name="_sec18" w:id="18"/>
      <w:r>
        <w:rPr>
          <w:rFonts w:ascii="Arial" w:cs="Arial" w:eastAsia="Arial" w:hAnsi="Arial"/>
          <w:b/>
          <w:bCs/>
          <w:color w:val="2B5C8A"/>
          <w:sz w:val="26"/>
          <w:szCs w:val="26"/>
          <w:rtl/>
        </w:rPr>
        <w:t xml:space="preserve">7.1 ما تطلبه BR-PLT-002 </w:t>
      </w:r>
      <w:r>
        <w:rPr>
          <w:rFonts w:ascii="Arial" w:cs="Arial" w:eastAsia="Arial" w:hAnsi="Arial"/>
          <w:color w:val="2E9E44"/>
          <w:sz w:val="26"/>
          <w:szCs w:val="26"/>
          <w:rtl/>
        </w:rPr>
        <w:t xml:space="preserve">●</w:t>
      </w:r>
      <w:bookmarkEnd w:id="18"/>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3"/>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3"/>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3"/>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3"/>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2"/>
        <w:bidi/>
      </w:pPr>
      <w:bookmarkStart w:name="_sec19" w:id="19"/>
      <w:r>
        <w:rPr>
          <w:rFonts w:ascii="Arial" w:cs="Arial" w:eastAsia="Arial" w:hAnsi="Arial"/>
          <w:b/>
          <w:bCs/>
          <w:color w:val="2B5C8A"/>
          <w:sz w:val="26"/>
          <w:szCs w:val="26"/>
          <w:rtl/>
        </w:rPr>
        <w:t xml:space="preserve">7.2 ما يفعله الكود اليوم </w:t>
      </w:r>
      <w:r>
        <w:rPr>
          <w:rFonts w:ascii="Arial" w:cs="Arial" w:eastAsia="Arial" w:hAnsi="Arial"/>
          <w:color w:val="2E9E44"/>
          <w:sz w:val="26"/>
          <w:szCs w:val="26"/>
          <w:rtl/>
        </w:rPr>
        <w:t xml:space="preserve">●</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2"/>
        <w:bidi/>
      </w:pPr>
      <w:bookmarkStart w:name="_sec20" w:id="20"/>
      <w:r>
        <w:rPr>
          <w:rFonts w:ascii="Arial" w:cs="Arial" w:eastAsia="Arial" w:hAnsi="Arial"/>
          <w:b/>
          <w:bCs/>
          <w:color w:val="2B5C8A"/>
          <w:sz w:val="26"/>
          <w:szCs w:val="26"/>
          <w:rtl/>
        </w:rPr>
        <w:t xml:space="preserve">7.3 الفجوة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7.4 الحل المقترح (قرار DQ-F04-1) </w:t>
      </w:r>
      <w:r>
        <w:rPr>
          <w:rFonts w:ascii="Arial" w:cs="Arial" w:eastAsia="Arial" w:hAnsi="Arial"/>
          <w:color w:val="E0A800"/>
          <w:sz w:val="26"/>
          <w:szCs w:val="26"/>
          <w:rtl/>
        </w:rPr>
        <w:t xml:space="preserve">●</w:t>
      </w:r>
      <w:bookmarkEnd w:id="21"/>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1069"/>
        <w:gridCol w:w="1202"/>
        <w:gridCol w:w="3210"/>
        <w:gridCol w:w="989"/>
        <w:gridCol w:w="98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3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6"/>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6"/>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6"/>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6"/>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6"/>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1"/>
        <w:bidi/>
      </w:pPr>
      <w:bookmarkStart w:name="_sec22" w:id="22"/>
      <w:r>
        <w:rPr>
          <w:rFonts w:ascii="Arial" w:cs="Arial" w:eastAsia="Arial" w:hAnsi="Arial"/>
          <w:b/>
          <w:bCs/>
          <w:color w:val="1F3A5F"/>
          <w:sz w:val="32"/>
          <w:szCs w:val="32"/>
          <w:rtl/>
        </w:rPr>
        <w:t xml:space="preserve">8.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9. تعارضات وفجوات في المصادر</w:t>
      </w:r>
      <w:bookmarkEnd w:id="23"/>
    </w:p>
    <w:p>
      <w:pPr>
        <w:pStyle w:val="ListParagraph"/>
        <w:numPr>
          <w:ilvl w:val="0"/>
          <w:numId w:val="7"/>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7"/>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7"/>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7"/>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1"/>
        <w:bidi/>
      </w:pPr>
      <w:bookmarkStart w:name="_sec24" w:id="24"/>
      <w:r>
        <w:rPr>
          <w:rFonts w:ascii="Arial" w:cs="Arial" w:eastAsia="Arial" w:hAnsi="Arial"/>
          <w:b/>
          <w:bCs/>
          <w:color w:val="1F3A5F"/>
          <w:sz w:val="32"/>
          <w:szCs w:val="32"/>
          <w:rtl/>
        </w:rPr>
        <w:t xml:space="preserve">10.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90531a39543abd2d9d0a5bc55705b81fc437670.png"/><Relationship Id="rId10" Type="http://schemas.openxmlformats.org/officeDocument/2006/relationships/image" Target="media/23cb497ee04dc31316b049462e6406a46838c65c.png"/><Relationship Id="rId11" Type="http://schemas.openxmlformats.org/officeDocument/2006/relationships/image" Target="media/62f8879c777b57460da440bb1ea21e5a097f6b47.png"/><Relationship Id="rId12" Type="http://schemas.openxmlformats.org/officeDocument/2006/relationships/image" Target="media/c491a09bf8bc37f60a037917cf087635b0d6a1a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DOC-F04 — تسلسل ربط سياق المشترك لكل اتصال ومهمة</dc:title>
  <dc:creator>Claude</dc:creator>
  <dc:description>BankFas database design document</dc:description>
  <cp:lastModifiedBy>Un-named</cp:lastModifiedBy>
  <cp:revision>1</cp:revision>
  <dcterms:created xsi:type="dcterms:W3CDTF">2026-10-19T21:16:23.122Z</dcterms:created>
  <dcterms:modified xsi:type="dcterms:W3CDTF">2026-10-19T21:16:23.122Z</dcterms:modified>
</cp:coreProperties>
</file>

<file path=docProps/custom.xml><?xml version="1.0" encoding="utf-8"?>
<Properties xmlns="http://schemas.openxmlformats.org/officeDocument/2006/custom-properties" xmlns:vt="http://schemas.openxmlformats.org/officeDocument/2006/docPropsVTypes"/>
</file>