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DOC-S03 — معمارية الأمن والمصادقة والجلسات (سلسلة الثقة من الهوية إلى سياق المشترك)</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(جانب الأمن)</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إلى FR-PLT-014، FR-PLT-021، FR-PLT-023، FR-PLT-046، BR-PLT-005، O-22 وO-24 (erd_open_items)، DR-17</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(تسلسل الربط)، DOC-F03 (تسلسل الدخول)، DOC-S04 (قيم السياسة)، DOC-S05 (TLS وHSTS)، DOC-S08 (حسابات القاعدة)، DOC-F01 (حدود الثقة TB-1 وTB-3 وTB-4)، DOC-B04 (نموذج الأخطاء)، DOC-B11 (البيئات)</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 db/static/030_session_context.sql، db/static/010_rls.sql، db/static/020_roles_and_grants.sql، db/generated/tsql/005_delete_grants.sql و006_sensitive_columns.sql و007_table_grants.sql، db/model/10-platform.model، tools/dbgen/erd_open_items.py، docs/10-detailed-analysis/10-m0-m1-platform-organization.md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سلسلة الثقة</w:t>
        </w:r>
      </w:hyperlink>
    </w:p>
    <w:p>
      <w:pPr>
        <w:bidi/>
        <w:spacing w:after="50" w:before="0"/>
        <w:ind w:left="0"/>
      </w:pPr>
      <w:hyperlink w:history="1" w:anchor="_sec3">
        <w:r>
          <w:rPr>
            <w:rFonts w:ascii="Arial" w:cs="Arial" w:eastAsia="Arial" w:hAnsi="Arial"/>
            <w:b/>
            <w:bCs/>
            <w:color w:val="1F3A5F"/>
            <w:sz w:val="20"/>
            <w:szCs w:val="20"/>
            <w:rtl/>
          </w:rPr>
          <w:t xml:space="preserve">3. رمز الجلسة</w:t>
        </w:r>
      </w:hyperlink>
    </w:p>
    <w:p>
      <w:pPr>
        <w:bidi/>
        <w:spacing w:after="50" w:before="0"/>
        <w:ind w:left="0"/>
      </w:pPr>
      <w:hyperlink w:history="1" w:anchor="_sec4">
        <w:r>
          <w:rPr>
            <w:rFonts w:ascii="Arial" w:cs="Arial" w:eastAsia="Arial" w:hAnsi="Arial"/>
            <w:b/>
            <w:bCs/>
            <w:color w:val="1F3A5F"/>
            <w:sz w:val="20"/>
            <w:szCs w:val="20"/>
            <w:rtl/>
          </w:rPr>
          <w:t xml:space="preserve">4. الكوكي على العنوان الفرعي</w:t>
        </w:r>
      </w:hyperlink>
    </w:p>
    <w:p>
      <w:pPr>
        <w:bidi/>
        <w:spacing w:after="50" w:before="0"/>
        <w:ind w:left="0"/>
      </w:pPr>
      <w:hyperlink w:history="1" w:anchor="_sec5">
        <w:r>
          <w:rPr>
            <w:rFonts w:ascii="Arial" w:cs="Arial" w:eastAsia="Arial" w:hAnsi="Arial"/>
            <w:b/>
            <w:bCs/>
            <w:color w:val="1F3A5F"/>
            <w:sz w:val="20"/>
            <w:szCs w:val="20"/>
            <w:rtl/>
          </w:rPr>
          <w:t xml:space="preserve">5. الحماية من CSRF</w:t>
        </w:r>
      </w:hyperlink>
    </w:p>
    <w:p>
      <w:pPr>
        <w:bidi/>
        <w:spacing w:after="50" w:before="0"/>
        <w:ind w:left="0"/>
      </w:pPr>
      <w:hyperlink w:history="1" w:anchor="_sec6">
        <w:r>
          <w:rPr>
            <w:rFonts w:ascii="Arial" w:cs="Arial" w:eastAsia="Arial" w:hAnsi="Arial"/>
            <w:b/>
            <w:bCs/>
            <w:color w:val="1F3A5F"/>
            <w:sz w:val="20"/>
            <w:szCs w:val="20"/>
            <w:rtl/>
          </w:rPr>
          <w:t xml:space="preserve">6. CSP وترويسات الأمان</w:t>
        </w:r>
      </w:hyperlink>
    </w:p>
    <w:p>
      <w:pPr>
        <w:bidi/>
        <w:spacing w:after="50" w:before="0"/>
        <w:ind w:left="0"/>
      </w:pPr>
      <w:hyperlink w:history="1" w:anchor="_sec7">
        <w:r>
          <w:rPr>
            <w:rFonts w:ascii="Arial" w:cs="Arial" w:eastAsia="Arial" w:hAnsi="Arial"/>
            <w:b/>
            <w:bCs/>
            <w:color w:val="1F3A5F"/>
            <w:sz w:val="20"/>
            <w:szCs w:val="20"/>
            <w:rtl/>
          </w:rPr>
          <w:t xml:space="preserve">7. عنوان IP الموثوق</w:t>
        </w:r>
      </w:hyperlink>
    </w:p>
    <w:p>
      <w:pPr>
        <w:bidi/>
        <w:spacing w:after="50" w:before="0"/>
        <w:ind w:left="0"/>
      </w:pPr>
      <w:hyperlink w:history="1" w:anchor="_sec8">
        <w:r>
          <w:rPr>
            <w:rFonts w:ascii="Arial" w:cs="Arial" w:eastAsia="Arial" w:hAnsi="Arial"/>
            <w:b/>
            <w:bCs/>
            <w:color w:val="1F3A5F"/>
            <w:sz w:val="20"/>
            <w:szCs w:val="20"/>
            <w:rtl/>
          </w:rPr>
          <w:t xml:space="preserve">8. معرّف الارتباط</w:t>
        </w:r>
      </w:hyperlink>
    </w:p>
    <w:p>
      <w:pPr>
        <w:bidi/>
        <w:spacing w:after="50" w:before="0"/>
        <w:ind w:left="0"/>
      </w:pPr>
      <w:hyperlink w:history="1" w:anchor="_sec9">
        <w:r>
          <w:rPr>
            <w:rFonts w:ascii="Arial" w:cs="Arial" w:eastAsia="Arial" w:hAnsi="Arial"/>
            <w:b/>
            <w:bCs/>
            <w:color w:val="1F3A5F"/>
            <w:sz w:val="20"/>
            <w:szCs w:val="20"/>
            <w:rtl/>
          </w:rPr>
          <w:t xml:space="preserve">9. مجمّع الاتصالات وإعادة الربط لكل طلب</w:t>
        </w:r>
      </w:hyperlink>
    </w:p>
    <w:p>
      <w:pPr>
        <w:bidi/>
        <w:spacing w:after="50" w:before="0"/>
        <w:ind w:left="0"/>
      </w:pPr>
      <w:hyperlink w:history="1" w:anchor="_sec10">
        <w:r>
          <w:rPr>
            <w:rFonts w:ascii="Arial" w:cs="Arial" w:eastAsia="Arial" w:hAnsi="Arial"/>
            <w:b/>
            <w:bCs/>
            <w:color w:val="1F3A5F"/>
            <w:sz w:val="20"/>
            <w:szCs w:val="20"/>
            <w:rtl/>
          </w:rPr>
          <w:t xml:space="preserve">10. ترتيب التقييم في كل طلب</w:t>
        </w:r>
      </w:hyperlink>
    </w:p>
    <w:p>
      <w:pPr>
        <w:bidi/>
        <w:spacing w:after="50" w:before="0"/>
        <w:ind w:left="0"/>
      </w:pPr>
      <w:hyperlink w:history="1" w:anchor="_sec11">
        <w:r>
          <w:rPr>
            <w:rFonts w:ascii="Arial" w:cs="Arial" w:eastAsia="Arial" w:hAnsi="Arial"/>
            <w:b/>
            <w:bCs/>
            <w:color w:val="1F3A5F"/>
            <w:sz w:val="20"/>
            <w:szCs w:val="20"/>
            <w:rtl/>
          </w:rPr>
          <w:t xml:space="preserve">11. أين تُفرض كل سياسة</w:t>
        </w:r>
      </w:hyperlink>
    </w:p>
    <w:p>
      <w:pPr>
        <w:bidi/>
        <w:spacing w:after="50" w:before="0"/>
        <w:ind w:left="0"/>
      </w:pPr>
      <w:hyperlink w:history="1" w:anchor="_sec12">
        <w:r>
          <w:rPr>
            <w:rFonts w:ascii="Arial" w:cs="Arial" w:eastAsia="Arial" w:hAnsi="Arial"/>
            <w:b/>
            <w:bCs/>
            <w:color w:val="1F3A5F"/>
            <w:sz w:val="20"/>
            <w:szCs w:val="20"/>
            <w:rtl/>
          </w:rPr>
          <w:t xml:space="preserve">12. المخاطر المتبقية O-24 وما يتصل بها</w:t>
        </w:r>
      </w:hyperlink>
    </w:p>
    <w:p>
      <w:pPr>
        <w:bidi/>
        <w:spacing w:after="50" w:before="0"/>
        <w:ind w:left="0"/>
      </w:pPr>
      <w:hyperlink w:history="1" w:anchor="_sec13">
        <w:r>
          <w:rPr>
            <w:rFonts w:ascii="Arial" w:cs="Arial" w:eastAsia="Arial" w:hAnsi="Arial"/>
            <w:b/>
            <w:bCs/>
            <w:color w:val="1F3A5F"/>
            <w:sz w:val="20"/>
            <w:szCs w:val="20"/>
            <w:rtl/>
          </w:rPr>
          <w:t xml:space="preserve">13. القرارات المطلوبة</w:t>
        </w:r>
      </w:hyperlink>
    </w:p>
    <w:p>
      <w:pPr>
        <w:bidi/>
        <w:spacing w:after="50" w:before="0"/>
        <w:ind w:left="0"/>
      </w:pPr>
      <w:hyperlink w:history="1" w:anchor="_sec14">
        <w:r>
          <w:rPr>
            <w:rFonts w:ascii="Arial" w:cs="Arial" w:eastAsia="Arial" w:hAnsi="Arial"/>
            <w:b/>
            <w:bCs/>
            <w:color w:val="1F3A5F"/>
            <w:sz w:val="20"/>
            <w:szCs w:val="20"/>
            <w:rtl/>
          </w:rPr>
          <w:t xml:space="preserve">14. تعارضات وفجوات في المصادر</w:t>
        </w:r>
      </w:hyperlink>
    </w:p>
    <w:p>
      <w:pPr>
        <w:bidi/>
        <w:spacing w:after="50" w:before="0"/>
        <w:ind w:left="0"/>
      </w:pPr>
      <w:hyperlink w:history="1" w:anchor="_sec15">
        <w:r>
          <w:rPr>
            <w:rFonts w:ascii="Arial" w:cs="Arial" w:eastAsia="Arial" w:hAnsi="Arial"/>
            <w:b/>
            <w:bCs/>
            <w:color w:val="1F3A5F"/>
            <w:sz w:val="20"/>
            <w:szCs w:val="20"/>
            <w:rtl/>
          </w:rPr>
          <w:t xml:space="preserve">15.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حزمة إغلاق O-24 في §12 (DQ-S03-5) منفّذة لـ R1 وR3 وR4 وR5؛ R2 مقبول؛ R6 ينتظر DQ-F03-10. مهل الجلسة لكل مشترك (DQ-S03-6) منفّذة منذ ADR 0004 (السطر التالي)، وقيم المنصة (30 دقيقة و12 ساعة) هي الحد الأقصى والقيمة الافتراضية.</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وبـ ADR 0004: مهلتا الجلسة لكل مشترك (DQ-S03-6) منفّذتان؛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‎usp_TouchSession‎</w:t>
      </w:r>
      <w:r>
        <w:rPr>
          <w:rFonts w:ascii="Arial" w:cs="Arial" w:eastAsia="Arial" w:hAnsi="Arial"/>
          <w:b w:val="false"/>
          <w:bCs w:val="false"/>
          <w:sz w:val="20"/>
          <w:szCs w:val="20"/>
          <w:rtl/>
        </w:rPr>
        <w:t xml:space="preserve"> يقرآن </w:t>
      </w:r>
      <w:r>
        <w:rPr>
          <w:rFonts w:ascii="Courier New" w:cs="Courier New" w:eastAsia="Courier New" w:hAnsi="Courier New"/>
          <w:b w:val="false"/>
          <w:bCs w:val="false"/>
          <w:color w:val="1F2937"/>
          <w:sz w:val="18"/>
          <w:szCs w:val="18"/>
          <w:shd w:fill="F1F3F5" w:color="auto" w:val="clear"/>
          <w:rtl/>
        </w:rPr>
        <w:t xml:space="preserve">‎security.session.idle_minutes‎</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‎security.session.absolute_hours‎</w:t>
      </w:r>
      <w:r>
        <w:rPr>
          <w:rFonts w:ascii="Arial" w:cs="Arial" w:eastAsia="Arial" w:hAnsi="Arial"/>
          <w:b w:val="false"/>
          <w:bCs w:val="false"/>
          <w:sz w:val="20"/>
          <w:szCs w:val="20"/>
          <w:rtl/>
        </w:rPr>
        <w:t xml:space="preserve"> عبر </w:t>
      </w:r>
      <w:r>
        <w:rPr>
          <w:rFonts w:ascii="Courier New" w:cs="Courier New" w:eastAsia="Courier New" w:hAnsi="Courier New"/>
          <w:b w:val="false"/>
          <w:bCs w:val="false"/>
          <w:color w:val="1F2937"/>
          <w:sz w:val="18"/>
          <w:szCs w:val="18"/>
          <w:shd w:fill="F1F3F5" w:color="auto" w:val="clear"/>
          <w:rtl/>
        </w:rPr>
        <w:t xml:space="preserve">‎cfg.fn_SettingInt‎</w:t>
      </w:r>
      <w:r>
        <w:rPr>
          <w:rFonts w:ascii="Arial" w:cs="Arial" w:eastAsia="Arial" w:hAnsi="Arial"/>
          <w:b w:val="false"/>
          <w:bCs w:val="false"/>
          <w:sz w:val="20"/>
          <w:szCs w:val="20"/>
          <w:rtl/>
        </w:rPr>
        <w:t xml:space="preserve"> ضمن حدود المنصة، والقادح يرفض القيمة الأضعف (الاختباران S1 وS3). وفصل لوحة المشغّل (DQ-S03-7) صار له دخول داخل القاعدة بجلسة 15 دقيقة خمولًا و8 ساعات.</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تحدد الوثيقة كيف تنتقل الهوية من المتصفح إلى سياق المشترك في قاعدة البيانات، وأين تُفرض كل سياسة: في التطبيق أم في القاعدة.</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شكل رمز الجلسة وتخزينه، والكوكي، وCSRF، وCSP وترويسات الأمان، ومصدر عنوان IP الموثوق، ومعرّف الارتباط، ومعاملة مجمّع الاتصالات، وجدول مواضع الفرض، والمخاطر المتبقية O-24.</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تسلسل الربط نفسه ومهام الخلفية (DOC-F04)، وتسلسلات الدخول (DOC-F03)، والقيم الرقمية للسياسة (DOC-S04)، وإعدادات TLS وHSTS (DOC-S05)، وحسابات القاعدة وأسرارها (DOC-S08).</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«030» هو db/static/030_session_context.sql، و«010_rls.sql» و«020» في db/static، و«005» و«006» و«007» ملفات db/generated/tsql، و«model» هو db/model/10-platform.model، و«10-m0-m1» هو docs/10-detailed-analysis/10-m0-m1-platform-organization.md. أرقام T حالات db/tests/tenant_isolation_tests.sql.</w:t>
      </w:r>
    </w:p>
    <w:p>
      <w:pPr>
        <w:pStyle w:val="Heading1"/>
        <w:bidi/>
      </w:pPr>
      <w:bookmarkStart w:name="_sec2" w:id="2"/>
      <w:r>
        <w:rPr>
          <w:rFonts w:ascii="Arial" w:cs="Arial" w:eastAsia="Arial" w:hAnsi="Arial"/>
          <w:b/>
          <w:bCs/>
          <w:color w:val="1F3A5F"/>
          <w:sz w:val="32"/>
          <w:szCs w:val="32"/>
          <w:rtl/>
        </w:rPr>
        <w:t xml:space="preserve">2. سلسلة الثقة</w:t>
      </w:r>
      <w:bookmarkEnd w:id="2"/>
    </w:p>
    <w:p>
      <w:pPr>
        <w:keepNext/>
        <w:bidi/>
        <w:spacing w:after="60" w:before="160"/>
        <w:jc w:val="center"/>
      </w:pPr>
      <w:r>
        <w:drawing>
          <wp:inline distT="0" distB="0" distL="0" distR="0">
            <wp:extent cx="6096000" cy="6096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6096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69"/>
        <w:gridCol w:w="1610"/>
        <w:gridCol w:w="1435"/>
        <w:gridCol w:w="3050"/>
      </w:tblGrid>
      <w:tr>
        <w:trPr>
          <w:cantSplit/>
          <w:tblHeader/>
        </w:trPr>
        <w:tc>
          <w:tcPr>
            <w:tcW w:type="dxa" w:w="37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الحلقة</w:t>
            </w:r>
          </w:p>
        </w:tc>
        <w:tc>
          <w:tcPr>
            <w:tcW w:type="dxa" w:w="1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تثبته</w:t>
            </w:r>
          </w:p>
        </w:tc>
        <w:tc>
          <w:tcPr>
            <w:tcW w:type="dxa" w:w="14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لا تثبته</w:t>
            </w:r>
          </w:p>
        </w:tc>
        <w:tc>
          <w:tcPr>
            <w:tcW w:type="dxa" w:w="30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إلى الوكيل</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مشفرة إلى اسم مضيف المشترك</w:t>
            </w:r>
          </w:p>
        </w:tc>
        <w:tc>
          <w:tcPr>
            <w:tcW w:type="dxa" w:w="14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المستخدم</w:t>
            </w:r>
          </w:p>
        </w:tc>
        <w:tc>
          <w:tcPr>
            <w:tcW w:type="dxa" w:w="30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 DOC-S05</w:t>
            </w:r>
          </w:p>
        </w:tc>
      </w:tr>
      <w:tr>
        <w:trPr>
          <w:cantSplit/>
        </w:trPr>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إلى التطبيق</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العميل كما رآه الوكيل</w:t>
            </w:r>
          </w:p>
        </w:tc>
        <w:tc>
          <w:tcPr>
            <w:tcW w:type="dxa" w:w="14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شيء إن جاء الطلب من غير الوكيل</w:t>
            </w:r>
          </w:p>
        </w:tc>
        <w:tc>
          <w:tcPr>
            <w:tcW w:type="dxa" w:w="30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حيازة رمز صدر بعد كلمة مرور صحيحة</w:t>
            </w:r>
          </w:p>
        </w:tc>
        <w:tc>
          <w:tcPr>
            <w:tcW w:type="dxa" w:w="14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 حامله هو صاحب الحساب</w:t>
            </w:r>
          </w:p>
        </w:tc>
        <w:tc>
          <w:tcPr>
            <w:tcW w:type="dxa" w:w="30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و§4</w:t>
            </w:r>
          </w:p>
        </w:tc>
      </w:tr>
      <w:tr>
        <w:trPr>
          <w:cantSplit/>
        </w:trPr>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usp_SetSessionContext</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صالحة لهذا المشترك ومستخدم ACTIVE وMFA مسجّل متى كان مفعّلًا</w:t>
            </w:r>
          </w:p>
        </w:tc>
        <w:tc>
          <w:tcPr>
            <w:tcW w:type="dxa" w:w="14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صحة عنوان IP ومعرّف الارتباط</w:t>
            </w:r>
          </w:p>
        </w:tc>
        <w:tc>
          <w:tcPr>
            <w:tcW w:type="dxa" w:w="30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 TB-4؛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030:186-199</w:t>
            </w:r>
          </w:p>
        </w:tc>
      </w:tr>
      <w:tr>
        <w:trPr>
          <w:cantSplit/>
        </w:trPr>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والتصفية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الصفوف للمشترك المربوط فقط</w:t>
            </w:r>
          </w:p>
        </w:tc>
        <w:tc>
          <w:tcPr>
            <w:tcW w:type="dxa" w:w="14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ونطاق الشركة</w:t>
            </w:r>
          </w:p>
        </w:tc>
        <w:tc>
          <w:tcPr>
            <w:tcW w:type="dxa" w:w="30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010_rls.sql:22-57</w:t>
            </w:r>
          </w:p>
        </w:tc>
      </w:tr>
      <w:tr>
        <w:trPr>
          <w:cantSplit/>
        </w:trPr>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بعد الربط</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ونطاق الشركة وقواعد السجل</w:t>
            </w:r>
          </w:p>
        </w:tc>
        <w:tc>
          <w:tcPr>
            <w:tcW w:type="dxa" w:w="14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0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(10-m0-m1:123)</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قاعدة الهوية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بعد الربط يقرأ التطبيق المستخدم من SESSION_CONTEXT(N'UserId') الذي يكتبه الإجراء (030:205). لا يأخذ معرّف مستخدم من الكوكي أو الطلب. ويتحقق أن SESSION_CONTEXT(N'TenantId') يساوي مشترك اسم المضيف.</w:t>
      </w:r>
    </w:p>
    <w:p>
      <w:pPr>
        <w:pStyle w:val="Heading1"/>
        <w:bidi/>
      </w:pPr>
      <w:bookmarkStart w:name="_sec3" w:id="3"/>
      <w:r>
        <w:rPr>
          <w:rFonts w:ascii="Arial" w:cs="Arial" w:eastAsia="Arial" w:hAnsi="Arial"/>
          <w:b/>
          <w:bCs/>
          <w:color w:val="1F3A5F"/>
          <w:sz w:val="32"/>
          <w:szCs w:val="32"/>
          <w:rtl/>
        </w:rPr>
        <w:t xml:space="preserve">3. رمز الجلسة</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53"/>
        <w:gridCol w:w="5700"/>
        <w:gridCol w:w="2411"/>
      </w:tblGrid>
      <w:tr>
        <w:trPr>
          <w:cantSplit/>
          <w:tblHeader/>
        </w:trPr>
        <w:tc>
          <w:tcPr>
            <w:tcW w:type="dxa" w:w="17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الخاصية</w:t>
            </w:r>
          </w:p>
        </w:tc>
        <w:tc>
          <w:tcPr>
            <w:tcW w:type="dxa" w:w="5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 عشوائي آمن تشفيريًا في التطبيق</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 بايتًا بالضبط، والقاعدة ترفض أقل من 32</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الحد في 030:53-54؛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القيمة</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مرجعي معتم بلا مطالبات، لا JWT</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 تتحقق في كل طلب فلا حاجة لتوقيع</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الترميز في الكوكي</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base64url بلا حشو، 43 حرفًا</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 في القاعدة</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في sec.UserSession.TokenHash، فريد</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 model:221 و231</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تخزين الأصل</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يُخزَّن في القاعدة ولا في سجلات التطبيق ولا في الروابط</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القاعدة؛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السجلات</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جديد لكل دخول، يولّده الخادم بعد قبول كلمة المرور</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030:43؛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عدم قبول رمز من المتصفح</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التدوير بعد MFA</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يُدوَّر؛ tp_app لا يغيّر TokenHash</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030:239، T35</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MFA</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نفسه، ولا يُربط حتى يُسجَّل MFA</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030:198؛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نافذة 5 دقائق (DOC-F03 §6)</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المهلتان</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خمول 30 دقيقة ومطلقة 12 ساعة؛ المطلقة لا يغيّرها التطبيق</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030:117-118 و239، T35</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يتعرض النظام لتثبيت الجلسة لأن الرمز يولد في الخادم بعد إثبات كلمة المرور ولا يُقبل من العميل.</w:t>
      </w:r>
    </w:p>
    <w:p>
      <w:pPr>
        <w:pStyle w:val="Heading1"/>
        <w:bidi/>
      </w:pPr>
      <w:bookmarkStart w:name="_sec4" w:id="4"/>
      <w:r>
        <w:rPr>
          <w:rFonts w:ascii="Arial" w:cs="Arial" w:eastAsia="Arial" w:hAnsi="Arial"/>
          <w:b/>
          <w:bCs/>
          <w:color w:val="1F3A5F"/>
          <w:sz w:val="32"/>
          <w:szCs w:val="32"/>
          <w:rtl/>
        </w:rPr>
        <w:t xml:space="preserve">4. الكوكي على العنوان الفرعي</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32"/>
        <w:gridCol w:w="4533"/>
        <w:gridCol w:w="3199"/>
      </w:tblGrid>
      <w:tr>
        <w:trPr>
          <w:cantSplit/>
          <w:tblHeader/>
        </w:trPr>
        <w:tc>
          <w:tcPr>
            <w:tcW w:type="dxa" w:w="21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الخاصية</w:t>
            </w:r>
          </w:p>
        </w:tc>
        <w:tc>
          <w:tcPr>
            <w:tcW w:type="dxa" w:w="45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c>
          <w:tcPr>
            <w:tcW w:type="dxa" w:w="3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‎__Host-bf_session‎</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البادئة تفرض Secure وPath=/ وتمنع Domain</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Domain</w:t>
            </w:r>
          </w:p>
        </w:tc>
        <w:tc>
          <w:tcPr>
            <w:tcW w:type="dxa" w:w="4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قيمة، فيبقى للمضيف وحده مثل acme.bankfas.com</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المشترك لا يُرسل إلى مضيف مشترك آخر (FR-PLT-046)</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Path</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البادئة</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Secure</w:t>
            </w:r>
          </w:p>
        </w:tc>
        <w:tc>
          <w:tcPr>
            <w:tcW w:type="dxa" w:w="4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إرسال بلا TLS</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HttpOnly</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يقرؤه JavaScript</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SameSite</w:t>
            </w:r>
          </w:p>
        </w:tc>
        <w:tc>
          <w:tcPr>
            <w:tcW w:type="dxa" w:w="4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Lax</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يمنع الإرسال في الطلبات غير الآمنة من مواقع أخرى (DQ-S03-1)</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Expires وMax-Age</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قيمة، كوكي جلسة</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المهلتان تفرضهما القاعدة</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يُضبط أي كوكي بقيمة Domain=bankfas.com، لأنه يُرسل عندئذ إلى كل المشتركين.</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العناوين الفرعية «موقع واحد» في نظر المتصفح لأنها تحت النطاق المسجّل نفسه. فلا يمنع SameSite طلبًا من صفحة مشترك إلى مضيف مشترك آخر. الدفاع هو الكوكي المقصور على المضيف، ورمز CSRF، وفحص Origin (§5)، وفحص القاعدة أن مشترك الجلسة هو المشترك المطلوب (030:194، T18).</w:t>
      </w:r>
    </w:p>
    <w:p>
      <w:pPr>
        <w:pStyle w:val="ListParagraph"/>
        <w:numPr>
          <w:ilvl w:val="0"/>
          <w:numId w:val="2"/>
        </w:numPr>
        <w:bidi/>
        <w:spacing w:after="70" w:before="0" w:line="300"/>
      </w:pPr>
      <w:r>
        <w:rPr>
          <w:rFonts w:ascii="Arial" w:cs="Arial" w:eastAsia="Arial" w:hAnsi="Arial"/>
          <w:b w:val="false"/>
          <w:bCs w:val="false"/>
          <w:sz w:val="21"/>
          <w:szCs w:val="21"/>
          <w:rtl/>
        </w:rPr>
        <w:t xml:space="preserve">لوحة المشغّل على مضيف مستقل وكوكي باسم مختلف، فلا يصل كوكي مشغّل إلى بوابة مشترك ولا العكس (FR-PLT-006، 10-m0-m1:108؛ DQ-S03-7).</w:t>
      </w:r>
    </w:p>
    <w:p>
      <w:pPr>
        <w:pStyle w:val="ListParagraph"/>
        <w:numPr>
          <w:ilvl w:val="0"/>
          <w:numId w:val="2"/>
        </w:numPr>
        <w:bidi/>
        <w:spacing w:after="70" w:before="0" w:line="300"/>
      </w:pPr>
      <w:r>
        <w:rPr>
          <w:rFonts w:ascii="Arial" w:cs="Arial" w:eastAsia="Arial" w:hAnsi="Arial"/>
          <w:b w:val="false"/>
          <w:bCs w:val="false"/>
          <w:sz w:val="21"/>
          <w:szCs w:val="21"/>
          <w:rtl/>
        </w:rPr>
        <w:t xml:space="preserve">عند الخروج يُرسل الكوكي بقيمة فارغة وMax-Age=0. لا تُستعمل ترويسة Clear-Site-Data بقيمة cookies لأنها تمسح كوكيات النطاق المسجّل كله.</w:t>
      </w:r>
    </w:p>
    <w:p>
      <w:pPr>
        <w:bidi/>
        <w:spacing w:after="60" w:before="0"/>
      </w:pPr>
    </w:p>
    <w:p>
      <w:pPr>
        <w:pStyle w:val="Heading1"/>
        <w:bidi/>
      </w:pPr>
      <w:bookmarkStart w:name="_sec5" w:id="5"/>
      <w:r>
        <w:rPr>
          <w:rFonts w:ascii="Arial" w:cs="Arial" w:eastAsia="Arial" w:hAnsi="Arial"/>
          <w:b/>
          <w:bCs/>
          <w:color w:val="1F3A5F"/>
          <w:sz w:val="32"/>
          <w:szCs w:val="32"/>
          <w:rtl/>
        </w:rPr>
        <w:t xml:space="preserve">5. الحماية من CSRF</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9"/>
        <w:gridCol w:w="8295"/>
      </w:tblGrid>
      <w:tr>
        <w:trPr>
          <w:cantSplit/>
          <w:tblHeader/>
        </w:trPr>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c>
          <w:tcPr>
            <w:tcW w:type="dxa" w:w="82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مضاد للتزوير</w:t>
            </w:r>
          </w:p>
        </w:tc>
        <w:tc>
          <w:tcPr>
            <w:tcW w:type="dxa" w:w="82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متزامن من آلية ASP.NET Core، في كوكي </w:t>
            </w:r>
            <w:r>
              <w:rPr>
                <w:rFonts w:ascii="Courier New" w:cs="Courier New" w:eastAsia="Courier New" w:hAnsi="Courier New"/>
                <w:b w:val="false"/>
                <w:bCs w:val="false"/>
                <w:color w:val="1F2937"/>
                <w:sz w:val="16"/>
                <w:szCs w:val="16"/>
                <w:shd w:fill="F1F3F5" w:color="auto" w:val="clear"/>
                <w:rtl/>
              </w:rPr>
              <w:t xml:space="preserve">‎__Host-bf_csrf‎</w:t>
            </w:r>
            <w:r>
              <w:rPr>
                <w:rFonts w:ascii="Arial" w:cs="Arial" w:eastAsia="Arial" w:hAnsi="Arial"/>
                <w:b w:val="false"/>
                <w:bCs w:val="false"/>
                <w:sz w:val="18"/>
                <w:szCs w:val="18"/>
                <w:rtl/>
              </w:rPr>
              <w:t xml:space="preserve"> وفي الترويسة X-CSRF-Token أو حقل النموذج</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الطرق المحمية</w:t>
            </w:r>
          </w:p>
        </w:tc>
        <w:tc>
          <w:tcPr>
            <w:tcW w:type="dxa" w:w="82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POST وPUT وPATCH وDELETE؛ GET وHEAD لا تغيّر حالة</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Origin</w:t>
            </w:r>
          </w:p>
        </w:tc>
        <w:tc>
          <w:tcPr>
            <w:tcW w:type="dxa" w:w="82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يساوي https مع اسم المضيف نفسه، وإلا Referer من الأصل نفسه، وإلا الرفض 403</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CSRF الدخول</w:t>
            </w:r>
          </w:p>
        </w:tc>
        <w:tc>
          <w:tcPr>
            <w:tcW w:type="dxa" w:w="82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الدخول يحمل رمزًا مربوطًا بكوكي ما قبل الجلسة</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CORS</w:t>
            </w:r>
          </w:p>
        </w:tc>
        <w:tc>
          <w:tcPr>
            <w:tcW w:type="dxa" w:w="82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ترويسة Access-Control-Allow-Origin في أي استجابة</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w:t>
            </w:r>
          </w:p>
        </w:tc>
        <w:tc>
          <w:tcPr>
            <w:tcW w:type="dxa" w:w="82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تفاصيل الربط مع Blazor أو React تتبع قرار 01 س-25 (docs/01-preliminary-analysis.md:345)</w:t>
            </w:r>
          </w:p>
        </w:tc>
      </w:tr>
    </w:tbl>
    <w:p>
      <w:pPr>
        <w:bidi/>
        <w:spacing w:after="120" w:before="0"/>
      </w:pPr>
    </w:p>
    <w:p>
      <w:pPr>
        <w:pStyle w:val="Heading1"/>
        <w:bidi/>
      </w:pPr>
      <w:bookmarkStart w:name="_sec6" w:id="6"/>
      <w:r>
        <w:rPr>
          <w:rFonts w:ascii="Arial" w:cs="Arial" w:eastAsia="Arial" w:hAnsi="Arial"/>
          <w:b/>
          <w:bCs/>
          <w:color w:val="1F3A5F"/>
          <w:sz w:val="32"/>
          <w:szCs w:val="32"/>
          <w:rtl/>
        </w:rPr>
        <w:t xml:space="preserve">6. CSP وترويسات الأمان</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507"/>
        <w:gridCol w:w="2783"/>
        <w:gridCol w:w="2574"/>
      </w:tblGrid>
      <w:tr>
        <w:trPr>
          <w:cantSplit/>
          <w:tblHeader/>
        </w:trPr>
        <w:tc>
          <w:tcPr>
            <w:tcW w:type="dxa" w:w="45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الترويسة</w:t>
            </w:r>
          </w:p>
        </w:tc>
        <w:tc>
          <w:tcPr>
            <w:tcW w:type="dxa" w:w="27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c>
          <w:tcPr>
            <w:tcW w:type="dxa" w:w="25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Content-Security-Policy</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default-src 'self'; script-src 'self'; style-src 'self'; img-src 'self' data:; font-src 'self'; connect-src 'self'; object-src 'none'; base-uri 'none'; form-action 'self'; frame-ancestors 'none'</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سكربت مضمَّن؛ الخطوط مستضافة ذاتيًا؛ تعديلات الواجهة في DQ-S03-2</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Strict-Transport-Security</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DOC-S05</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O-08 (erd_open_items)</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X-Content-Type-Options</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nosniff</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Referrer-Policy</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no-referrer</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يتسرب رمز الدعوة أو الإعادة من الرابط</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Permissions-Policy</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camera=(), microphone=(), geolocation=(), payment=()</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 لها في الواجهة</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Cross-Origin-Opener-Policy</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same-origin</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النافذة</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Cross-Origin-Resource-Policy</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same-origin</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X-Frame-Options</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للمتصفحات القديمة مع frame-ancestors</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Cache-Control</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no-store</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استجابة مصدَّقة ولصفحات الدخول والإعادة</w:t>
            </w:r>
          </w:p>
        </w:tc>
      </w:tr>
    </w:tbl>
    <w:p>
      <w:pPr>
        <w:bidi/>
        <w:spacing w:after="120" w:before="0"/>
      </w:pPr>
    </w:p>
    <w:p>
      <w:pPr>
        <w:bidi/>
        <w:spacing w:after="110" w:before="0" w:line="312"/>
      </w:pPr>
      <w:r>
        <w:rPr>
          <w:rFonts w:ascii="Arial" w:cs="Arial" w:eastAsia="Arial" w:hAnsi="Arial"/>
          <w:b w:val="false"/>
          <w:bCs w:val="false"/>
          <w:sz w:val="21"/>
          <w:szCs w:val="21"/>
          <w:rtl/>
        </w:rPr>
        <w:t xml:space="preserve">روابط الدعوة والإعادة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تفتح الصفحة الرمز من الرابط وترسله بطلب POST فورًا، ثم تحوّل إلى عنوان بلا رمز. سجلات الوكيل والتطبيق تحجب مسار هذه الروابط.</w:t>
      </w:r>
    </w:p>
    <w:p>
      <w:pPr>
        <w:pStyle w:val="Heading1"/>
        <w:bidi/>
      </w:pPr>
      <w:bookmarkStart w:name="_sec7" w:id="7"/>
      <w:r>
        <w:rPr>
          <w:rFonts w:ascii="Arial" w:cs="Arial" w:eastAsia="Arial" w:hAnsi="Arial"/>
          <w:b/>
          <w:bCs/>
          <w:color w:val="1F3A5F"/>
          <w:sz w:val="32"/>
          <w:szCs w:val="32"/>
          <w:rtl/>
        </w:rPr>
        <w:t xml:space="preserve">7. عنوان IP الموثوق</w:t>
      </w:r>
      <w:bookmarkEnd w:id="7"/>
    </w:p>
    <w:p>
      <w:pPr>
        <w:bidi/>
        <w:spacing w:after="110" w:before="0" w:line="312"/>
      </w:pPr>
      <w:r>
        <w:rPr>
          <w:rFonts w:ascii="Arial" w:cs="Arial" w:eastAsia="Arial" w:hAnsi="Arial"/>
          <w:b/>
          <w:bCs/>
          <w:sz w:val="21"/>
          <w:szCs w:val="21"/>
          <w:rtl/>
        </w:rPr>
        <w:t xml:space="preserve">الحقيقة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الإجراءات تأخذ @ClientIp من التطبيق كما هو (030:44 و147 و168)، وتخزّنه في الجلسة (030:116-118) ومحاولات الدخول (030:124-129) وسياق الاتصال (030:206). القاعدة لا تستطيع التحقق منه. فقيمته بقدر ثقة التطبيق بمصدره.</w:t>
      </w:r>
    </w:p>
    <w:p>
      <w:pPr>
        <w:bidi/>
        <w:spacing w:after="110" w:before="0" w:line="312"/>
      </w:pPr>
      <w:r>
        <w:rPr>
          <w:rFonts w:ascii="Arial" w:cs="Arial" w:eastAsia="Arial" w:hAnsi="Arial"/>
          <w:b/>
          <w:bCs/>
          <w:sz w:val="21"/>
          <w:szCs w:val="21"/>
          <w:rtl/>
        </w:rPr>
        <w:t xml:space="preserve">القواعد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يصل إلى التطبيق إلا الوكيل العكسي. يستمع التطبيق على واجهة داخلية، ويمنع الجدار الناري غيره (DOC-B11).</w:t>
      </w:r>
    </w:p>
    <w:p>
      <w:pPr>
        <w:pStyle w:val="ListParagraph"/>
        <w:numPr>
          <w:ilvl w:val="0"/>
          <w:numId w:val="3"/>
        </w:numPr>
        <w:bidi/>
        <w:spacing w:after="70" w:before="0" w:line="300"/>
      </w:pPr>
      <w:r>
        <w:rPr>
          <w:rFonts w:ascii="Arial" w:cs="Arial" w:eastAsia="Arial" w:hAnsi="Arial"/>
          <w:b w:val="false"/>
          <w:bCs w:val="false"/>
          <w:sz w:val="21"/>
          <w:szCs w:val="21"/>
          <w:rtl/>
        </w:rPr>
        <w:t xml:space="preserve">يكتب الوكيل X-Forwarded-For بعنوان الاتصال الذي رآه، ويستبدل أي قيمة أرسلها العميل ولا يضيف إليها.</w:t>
      </w:r>
    </w:p>
    <w:p>
      <w:pPr>
        <w:pStyle w:val="ListParagraph"/>
        <w:numPr>
          <w:ilvl w:val="0"/>
          <w:numId w:val="3"/>
        </w:numPr>
        <w:bidi/>
        <w:spacing w:after="70" w:before="0" w:line="300"/>
      </w:pPr>
      <w:r>
        <w:rPr>
          <w:rFonts w:ascii="Arial" w:cs="Arial" w:eastAsia="Arial" w:hAnsi="Arial"/>
          <w:b w:val="false"/>
          <w:bCs w:val="false"/>
          <w:sz w:val="21"/>
          <w:szCs w:val="21"/>
          <w:rtl/>
        </w:rPr>
        <w:t xml:space="preserve">يفعّل التطبيق وسيط الترويسات المحوّلة بقائمة وكلاء معروفين تضم عنوان الوكيل وحده، وحد تحويل واحد، للترويستين X-Forwarded-For وX-Forwarded-Proto.</w:t>
      </w:r>
    </w:p>
    <w:p>
      <w:pPr>
        <w:pStyle w:val="ListParagraph"/>
        <w:numPr>
          <w:ilvl w:val="0"/>
          <w:numId w:val="3"/>
        </w:numPr>
        <w:bidi/>
        <w:spacing w:after="70" w:before="0" w:line="300"/>
      </w:pPr>
      <w:r>
        <w:rPr>
          <w:rFonts w:ascii="Arial" w:cs="Arial" w:eastAsia="Arial" w:hAnsi="Arial"/>
          <w:b w:val="false"/>
          <w:bCs w:val="false"/>
          <w:sz w:val="21"/>
          <w:szCs w:val="21"/>
          <w:rtl/>
        </w:rPr>
        <w:t xml:space="preserve">يؤخذ العنوان الأيمن الذي أضافه الوكيل الموثوق، ولا يؤخذ الأيسر أبدًا.</w:t>
      </w:r>
    </w:p>
    <w:p>
      <w:pPr>
        <w:pStyle w:val="ListParagraph"/>
        <w:numPr>
          <w:ilvl w:val="0"/>
          <w:numId w:val="3"/>
        </w:numPr>
        <w:bidi/>
        <w:spacing w:after="70" w:before="0" w:line="300"/>
      </w:pPr>
      <w:r>
        <w:rPr>
          <w:rFonts w:ascii="Arial" w:cs="Arial" w:eastAsia="Arial" w:hAnsi="Arial"/>
          <w:b w:val="false"/>
          <w:bCs w:val="false"/>
          <w:sz w:val="21"/>
          <w:szCs w:val="21"/>
          <w:rtl/>
        </w:rPr>
        <w:t xml:space="preserve">يُطبَّع العنوان: IPv4 المضمَّن في IPv6 يُكتب IPv4، وIPv6 بالصيغة المختصرة بحروف صغيرة. الطول لا يتجاوز 45 (model:203 و226).</w:t>
      </w:r>
    </w:p>
    <w:p>
      <w:pPr>
        <w:pStyle w:val="ListParagraph"/>
        <w:numPr>
          <w:ilvl w:val="0"/>
          <w:numId w:val="3"/>
        </w:numPr>
        <w:bidi/>
        <w:spacing w:after="70" w:before="0" w:line="300"/>
      </w:pPr>
      <w:r>
        <w:rPr>
          <w:rFonts w:ascii="Arial" w:cs="Arial" w:eastAsia="Arial" w:hAnsi="Arial"/>
          <w:b w:val="false"/>
          <w:bCs w:val="false"/>
          <w:sz w:val="21"/>
          <w:szCs w:val="21"/>
          <w:rtl/>
        </w:rPr>
        <w:t xml:space="preserve">إن أُضيف موزّع حمل أو شبكة توزيع لاحقًا تُحدَّث القائمة وحد التحويل في الإعداد نفسه.</w:t>
      </w:r>
    </w:p>
    <w:p>
      <w:pPr>
        <w:pStyle w:val="ListParagraph"/>
        <w:numPr>
          <w:ilvl w:val="0"/>
          <w:numId w:val="3"/>
        </w:numPr>
        <w:bidi/>
        <w:spacing w:after="70" w:before="0" w:line="300"/>
      </w:pPr>
      <w:r>
        <w:rPr>
          <w:rFonts w:ascii="Arial" w:cs="Arial" w:eastAsia="Arial" w:hAnsi="Arial"/>
          <w:b w:val="false"/>
          <w:bCs w:val="false"/>
          <w:sz w:val="21"/>
          <w:szCs w:val="21"/>
          <w:rtl/>
        </w:rPr>
        <w:t xml:space="preserve">هذا العنوان هو مفتاح تقييد المعدل (DOC-S04 §7) وقيمة IpAddress في التدقيق (model:318).</w:t>
      </w:r>
    </w:p>
    <w:p>
      <w:pPr>
        <w:bidi/>
        <w:spacing w:after="60" w:before="0"/>
      </w:pPr>
    </w:p>
    <w:p>
      <w:pPr>
        <w:bidi/>
        <w:spacing w:after="110" w:before="0" w:line="312"/>
      </w:pPr>
      <w:r>
        <w:rPr>
          <w:rFonts w:ascii="Arial" w:cs="Arial" w:eastAsia="Arial" w:hAnsi="Arial"/>
          <w:b w:val="false"/>
          <w:bCs w:val="false"/>
          <w:sz w:val="21"/>
          <w:szCs w:val="21"/>
          <w:rtl/>
        </w:rPr>
        <w:t xml:space="preserve">منتج الوكيل يتبع نظام تشغيل طبقة التطبيق: Windows Server وفق 01 §13، ومطروح للمراجعة بعد ADR 0001 (docs/10-detailed-analysis/00-overview-and-cross-cutting.md:126، 10-m0-m1:147). القواعد أعلاه لا تتغير بتغيّر المنتج.</w:t>
      </w:r>
    </w:p>
    <w:p>
      <w:pPr>
        <w:pStyle w:val="Heading1"/>
        <w:bidi/>
      </w:pPr>
      <w:bookmarkStart w:name="_sec8" w:id="8"/>
      <w:r>
        <w:rPr>
          <w:rFonts w:ascii="Arial" w:cs="Arial" w:eastAsia="Arial" w:hAnsi="Arial"/>
          <w:b/>
          <w:bCs/>
          <w:color w:val="1F3A5F"/>
          <w:sz w:val="32"/>
          <w:szCs w:val="32"/>
          <w:rtl/>
        </w:rPr>
        <w:t xml:space="preserve">8. معرّف الارتباط</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7"/>
        <w:gridCol w:w="5830"/>
        <w:gridCol w:w="2017"/>
      </w:tblGrid>
      <w:tr>
        <w:trPr>
          <w:cantSplit/>
          <w:tblHeader/>
        </w:trPr>
        <w:tc>
          <w:tcPr>
            <w:tcW w:type="dxa" w:w="20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0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القاعدة</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@CorrelationId من نوع UNIQUEIDENTIFIER يُحفظ في السياق للقراءة فقط</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030:169 و207</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التدقيق</w:t>
            </w:r>
          </w:p>
        </w:tc>
        <w:tc>
          <w:tcPr>
            <w:tcW w:type="dxa" w:w="5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aud.AuditLog.CorrelationId مع فهرس</w:t>
            </w:r>
          </w:p>
        </w:tc>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model:317 و330</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 التطبيق GUID جديدًا لكل طلب، ولا يقبله من المتصفح</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الوكيل</w:t>
            </w:r>
          </w:p>
        </w:tc>
        <w:tc>
          <w:tcPr>
            <w:tcW w:type="dxa" w:w="5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 أرسل الوكيل الموثوق traceparent يُستعمل معرّف التتبع ذو 16 بايتًا قيمةً للـ GUID</w:t>
            </w:r>
          </w:p>
        </w:tc>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الاستجابة</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الترويسة X-Correlation-Id لأغراض الدعم</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الاستعمال</w:t>
            </w:r>
          </w:p>
        </w:tc>
        <w:tc>
          <w:tcPr>
            <w:tcW w:type="dxa" w:w="5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وصفوف التدقيق وكل استدعاء usp_SetSessionContext في الطلب</w:t>
            </w:r>
          </w:p>
        </w:tc>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مهام الخلفية</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واحد لكل تشغيل</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w:t>
            </w:r>
          </w:p>
        </w:tc>
      </w:tr>
    </w:tbl>
    <w:p>
      <w:pPr>
        <w:bidi/>
        <w:spacing w:after="120" w:before="0"/>
      </w:pPr>
    </w:p>
    <w:p>
      <w:pPr>
        <w:pStyle w:val="Heading1"/>
        <w:bidi/>
      </w:pPr>
      <w:bookmarkStart w:name="_sec9" w:id="9"/>
      <w:r>
        <w:rPr>
          <w:rFonts w:ascii="Arial" w:cs="Arial" w:eastAsia="Arial" w:hAnsi="Arial"/>
          <w:b/>
          <w:bCs/>
          <w:color w:val="1F3A5F"/>
          <w:sz w:val="32"/>
          <w:szCs w:val="32"/>
          <w:rtl/>
        </w:rPr>
        <w:t xml:space="preserve">9. مجمّع الاتصالات وإعادة الربط لكل طلب</w:t>
      </w:r>
      <w:bookmarkEnd w:id="9"/>
    </w:p>
    <w:p>
      <w:pPr>
        <w:bidi/>
        <w:spacing w:after="110" w:before="0" w:line="312"/>
      </w:pPr>
      <w:r>
        <w:rPr>
          <w:rFonts w:ascii="Arial" w:cs="Arial" w:eastAsia="Arial" w:hAnsi="Arial"/>
          <w:b/>
          <w:bCs/>
          <w:sz w:val="21"/>
          <w:szCs w:val="21"/>
          <w:rtl/>
        </w:rPr>
        <w:t xml:space="preserve">الحقائق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المجمّع يعيد ضبط الاتصال بـ sp_reset_connection قبل إعادة استعماله، فيمسح السياق (030:18). المفاتيح تُكتب للقراءة فقط (030:205-219). ربط اتصال مربوط يرفع 50004 (030:201-202، T20). صف sec.SessionBinding القديم يبقى بعد الإعادة، لكن رمزه لا يطابق السياق الفارغ (010_rls.sql:22-31)، ويحل محله MERGE التالي (030:209-215).</w:t>
      </w:r>
    </w:p>
    <w:p>
      <w:pPr>
        <w:bidi/>
        <w:spacing w:after="110" w:before="0" w:line="312"/>
      </w:pPr>
      <w:r>
        <w:rPr>
          <w:rFonts w:ascii="Arial" w:cs="Arial" w:eastAsia="Arial" w:hAnsi="Arial"/>
          <w:b/>
          <w:bCs/>
          <w:sz w:val="21"/>
          <w:szCs w:val="21"/>
          <w:rtl/>
        </w:rPr>
        <w:t xml:space="preserve">القواعد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(التسلسل التفصيلي في DOC-F04):</w:t>
      </w:r>
    </w:p>
    <w:p>
      <w:pPr>
        <w:pStyle w:val="ListParagraph"/>
        <w:numPr>
          <w:ilvl w:val="0"/>
          <w:numId w:val="4"/>
        </w:numPr>
        <w:bidi/>
        <w:spacing w:after="70" w:before="0" w:line="300"/>
      </w:pPr>
      <w:r>
        <w:rPr>
          <w:rFonts w:ascii="Arial" w:cs="Arial" w:eastAsia="Arial" w:hAnsi="Arial"/>
          <w:b w:val="false"/>
          <w:bCs w:val="false"/>
          <w:sz w:val="21"/>
          <w:szCs w:val="21"/>
          <w:rtl/>
        </w:rPr>
        <w:t xml:space="preserve">كل طلب: فتح اتصال، ثم usp_SetSessionContext أول أمر، ثم العمل، ثم الإغلاق والعودة إلى المجمّع.</w:t>
      </w:r>
    </w:p>
    <w:p>
      <w:pPr>
        <w:pStyle w:val="ListParagraph"/>
        <w:numPr>
          <w:ilvl w:val="0"/>
          <w:numId w:val="4"/>
        </w:numPr>
        <w:bidi/>
        <w:spacing w:after="70" w:before="0" w:line="300"/>
      </w:pPr>
      <w:r>
        <w:rPr>
          <w:rFonts w:ascii="Arial" w:cs="Arial" w:eastAsia="Arial" w:hAnsi="Arial"/>
          <w:b w:val="false"/>
          <w:bCs w:val="false"/>
          <w:sz w:val="21"/>
          <w:szCs w:val="21"/>
          <w:rtl/>
        </w:rPr>
        <w:t xml:space="preserve">لا يبقى اتصال مربوط بين طلبين أو مستخدمين، ولا يُربط اتصال مفتوح مرتين.</w:t>
      </w:r>
    </w:p>
    <w:p>
      <w:pPr>
        <w:pStyle w:val="ListParagraph"/>
        <w:numPr>
          <w:ilvl w:val="0"/>
          <w:numId w:val="4"/>
        </w:numPr>
        <w:bidi/>
        <w:spacing w:after="70" w:before="0" w:line="300"/>
      </w:pPr>
      <w:r>
        <w:rPr>
          <w:rFonts w:ascii="Arial" w:cs="Arial" w:eastAsia="Arial" w:hAnsi="Arial"/>
          <w:b w:val="false"/>
          <w:bCs w:val="false"/>
          <w:sz w:val="21"/>
          <w:szCs w:val="21"/>
          <w:rtl/>
        </w:rPr>
        <w:t xml:space="preserve">لا تُعطَّل إعادة الضبط في سلسلة الاتصال.</w:t>
      </w:r>
    </w:p>
    <w:p>
      <w:pPr>
        <w:pStyle w:val="ListParagraph"/>
        <w:numPr>
          <w:ilvl w:val="0"/>
          <w:numId w:val="4"/>
        </w:numPr>
        <w:bidi/>
        <w:spacing w:after="70" w:before="0" w:line="300"/>
      </w:pPr>
      <w:r>
        <w:rPr>
          <w:rFonts w:ascii="Arial" w:cs="Arial" w:eastAsia="Arial" w:hAnsi="Arial"/>
          <w:b w:val="false"/>
          <w:bCs w:val="false"/>
          <w:sz w:val="21"/>
          <w:szCs w:val="21"/>
          <w:rtl/>
        </w:rPr>
        <w:t xml:space="preserve">تُغلق القارئات والمؤشرات قبل إعادة الاتصال، لأن المؤشر المفتوح يبقى يعيد صفوفًا بعد السحب (O-22 (erd_open_items)).</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55"/>
        <w:gridCol w:w="3699"/>
        <w:gridCol w:w="4110"/>
      </w:tblGrid>
      <w:tr>
        <w:trPr>
          <w:cantSplit/>
          <w:tblHeader/>
        </w:trPr>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c>
          <w:tcPr>
            <w:tcW w:type="dxa" w:w="3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التطبيق</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ناقص</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برمجي: تسجيل وإغلاق الاتصال</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غير معروف أو غير مقبول</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الكوكي وصفحة الدخول أو الصفحة المحايدة</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الكوكي وصفحة الدخول، بالاستجابة نفسها لـ 50002</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مربوط مسبقًا</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برمجي: إغلاق الاتصال وإعادة المحاولة مرة على اتصال جديد</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50005</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الدخول</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الرسالة الموحّدة (DOC-F03)</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33504</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مرفوضة لمشترك غير مفتوح</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«للقراءة فقط»</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50006</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مقترح في DQ-F04-3: عضو أثبت كلمة مروره ورُفض بحالة المشترك</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«المشترك غير متاح» (DOC-F03 DQ-F03-11)</w:t>
            </w:r>
          </w:p>
        </w:tc>
      </w:tr>
    </w:tbl>
    <w:p>
      <w:pPr>
        <w:bidi/>
        <w:spacing w:after="120" w:before="0"/>
      </w:pPr>
    </w:p>
    <w:p>
      <w:pPr>
        <w:bidi/>
        <w:spacing w:after="110" w:before="0" w:line="312"/>
      </w:pPr>
      <w:r>
        <w:rPr>
          <w:rFonts w:ascii="Arial" w:cs="Arial" w:eastAsia="Arial" w:hAnsi="Arial"/>
          <w:b w:val="false"/>
          <w:bCs w:val="false"/>
          <w:sz w:val="21"/>
          <w:szCs w:val="21"/>
          <w:rtl/>
        </w:rPr>
        <w:t xml:space="preserve">توحيد استجابة 50002 و50003 يمنع كشف حالة المشترك للعميل (O-22، CTX-5). رموز HTTP في DOC-B04.</w:t>
      </w:r>
    </w:p>
    <w:p>
      <w:pPr>
        <w:pStyle w:val="Heading1"/>
        <w:bidi/>
      </w:pPr>
      <w:bookmarkStart w:name="_sec10" w:id="10"/>
      <w:r>
        <w:rPr>
          <w:rFonts w:ascii="Arial" w:cs="Arial" w:eastAsia="Arial" w:hAnsi="Arial"/>
          <w:b/>
          <w:bCs/>
          <w:color w:val="1F3A5F"/>
          <w:sz w:val="32"/>
          <w:szCs w:val="32"/>
          <w:rtl/>
        </w:rPr>
        <w:t xml:space="preserve">10. ترتيب التقييم في كل طلب</w:t>
      </w:r>
      <w:bookmarkEnd w:id="10"/>
    </w:p>
    <w:p>
      <w:pPr>
        <w:bidi/>
        <w:spacing w:after="110" w:before="0" w:line="312"/>
      </w:pPr>
      <w:r>
        <w:rPr>
          <w:rFonts w:ascii="Arial" w:cs="Arial" w:eastAsia="Arial" w:hAnsi="Arial"/>
          <w:b w:val="false"/>
          <w:bCs w:val="false"/>
          <w:sz w:val="21"/>
          <w:szCs w:val="21"/>
          <w:rtl/>
        </w:rPr>
        <w:t xml:space="preserve">FR-PLT-021 يفرض الترتيب: حالة المشترك، ثم المصادقة، ثم الصلاحية، ثم نطاق الشركة، ثم قواعد السجل، والرفض هو الأصل (10-m0-m1:123).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88"/>
        <w:gridCol w:w="3722"/>
        <w:gridCol w:w="4654"/>
      </w:tblGrid>
      <w:tr>
        <w:trPr>
          <w:cantSplit/>
          <w:tblHeader/>
        </w:trPr>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3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46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من اسم المضيف</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w:t>
            </w:r>
            <w:r>
              <w:rPr>
                <w:rFonts w:ascii="Arial" w:cs="Arial" w:eastAsia="Arial" w:hAnsi="Arial"/>
                <w:color w:val="E0A800"/>
                <w:sz w:val="18"/>
                <w:szCs w:val="18"/>
                <w:rtl/>
              </w:rPr>
              <w:t xml:space="preserve">●</w:t>
            </w:r>
          </w:p>
        </w:tc>
        <w:tc>
          <w:tcPr>
            <w:tcW w:type="dxa" w:w="46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§5</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عند الربط، والتطبيق للقراءة فقط من plat.v_CurrentTenant</w:t>
            </w:r>
          </w:p>
        </w:tc>
        <w:tc>
          <w:tcPr>
            <w:tcW w:type="dxa" w:w="46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030:186-188، 025_tenant_views.sql:9-15</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المصادقة</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عند الربط</w:t>
            </w:r>
          </w:p>
        </w:tc>
        <w:tc>
          <w:tcPr>
            <w:tcW w:type="dxa" w:w="46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030:191-199</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اتحاد صلاحيات الأدوار</w:t>
            </w:r>
          </w:p>
        </w:tc>
        <w:tc>
          <w:tcPr>
            <w:tcW w:type="dxa" w:w="46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BR-PLT-007</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الشركة</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والخارج عنه 404</w:t>
            </w:r>
          </w:p>
        </w:tc>
        <w:tc>
          <w:tcPr>
            <w:tcW w:type="dxa" w:w="46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السجل</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وقيود القاعدة</w:t>
            </w:r>
          </w:p>
        </w:tc>
        <w:tc>
          <w:tcPr>
            <w:tcW w:type="dxa" w:w="46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1"/>
        <w:bidi/>
      </w:pPr>
      <w:bookmarkStart w:name="_sec11" w:id="11"/>
      <w:r>
        <w:rPr>
          <w:rFonts w:ascii="Arial" w:cs="Arial" w:eastAsia="Arial" w:hAnsi="Arial"/>
          <w:b/>
          <w:bCs/>
          <w:color w:val="1F3A5F"/>
          <w:sz w:val="32"/>
          <w:szCs w:val="32"/>
          <w:rtl/>
        </w:rPr>
        <w:t xml:space="preserve">11. أين تُفرض كل سياسة</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0"/>
        <w:gridCol w:w="968"/>
        <w:gridCol w:w="1408"/>
        <w:gridCol w:w="5530"/>
        <w:gridCol w:w="968"/>
      </w:tblGrid>
      <w:tr>
        <w:trPr>
          <w:cantSplit/>
          <w:tblHeader/>
        </w:trPr>
        <w:tc>
          <w:tcPr>
            <w:tcW w:type="dxa" w:w="9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السياسة</w:t>
            </w:r>
          </w:p>
        </w:tc>
        <w:tc>
          <w:tcPr>
            <w:tcW w:type="dxa" w:w="9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التطبيق</w:t>
            </w:r>
          </w:p>
        </w:tc>
        <w:tc>
          <w:tcPr>
            <w:tcW w:type="dxa" w:w="1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5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c>
          <w:tcPr>
            <w:tcW w:type="dxa" w:w="9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التصفية والربط</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010_rls.sql:22-57</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إلى T16c</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من الجلسة</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السياق</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030:190-199</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T19</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Argon2id وصيغة PHC</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التجزئة</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model:87 و154 و264</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T-S04-1</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Argon2id الدنيا</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عمدًا</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docs/adr/0002-login-and-session-bound-context.md:15</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T-S04-2</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والتسريب وسجل الكلمات</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السجل في إجراء</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DOC-S04</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 والقفل والخطأ الواحد</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الرسالة</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030:84-140</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T34</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تساوي زمن البريد غير الموجود</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§5.2</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لكل IP</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 فقط</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model:205</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قبل الربط</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030:198</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TOTP</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يسجّل النتيجة</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030:159-162</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المهلتين وفحصهما</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030:116-118 و196</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T32</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الخمول</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الفوري للربط</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المحفّزات</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030:245-296</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T26، T30، T37</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تجزئات كلمات المرور وإدراج الجلسات وتغيير الرمز والمهلة المطلقة</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030:237-239</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T35</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مشترك معلّق أو مؤرشف</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fn_BoundWrite</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010_rls.sql:34-41</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T27، T31</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للإدراج فقط</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020:65</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T15</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 وCSRF وCSP</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إلى §6</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DOC-S13</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IP</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يخزّن ما يصله</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030:44</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إعدادات المشترك</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فقط</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DR-17</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ونطاق الشركة</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لكل نقطة API</w:t>
            </w:r>
          </w:p>
        </w:tc>
      </w:tr>
    </w:tbl>
    <w:p>
      <w:pPr>
        <w:bidi/>
        <w:spacing w:after="120" w:before="0"/>
      </w:pPr>
    </w:p>
    <w:p>
      <w:pPr>
        <w:pStyle w:val="Heading1"/>
        <w:bidi/>
      </w:pPr>
      <w:bookmarkStart w:name="_sec12" w:id="12"/>
      <w:r>
        <w:rPr>
          <w:rFonts w:ascii="Arial" w:cs="Arial" w:eastAsia="Arial" w:hAnsi="Arial"/>
          <w:b/>
          <w:bCs/>
          <w:color w:val="1F3A5F"/>
          <w:sz w:val="32"/>
          <w:szCs w:val="32"/>
          <w:rtl/>
        </w:rPr>
        <w:t xml:space="preserve">12. المخاطر المتبقية O-24 وما يتصل بها</w:t>
      </w:r>
      <w:bookmarkEnd w:id="12"/>
    </w:p>
    <w:p>
      <w:pPr>
        <w:bidi/>
        <w:spacing w:after="110" w:before="0" w:line="312"/>
      </w:pPr>
      <w:r>
        <w:rPr>
          <w:rFonts w:ascii="Arial" w:cs="Arial" w:eastAsia="Arial" w:hAnsi="Arial"/>
          <w:b w:val="false"/>
          <w:bCs w:val="false"/>
          <w:sz w:val="21"/>
          <w:szCs w:val="21"/>
          <w:rtl/>
        </w:rPr>
        <w:t xml:space="preserve">O-24 (erd_open_items) يسجّل المخاطر داخل المشترك الواحد (tools/dbgen/erd_open_items.py:151-156). الجدول يجمعها في R1 إلى R6، ويضيف ما يتصل بها في R7 إلى R9.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0"/>
        <w:gridCol w:w="2182"/>
        <w:gridCol w:w="2910"/>
        <w:gridCol w:w="3822"/>
      </w:tblGrid>
      <w:tr>
        <w:trPr>
          <w:cantSplit/>
          <w:tblHeader/>
        </w:trPr>
        <w:tc>
          <w:tcPr>
            <w:tcW w:type="dxa" w:w="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1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w:t>
            </w:r>
          </w:p>
        </w:tc>
        <w:tc>
          <w:tcPr>
            <w:tcW w:type="dxa" w:w="29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الوضع الراهن</w:t>
            </w:r>
          </w:p>
        </w:tc>
        <w:tc>
          <w:tcPr>
            <w:tcW w:type="dxa" w:w="38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الاقتراح </w:t>
            </w:r>
            <w:r>
              <w:rPr>
                <w:rFonts w:ascii="Arial" w:cs="Arial" w:eastAsia="Arial" w:hAnsi="Arial"/>
                <w:color w:val="E0A800"/>
                <w:sz w:val="18"/>
                <w:szCs w:val="18"/>
                <w:rtl/>
              </w:rPr>
              <w:t xml:space="preserve">●</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يغيّر PasswordHash وأعمدة القفل لمستخدم من مشتركه</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UPDATE على sec.AppUser (007:24)، والحجب للقراءة فقط (030:237)</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(ADR 0003؛ T45): إجراءات التغيير والإعادة والدعوة وفك القفل والحالة، وDENY UPDATE على الأعمدة؛ إعادة التجزئة (DQ-S04-3) لم تُبنَ بعد</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R2</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يقرر نجاح TOTP</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030:11-12 و159-162</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 خطرًا متبقيًا لأن مفاتيح السر في التطبيق (BR-PLT-015)، مع فحص إعادة الخطوة داخل الإجراء والتدقيق</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R3</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يمدد الجلسة أو يعيد جلسة منتهية</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المهلة المطلقة محمية (030:239، T35)، وتبقى IdleExpiresAt وLastSeenAt وEndedAt قابلة للتحديث</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w:t>
            </w:r>
            <w:r>
              <w:rPr>
                <w:rFonts w:ascii="Courier New" w:cs="Courier New" w:eastAsia="Courier New" w:hAnsi="Courier New"/>
                <w:b w:val="false"/>
                <w:bCs w:val="false"/>
                <w:color w:val="1F2937"/>
                <w:sz w:val="16"/>
                <w:szCs w:val="16"/>
                <w:shd w:fill="F1F3F5" w:color="auto" w:val="clear"/>
                <w:rtl/>
              </w:rPr>
              <w:t xml:space="preserve">‎usp_TouchSession‎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‎usp_EndSession‎</w:t>
            </w:r>
            <w:r>
              <w:rPr>
                <w:rFonts w:ascii="Arial" w:cs="Arial" w:eastAsia="Arial" w:hAnsi="Arial"/>
                <w:b w:val="false"/>
                <w:bCs w:val="false"/>
                <w:sz w:val="18"/>
                <w:szCs w:val="18"/>
                <w:rtl/>
              </w:rPr>
              <w:t xml:space="preserve">، وDENY UPDATE على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كله (T35، T45، A12)</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تجزئة سجل الكلمات</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SELECT لـ tp_app (007:46)، والحجب لـ tp_readonly وحده (006:14)</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DENY SELECT على العمود، وفحص السجل داخل </w:t>
            </w:r>
            <w:r>
              <w:rPr>
                <w:rFonts w:ascii="Courier New" w:cs="Courier New" w:eastAsia="Courier New" w:hAnsi="Courier New"/>
                <w:b w:val="false"/>
                <w:bCs w:val="false"/>
                <w:color w:val="1F2937"/>
                <w:sz w:val="16"/>
                <w:szCs w:val="16"/>
                <w:shd w:fill="F1F3F5" w:color="auto" w:val="clear"/>
                <w:rtl/>
              </w:rPr>
              <w:t xml:space="preserve">‎usp_ApplyNewPassword‎</w:t>
            </w:r>
            <w:r>
              <w:rPr>
                <w:rFonts w:ascii="Arial" w:cs="Arial" w:eastAsia="Arial" w:hAnsi="Arial"/>
                <w:b w:val="false"/>
                <w:bCs w:val="false"/>
                <w:sz w:val="18"/>
                <w:szCs w:val="18"/>
                <w:rtl/>
              </w:rPr>
              <w:t xml:space="preserve"> بمرشحين يحسبهم التطبيق (A8)</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R5</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تجزئات رموز الاسترداد</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SELECT لـ tp_app (007:42)</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w:t>
            </w:r>
            <w:r>
              <w:rPr>
                <w:rFonts w:ascii="Courier New" w:cs="Courier New" w:eastAsia="Courier New" w:hAnsi="Courier New"/>
                <w:b w:val="false"/>
                <w:bCs w:val="false"/>
                <w:color w:val="1F2937"/>
                <w:sz w:val="16"/>
                <w:szCs w:val="16"/>
                <w:shd w:fill="F1F3F5" w:color="auto" w:val="clear"/>
                <w:rtl/>
              </w:rPr>
              <w:t xml:space="preserve">‎usp_UseRecoveryCode‎</w:t>
            </w:r>
            <w:r>
              <w:rPr>
                <w:rFonts w:ascii="Arial" w:cs="Arial" w:eastAsia="Arial" w:hAnsi="Arial"/>
                <w:b w:val="false"/>
                <w:bCs w:val="false"/>
                <w:sz w:val="18"/>
                <w:szCs w:val="18"/>
                <w:rtl/>
              </w:rPr>
              <w:t xml:space="preserve"> وDENY SELECT على CodeHash (A7، T45)</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R6</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 أثر الدخول</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INSERT وDELETE على sec.LoginAttempt (007:37، 005:11)</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الأثر الدائم في aud.AuditLog الذي لا يُحذف (DQ-F03-10)</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R7</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IP غير قابل للتحقق</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030:44</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R8</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المؤشرات بعد السحب ورموز الخطأ</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R9</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الإعدادات في التطبيق وحده</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DR-17</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يتحقق من cfg.SettingDefinition لمفاتيح الأمان</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يعبر أي من هذه المخاطر حد المشترك، لأن الربط يتطلب جلسة من المشترك نفسه (docs/adr/0002-login-and-session-bound-context.md:30).</w:t>
      </w:r>
    </w:p>
    <w:p>
      <w:pPr>
        <w:pStyle w:val="Heading1"/>
        <w:bidi/>
      </w:pPr>
      <w:bookmarkStart w:name="_sec13" w:id="13"/>
      <w:r>
        <w:rPr>
          <w:rFonts w:ascii="Arial" w:cs="Arial" w:eastAsia="Arial" w:hAnsi="Arial"/>
          <w:b/>
          <w:bCs/>
          <w:color w:val="1F3A5F"/>
          <w:sz w:val="32"/>
          <w:szCs w:val="32"/>
          <w:rtl/>
        </w:rPr>
        <w:t xml:space="preserve">13. القرارات المطلوبة</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3107"/>
        <w:gridCol w:w="1278"/>
        <w:gridCol w:w="1826"/>
      </w:tblGrid>
      <w:tr>
        <w:trPr>
          <w:cantSplit/>
          <w:tblHeader/>
        </w:trPr>
        <w:tc>
          <w:tcPr>
            <w:tcW w:type="dxa" w:w="14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1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2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SameSite للكوكي</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Lax مع رمز CSRF وفحص Origin؛ Strict يكسر الوصول من روابط البريد</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الجلسة</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DQ-S03-2</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إطار الواجهة على CSP وCSRF</w:t>
            </w:r>
          </w:p>
        </w:tc>
        <w:tc>
          <w:tcPr>
            <w:tcW w:type="dxa" w:w="3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يُحسم مع 01 س-25؛ الاتصال الدائم للواجهة من الأصل نفسه، ولا سكربت مضمَّن</w:t>
            </w:r>
          </w:p>
        </w:tc>
        <w:tc>
          <w:tcPr>
            <w:tcW w:type="dxa" w:w="1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CSP</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العكسي ومصدر IP</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واحد يستبدل X-Forwarded-For، وقائمة وكلاء معروفين في التطبيق؛ المنتج يتبع نظام طبقة التطبيق</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وتقييد المعدل</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DQ-S03-4</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معرّف الارتباط</w:t>
            </w:r>
          </w:p>
        </w:tc>
        <w:tc>
          <w:tcPr>
            <w:tcW w:type="dxa" w:w="3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GUID يولّده التطبيق لكل طلب، أو traceparent من الوكيل؛ لا يُقبل من المتصفح</w:t>
            </w:r>
          </w:p>
        </w:tc>
        <w:tc>
          <w:tcPr>
            <w:tcW w:type="dxa" w:w="1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DQ-S03-5</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إغلاق O-24</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R1 وR3 وR4 وR5 كما في §12؛ R3 يتفق مع DQ-F04-8</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القاعدة</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O-24</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DQ-S03-6</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الجلسة الأقصر لكل مشترك (FR-PLT-043)</w:t>
            </w:r>
          </w:p>
        </w:tc>
        <w:tc>
          <w:tcPr>
            <w:tcW w:type="dxa" w:w="3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usp_StartSession يقرأ مفتاحي المهلتين من cfg.TenantSetting بحد أقصى 30 دقيقة و12 ساعة</w:t>
            </w:r>
          </w:p>
        </w:tc>
        <w:tc>
          <w:tcPr>
            <w:tcW w:type="dxa" w:w="1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DQ-S03-7</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لوحة المشغّل</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مضيف مستقل وكوكي باسم مختلف</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r>
    </w:tbl>
    <w:p>
      <w:pPr>
        <w:bidi/>
        <w:spacing w:after="120" w:before="0"/>
      </w:pPr>
    </w:p>
    <w:p>
      <w:pPr>
        <w:pStyle w:val="Heading1"/>
        <w:bidi/>
      </w:pPr>
      <w:bookmarkStart w:name="_sec14" w:id="14"/>
      <w:r>
        <w:rPr>
          <w:rFonts w:ascii="Arial" w:cs="Arial" w:eastAsia="Arial" w:hAnsi="Arial"/>
          <w:b/>
          <w:bCs/>
          <w:color w:val="1F3A5F"/>
          <w:sz w:val="32"/>
          <w:szCs w:val="32"/>
          <w:rtl/>
        </w:rPr>
        <w:t xml:space="preserve">14. تعارضات وفجوات في المصادر</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5658"/>
        <w:gridCol w:w="3046"/>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6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3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قديمة في السجل</w:t>
            </w:r>
          </w:p>
        </w:tc>
        <w:tc>
          <w:tcPr>
            <w:tcW w:type="dxa" w:w="5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docs/30-readiness-documents.md:228</w:t>
            </w:r>
          </w:p>
        </w:tc>
        <w:tc>
          <w:tcPr>
            <w:tcW w:type="dxa" w:w="3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يذكر 030:17-22 للمعرّف والعنوان و:73 للمنح، والملف تغيّر: الرمز في 030:13-14 و165-170، والمنح في 030:229-232</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tp_app في وثيقة القاعدة</w:t>
            </w:r>
          </w:p>
        </w:tc>
        <w:tc>
          <w:tcPr>
            <w:tcW w:type="dxa" w:w="5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docs/20-database-design.md:267</w:t>
            </w:r>
          </w:p>
        </w:tc>
        <w:tc>
          <w:tcPr>
            <w:tcW w:type="dxa" w:w="3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يذكر EXECUTE على usp_SetSessionContext فقط، والمنفّذ يمنح أربعة إجراءات (030:229-232)</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الارتباط في الدخول</w:t>
            </w:r>
          </w:p>
        </w:tc>
        <w:tc>
          <w:tcPr>
            <w:tcW w:type="dxa" w:w="5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db/static/030_session_context.sql:39-47</w:t>
            </w:r>
          </w:p>
        </w:tc>
        <w:tc>
          <w:tcPr>
            <w:tcW w:type="dxa" w:w="3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بلا @CorrelationId، وsec.LoginAttempt بلا عمود له (model:199-208)</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ضوابط الجلسة بلا تصميم</w:t>
            </w:r>
          </w:p>
        </w:tc>
        <w:tc>
          <w:tcPr>
            <w:tcW w:type="dxa" w:w="5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10-m0-m1:585</w:t>
            </w:r>
          </w:p>
        </w:tc>
        <w:tc>
          <w:tcPr>
            <w:tcW w:type="dxa" w:w="3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تسرد الكوكي وSameSite وCSRF وCSP دون قيم؛ هذه الوثيقة تقترحها</w:t>
            </w:r>
          </w:p>
        </w:tc>
      </w:tr>
    </w:tbl>
    <w:p>
      <w:pPr>
        <w:bidi/>
        <w:spacing w:after="120" w:before="0"/>
      </w:pPr>
    </w:p>
    <w:p>
      <w:pPr>
        <w:pStyle w:val="Heading1"/>
        <w:bidi/>
      </w:pPr>
      <w:bookmarkStart w:name="_sec15" w:id="15"/>
      <w:r>
        <w:rPr>
          <w:rFonts w:ascii="Arial" w:cs="Arial" w:eastAsia="Arial" w:hAnsi="Arial"/>
          <w:b/>
          <w:bCs/>
          <w:color w:val="1F3A5F"/>
          <w:sz w:val="32"/>
          <w:szCs w:val="32"/>
          <w:rtl/>
        </w:rPr>
        <w:t xml:space="preserve">15. التتبع</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2"/>
        <w:gridCol w:w="1960"/>
        <w:gridCol w:w="6922"/>
      </w:tblGrid>
      <w:tr>
        <w:trPr>
          <w:cantSplit/>
          <w:tblHeader/>
        </w:trPr>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O-16 وO-17 (erd_open_items)، ADR 0002</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030:165-227، 010_rls.sql:22-57</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030:116-118 و237-239</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FR-PLT-006</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10-m0-m1:148 و:108</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و§6</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من 10-m0-m1، X-SEC-5</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10-m0-m1:585، docs/10-detailed-analysis/00-overview-and-cross-cutting.md:140</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FR-PLT-023</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030:44 و206، 10-m0-m1:231 و:125</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030:169 و207، model:317</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030:18 و201-219</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FR-PLT-020</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10-m0-m1:123 و:122</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(erd_open_items)، DR-17</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tools/dbgen/erd_open_items.py:151-156</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DOC-S03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20d41949f528f46ca83d8d7b13234c98a507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DOC-S03 — معمارية الأمن والمصادقة والجلسات (سلسلة الثقة من الهوية إلى سياق المشترك)</dc:title>
  <dc:creator>Claude</dc:creator>
  <dc:description>BankFas database design document</dc:description>
  <cp:lastModifiedBy>Un-named</cp:lastModifiedBy>
  <cp:revision>1</cp:revision>
  <dcterms:created xsi:type="dcterms:W3CDTF">2026-10-19T21:17:02.696Z</dcterms:created>
  <dcterms:modified xsi:type="dcterms:W3CDTF">2026-10-19T21:17:02.696Z</dcterms:modified>
</cp:coreProperties>
</file>

<file path=docProps/custom.xml><?xml version="1.0" encoding="utf-8"?>
<Properties xmlns="http://schemas.openxmlformats.org/officeDocument/2006/custom-properties" xmlns:vt="http://schemas.openxmlformats.org/officeDocument/2006/docPropsVTypes"/>
</file>