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DOC-S07 — تقييم أثر الخصوصية وحماية البيانات الشخصية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الأدوار</w:t>
        </w:r>
      </w:hyperlink>
    </w:p>
    <w:p>
      <w:pPr>
        <w:bidi/>
        <w:spacing w:after="50" w:before="0"/>
        <w:ind w:left="0"/>
      </w:pPr>
      <w:hyperlink w:history="1" w:anchor="_sec3">
        <w:r>
          <w:rPr>
            <w:rFonts w:ascii="Arial" w:cs="Arial" w:eastAsia="Arial" w:hAnsi="Arial"/>
            <w:b/>
            <w:bCs/>
            <w:color w:val="1F3A5F"/>
            <w:sz w:val="20"/>
            <w:szCs w:val="20"/>
            <w:rtl/>
          </w:rPr>
          <w:t xml:space="preserve">3. أصحاب البيانات</w:t>
        </w:r>
      </w:hyperlink>
    </w:p>
    <w:p>
      <w:pPr>
        <w:bidi/>
        <w:spacing w:after="50" w:before="0"/>
        <w:ind w:left="0"/>
      </w:pPr>
      <w:hyperlink w:history="1" w:anchor="_sec4">
        <w:r>
          <w:rPr>
            <w:rFonts w:ascii="Arial" w:cs="Arial" w:eastAsia="Arial" w:hAnsi="Arial"/>
            <w:b/>
            <w:bCs/>
            <w:color w:val="1F3A5F"/>
            <w:sz w:val="20"/>
            <w:szCs w:val="20"/>
            <w:rtl/>
          </w:rPr>
          <w:t xml:space="preserve">4. جرد البيانات الشخصية</w:t>
        </w:r>
      </w:hyperlink>
    </w:p>
    <w:p>
      <w:pPr>
        <w:bidi/>
        <w:spacing w:after="50" w:before="0"/>
        <w:ind w:left="0"/>
      </w:pPr>
      <w:hyperlink w:history="1" w:anchor="_sec5">
        <w:r>
          <w:rPr>
            <w:rFonts w:ascii="Arial" w:cs="Arial" w:eastAsia="Arial" w:hAnsi="Arial"/>
            <w:b/>
            <w:bCs/>
            <w:color w:val="1F3A5F"/>
            <w:sz w:val="20"/>
            <w:szCs w:val="20"/>
            <w:rtl/>
          </w:rPr>
          <w:t xml:space="preserve">5. الغرض والأساس النظامي</w:t>
        </w:r>
      </w:hyperlink>
    </w:p>
    <w:p>
      <w:pPr>
        <w:bidi/>
        <w:spacing w:after="50" w:before="0"/>
        <w:ind w:left="0"/>
      </w:pPr>
      <w:hyperlink w:history="1" w:anchor="_sec6">
        <w:r>
          <w:rPr>
            <w:rFonts w:ascii="Arial" w:cs="Arial" w:eastAsia="Arial" w:hAnsi="Arial"/>
            <w:b/>
            <w:bCs/>
            <w:color w:val="1F3A5F"/>
            <w:sz w:val="20"/>
            <w:szCs w:val="20"/>
            <w:rtl/>
          </w:rPr>
          <w:t xml:space="preserve">6. إقامة البيانات والنقل عبر الحدود</w:t>
        </w:r>
      </w:hyperlink>
    </w:p>
    <w:p>
      <w:pPr>
        <w:bidi/>
        <w:spacing w:after="50" w:before="0"/>
        <w:ind w:left="0"/>
      </w:pPr>
      <w:hyperlink w:history="1" w:anchor="_sec7">
        <w:r>
          <w:rPr>
            <w:rFonts w:ascii="Arial" w:cs="Arial" w:eastAsia="Arial" w:hAnsi="Arial"/>
            <w:b/>
            <w:bCs/>
            <w:color w:val="1F3A5F"/>
            <w:sz w:val="20"/>
            <w:szCs w:val="20"/>
            <w:rtl/>
          </w:rPr>
          <w:t xml:space="preserve">7. الاحتفاظ والإتلاف</w:t>
        </w:r>
      </w:hyperlink>
    </w:p>
    <w:p>
      <w:pPr>
        <w:bidi/>
        <w:spacing w:after="50" w:before="0"/>
        <w:ind w:left="0"/>
      </w:pPr>
      <w:hyperlink w:history="1" w:anchor="_sec8">
        <w:r>
          <w:rPr>
            <w:rFonts w:ascii="Arial" w:cs="Arial" w:eastAsia="Arial" w:hAnsi="Arial"/>
            <w:b/>
            <w:bCs/>
            <w:color w:val="1F3A5F"/>
            <w:sz w:val="20"/>
            <w:szCs w:val="20"/>
            <w:rtl/>
          </w:rPr>
          <w:t xml:space="preserve">8. حقوق أصحاب البيانات</w:t>
        </w:r>
      </w:hyperlink>
    </w:p>
    <w:p>
      <w:pPr>
        <w:bidi/>
        <w:spacing w:after="50" w:before="0"/>
        <w:ind w:left="0"/>
      </w:pPr>
      <w:hyperlink w:history="1" w:anchor="_sec12">
        <w:r>
          <w:rPr>
            <w:rFonts w:ascii="Arial" w:cs="Arial" w:eastAsia="Arial" w:hAnsi="Arial"/>
            <w:b/>
            <w:bCs/>
            <w:color w:val="1F3A5F"/>
            <w:sz w:val="20"/>
            <w:szCs w:val="20"/>
            <w:rtl/>
          </w:rPr>
          <w:t xml:space="preserve">9. المعالجون الفرعيون</w:t>
        </w:r>
      </w:hyperlink>
    </w:p>
    <w:p>
      <w:pPr>
        <w:bidi/>
        <w:spacing w:after="50" w:before="0"/>
        <w:ind w:left="0"/>
      </w:pPr>
      <w:hyperlink w:history="1" w:anchor="_sec13">
        <w:r>
          <w:rPr>
            <w:rFonts w:ascii="Arial" w:cs="Arial" w:eastAsia="Arial" w:hAnsi="Arial"/>
            <w:b/>
            <w:bCs/>
            <w:color w:val="1F3A5F"/>
            <w:sz w:val="20"/>
            <w:szCs w:val="20"/>
            <w:rtl/>
          </w:rPr>
          <w:t xml:space="preserve">10. تقييم المخاطر</w:t>
        </w:r>
      </w:hyperlink>
    </w:p>
    <w:p>
      <w:pPr>
        <w:bidi/>
        <w:spacing w:after="50" w:before="0"/>
        <w:ind w:left="0"/>
      </w:pPr>
      <w:hyperlink w:history="1" w:anchor="_sec14">
        <w:r>
          <w:rPr>
            <w:rFonts w:ascii="Arial" w:cs="Arial" w:eastAsia="Arial" w:hAnsi="Arial"/>
            <w:b/>
            <w:bCs/>
            <w:color w:val="1F3A5F"/>
            <w:sz w:val="20"/>
            <w:szCs w:val="20"/>
            <w:rtl/>
          </w:rPr>
          <w:t xml:space="preserve">11. إخطار الخرق</w:t>
        </w:r>
      </w:hyperlink>
    </w:p>
    <w:p>
      <w:pPr>
        <w:bidi/>
        <w:spacing w:after="50" w:before="0"/>
        <w:ind w:left="0"/>
      </w:pPr>
      <w:hyperlink w:history="1" w:anchor="_sec15">
        <w:r>
          <w:rPr>
            <w:rFonts w:ascii="Arial" w:cs="Arial" w:eastAsia="Arial" w:hAnsi="Arial"/>
            <w:b/>
            <w:bCs/>
            <w:color w:val="1F3A5F"/>
            <w:sz w:val="20"/>
            <w:szCs w:val="20"/>
            <w:rtl/>
          </w:rPr>
          <w:t xml:space="preserve">12. القرارات المطلوبة</w:t>
        </w:r>
      </w:hyperlink>
    </w:p>
    <w:p>
      <w:pPr>
        <w:bidi/>
        <w:spacing w:after="50" w:before="0"/>
        <w:ind w:left="0"/>
      </w:pPr>
      <w:hyperlink w:history="1" w:anchor="_sec16">
        <w:r>
          <w:rPr>
            <w:rFonts w:ascii="Arial" w:cs="Arial" w:eastAsia="Arial" w:hAnsi="Arial"/>
            <w:b/>
            <w:bCs/>
            <w:color w:val="1F3A5F"/>
            <w:sz w:val="20"/>
            <w:szCs w:val="20"/>
            <w:rtl/>
          </w:rPr>
          <w:t xml:space="preserve">13. تعارضات وفجوات في المصادر</w:t>
        </w:r>
      </w:hyperlink>
    </w:p>
    <w:p>
      <w:pPr>
        <w:bidi/>
        <w:spacing w:after="50" w:before="0"/>
        <w:ind w:left="0"/>
      </w:pPr>
      <w:hyperlink w:history="1" w:anchor="_sec17">
        <w:r>
          <w:rPr>
            <w:rFonts w:ascii="Arial" w:cs="Arial" w:eastAsia="Arial" w:hAnsi="Arial"/>
            <w:b/>
            <w:bCs/>
            <w:color w:val="1F3A5F"/>
            <w:sz w:val="20"/>
            <w:szCs w:val="20"/>
            <w:rtl/>
          </w:rPr>
          <w:t xml:space="preserve">14.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1"/>
        <w:bidi/>
      </w:pPr>
      <w:bookmarkStart w:name="_sec2" w:id="2"/>
      <w:r>
        <w:rPr>
          <w:rFonts w:ascii="Arial" w:cs="Arial" w:eastAsia="Arial" w:hAnsi="Arial"/>
          <w:b/>
          <w:bCs/>
          <w:color w:val="1F3A5F"/>
          <w:sz w:val="32"/>
          <w:szCs w:val="32"/>
          <w:rtl/>
        </w:rPr>
        <w:t xml:space="preserve">2. الأدوار</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أصحاب البيانات</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جرد البيانات الشخصية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5. الغرض والأساس النظامي </w:t>
      </w:r>
      <w:r>
        <w:rPr>
          <w:rFonts w:ascii="Arial" w:cs="Arial" w:eastAsia="Arial" w:hAnsi="Arial"/>
          <w:color w:val="E0A800"/>
          <w:sz w:val="32"/>
          <w:szCs w:val="32"/>
          <w:rtl/>
        </w:rPr>
        <w:t xml:space="preserve">●</w:t>
      </w:r>
      <w:bookmarkEnd w:id="5"/>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1"/>
        <w:bidi/>
      </w:pPr>
      <w:bookmarkStart w:name="_sec6" w:id="6"/>
      <w:r>
        <w:rPr>
          <w:rFonts w:ascii="Arial" w:cs="Arial" w:eastAsia="Arial" w:hAnsi="Arial"/>
          <w:b/>
          <w:bCs/>
          <w:color w:val="1F3A5F"/>
          <w:sz w:val="32"/>
          <w:szCs w:val="32"/>
          <w:rtl/>
        </w:rPr>
        <w:t xml:space="preserve">6. إقامة البيانات والنقل عبر الحدود</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1"/>
        <w:bidi/>
      </w:pPr>
      <w:bookmarkStart w:name="_sec7" w:id="7"/>
      <w:r>
        <w:rPr>
          <w:rFonts w:ascii="Arial" w:cs="Arial" w:eastAsia="Arial" w:hAnsi="Arial"/>
          <w:b/>
          <w:bCs/>
          <w:color w:val="1F3A5F"/>
          <w:sz w:val="32"/>
          <w:szCs w:val="32"/>
          <w:rtl/>
        </w:rPr>
        <w:t xml:space="preserve">7. الاحتفاظ والإتلاف</w:t>
      </w:r>
      <w:bookmarkEnd w:id="7"/>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1"/>
        <w:bidi/>
      </w:pPr>
      <w:bookmarkStart w:name="_sec8" w:id="8"/>
      <w:r>
        <w:rPr>
          <w:rFonts w:ascii="Arial" w:cs="Arial" w:eastAsia="Arial" w:hAnsi="Arial"/>
          <w:b/>
          <w:bCs/>
          <w:color w:val="1F3A5F"/>
          <w:sz w:val="32"/>
          <w:szCs w:val="32"/>
          <w:rtl/>
        </w:rPr>
        <w:t xml:space="preserve">8. حقوق أصحاب البيانات</w:t>
      </w:r>
      <w:bookmarkEnd w:id="8"/>
    </w:p>
    <w:p>
      <w:pPr>
        <w:pStyle w:val="Heading2"/>
        <w:bidi/>
      </w:pPr>
      <w:bookmarkStart w:name="_sec9" w:id="9"/>
      <w:r>
        <w:rPr>
          <w:rFonts w:ascii="Arial" w:cs="Arial" w:eastAsia="Arial" w:hAnsi="Arial"/>
          <w:b/>
          <w:bCs/>
          <w:color w:val="2B5C8A"/>
          <w:sz w:val="26"/>
          <w:szCs w:val="26"/>
          <w:rtl/>
        </w:rPr>
        <w:t xml:space="preserve">8.1 المسار</w:t>
      </w:r>
      <w:bookmarkEnd w:id="9"/>
    </w:p>
    <w:p>
      <w:pPr>
        <w:keepNext/>
        <w:bidi/>
        <w:spacing w:after="60" w:before="160"/>
        <w:jc w:val="center"/>
      </w:pPr>
      <w:r>
        <w:drawing>
          <wp:inline distT="0" distB="0" distL="0" distR="0">
            <wp:extent cx="21907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90750" cy="8191500"/>
                    </a:xfrm>
                    <a:prstGeom prst="rect">
                      <a:avLst/>
                    </a:prstGeom>
                  </pic:spPr>
                </pic:pic>
              </a:graphicData>
            </a:graphic>
          </wp:inline>
        </w:drawing>
      </w:r>
    </w:p>
    <w:p>
      <w:pPr>
        <w:pStyle w:val="Heading2"/>
        <w:bidi/>
      </w:pPr>
      <w:bookmarkStart w:name="_sec10" w:id="10"/>
      <w:r>
        <w:rPr>
          <w:rFonts w:ascii="Arial" w:cs="Arial" w:eastAsia="Arial" w:hAnsi="Arial"/>
          <w:b/>
          <w:bCs/>
          <w:color w:val="2B5C8A"/>
          <w:sz w:val="26"/>
          <w:szCs w:val="26"/>
          <w:rtl/>
        </w:rPr>
        <w:t xml:space="preserve">8.2 أنواع الطلبات</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8.3 الحذف مقابل عدم تعديل التدقيق</w:t>
      </w:r>
      <w:bookmarkEnd w:id="1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1"/>
        <w:bidi/>
      </w:pPr>
      <w:bookmarkStart w:name="_sec12" w:id="12"/>
      <w:r>
        <w:rPr>
          <w:rFonts w:ascii="Arial" w:cs="Arial" w:eastAsia="Arial" w:hAnsi="Arial"/>
          <w:b/>
          <w:bCs/>
          <w:color w:val="1F3A5F"/>
          <w:sz w:val="32"/>
          <w:szCs w:val="32"/>
          <w:rtl/>
        </w:rPr>
        <w:t xml:space="preserve">9. المعالجون الفرعيون</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1"/>
        <w:bidi/>
      </w:pPr>
      <w:bookmarkStart w:name="_sec13" w:id="13"/>
      <w:r>
        <w:rPr>
          <w:rFonts w:ascii="Arial" w:cs="Arial" w:eastAsia="Arial" w:hAnsi="Arial"/>
          <w:b/>
          <w:bCs/>
          <w:color w:val="1F3A5F"/>
          <w:sz w:val="32"/>
          <w:szCs w:val="32"/>
          <w:rtl/>
        </w:rPr>
        <w:t xml:space="preserve">10. تقييم المخاطر</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11. إخطار الخرق</w:t>
      </w:r>
      <w:bookmarkEnd w:id="14"/>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1"/>
        <w:bidi/>
      </w:pPr>
      <w:bookmarkStart w:name="_sec15" w:id="15"/>
      <w:r>
        <w:rPr>
          <w:rFonts w:ascii="Arial" w:cs="Arial" w:eastAsia="Arial" w:hAnsi="Arial"/>
          <w:b/>
          <w:bCs/>
          <w:color w:val="1F3A5F"/>
          <w:sz w:val="32"/>
          <w:szCs w:val="32"/>
          <w:rtl/>
        </w:rPr>
        <w:t xml:space="preserve">12. القرارات المطلوبة</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778"/>
        <w:gridCol w:w="2102"/>
        <w:gridCol w:w="1293"/>
        <w:gridCol w:w="3236"/>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تُختار بعد رأي قانوني لكل دولة مستهدفة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الدولة نفسها أو دولة يقبلها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الافتراض في القسم 2، وملحق معالجة في عقد الاشتراك</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في S1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حقل إلزامي عند التهيئة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عمود الاحتفاظ في القسم 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متطلب جديد في S1 أو S2</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13. تعارضات وفجوات في المصادر</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1"/>
        <w:bidi/>
      </w:pPr>
      <w:bookmarkStart w:name="_sec17" w:id="17"/>
      <w:r>
        <w:rPr>
          <w:rFonts w:ascii="Arial" w:cs="Arial" w:eastAsia="Arial" w:hAnsi="Arial"/>
          <w:b/>
          <w:bCs/>
          <w:color w:val="1F3A5F"/>
          <w:sz w:val="32"/>
          <w:szCs w:val="32"/>
          <w:rtl/>
        </w:rPr>
        <w:t xml:space="preserve">14. التتبع</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DOC-S07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866faa485897001b587ebfeb523997392b29fa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DOC-S07 — تقييم أثر الخصوصية وحماية البيانات الشخصية</dc:title>
  <dc:creator>Claude</dc:creator>
  <dc:description>BankFas database design document</dc:description>
  <cp:lastModifiedBy>Un-named</cp:lastModifiedBy>
  <cp:revision>1</cp:revision>
  <dcterms:created xsi:type="dcterms:W3CDTF">2026-10-19T21:17:13.891Z</dcterms:created>
  <dcterms:modified xsi:type="dcterms:W3CDTF">2026-10-19T21:17:13.891Z</dcterms:modified>
</cp:coreProperties>
</file>

<file path=docProps/custom.xml><?xml version="1.0" encoding="utf-8"?>
<Properties xmlns="http://schemas.openxmlformats.org/officeDocument/2006/custom-properties" xmlns:vt="http://schemas.openxmlformats.org/officeDocument/2006/docPropsVTypes"/>
</file>