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244 tables · 20 schemas · 894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244 tables in 20 schemas; 894 foreign keys; 642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50</w:t>
            </w:r>
          </w:p>
        </w:tc>
        <w:tc>
          <w:tcPr>
            <w:tcW w:type="dxa" w:w="1701"/>
          </w:tcPr>
          <w:p>
            <w:pPr>
              <w:spacing w:after="0" w:before="0"/>
            </w:pPr>
            <w:r/>
            <w:r>
              <w:rPr>
                <w:rFonts w:ascii="Arial" w:hAnsi="Arial"/>
                <w:b w:val="0"/>
                <w:sz w:val="17"/>
              </w:rPr>
              <w:t>24</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89 diagrams cover 244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33</w:t>
            </w:r>
          </w:p>
        </w:tc>
        <w:tc>
          <w:tcPr>
            <w:tcW w:type="dxa" w:w="2268"/>
          </w:tcPr>
          <w:p>
            <w:pPr>
              <w:spacing w:after="0" w:before="0"/>
            </w:pPr>
            <w:r/>
            <w:r>
              <w:rPr>
                <w:rFonts w:ascii="Arial" w:hAnsi="Arial"/>
                <w:b w:val="0"/>
                <w:sz w:val="17"/>
              </w:rPr>
              <w:t>86</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RootId, 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17)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17)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7672103"/>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12559" cy="7672103"/>
                    </a:xfrm>
                    <a:prstGeom prst="rect"/>
                  </pic:spPr>
                </pic:pic>
              </a:graphicData>
            </a:graphic>
          </wp:inline>
        </w:drawing>
      </w:r>
    </w:p>
    <w:p>
      <w:pPr>
        <w:spacing w:after="120"/>
        <w:jc w:val="center"/>
      </w:pPr>
      <w:r>
        <w:rPr>
          <w:rFonts w:ascii="Arial" w:hAnsi="Arial"/>
          <w:b w:val="0"/>
          <w:i/>
          <w:color w:val="6B7280"/>
          <w:sz w:val="16"/>
        </w:rPr>
        <w:t>Figure 54  Financial statements and balances (part 7 of 17)  ·  4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fin.CreditAssessmentFinding</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55  Financial statements and balances (part 8 of 17)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56  Financial statements and balances (part 9 of 17)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57  Financial statements and balances (part 10 of 17)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66520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015990" cy="66520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17)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07760" cy="4516623"/>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207760" cy="4516623"/>
                    </a:xfrm>
                    <a:prstGeom prst="rect"/>
                  </pic:spPr>
                </pic:pic>
              </a:graphicData>
            </a:graphic>
          </wp:inline>
        </w:drawing>
      </w:r>
    </w:p>
    <w:p>
      <w:pPr>
        <w:spacing w:after="120"/>
        <w:jc w:val="center"/>
      </w:pPr>
      <w:r>
        <w:rPr>
          <w:rFonts w:ascii="Arial" w:hAnsi="Arial"/>
          <w:b w:val="0"/>
          <w:i/>
          <w:color w:val="6B7280"/>
          <w:sz w:val="16"/>
        </w:rPr>
        <w:t>Figure 59  Financial statements and balances (part 12 of 17)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fin.MacroScenarioCountry</w:t>
            </w:r>
          </w:p>
        </w:tc>
        <w:tc>
          <w:tcPr>
            <w:tcW w:type="dxa" w:w="6690"/>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tcPr>
          <w:p>
            <w:pPr>
              <w:spacing w:after="0" w:before="0"/>
            </w:pPr>
            <w:r/>
            <w:r>
              <w:rPr>
                <w:rFonts w:ascii="Arial" w:hAnsi="Arial"/>
                <w:b w:val="0"/>
                <w:sz w:val="15"/>
              </w:rPr>
              <w:t>MacroScenarioCountryId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fin.MacroScenarioIntensity</w:t>
            </w:r>
          </w:p>
        </w:tc>
        <w:tc>
          <w:tcPr>
            <w:tcW w:type="dxa" w:w="6690"/>
            <w:shd w:val="clear" w:color="auto" w:fill="E8EEF6"/>
          </w:tcPr>
          <w:p>
            <w:pPr>
              <w:spacing w:after="0" w:before="0"/>
            </w:pPr>
            <w:r/>
            <w:r>
              <w:rPr>
                <w:rFonts w:ascii="Arial" w:hAnsi="Arial"/>
                <w:b w:val="0"/>
                <w:sz w:val="15"/>
              </w:rPr>
              <w:t>The intensity 0 to 1 of a driver in a macro scenario (docs/35 section 14)</w:t>
            </w:r>
          </w:p>
        </w:tc>
        <w:tc>
          <w:tcPr>
            <w:tcW w:type="dxa" w:w="2948"/>
            <w:shd w:val="clear" w:color="auto" w:fill="E8EEF6"/>
          </w:tcPr>
          <w:p>
            <w:pPr>
              <w:spacing w:after="0" w:before="0"/>
            </w:pPr>
            <w:r/>
            <w:r>
              <w:rPr>
                <w:rFonts w:ascii="Arial" w:hAnsi="Arial"/>
                <w:b w:val="0"/>
                <w:sz w:val="15"/>
              </w:rPr>
              <w:t>MacroScenarioIntensityId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ShockDriverId</w:t>
            </w:r>
          </w:p>
        </w:tc>
        <w:tc>
          <w:tcPr>
            <w:tcW w:type="dxa" w:w="2721"/>
          </w:tcPr>
          <w:p>
            <w:pPr>
              <w:spacing w:after="0" w:before="0"/>
            </w:pPr>
            <w:r/>
            <w:r>
              <w:rPr>
                <w:rFonts w:ascii="Arial" w:hAnsi="Arial"/>
                <w:b w:val="0"/>
                <w:sz w:val="15"/>
              </w:rPr>
              <w:t>fin.ShockDriver</w:t>
            </w:r>
          </w:p>
        </w:tc>
        <w:tc>
          <w:tcPr>
            <w:tcW w:type="dxa" w:w="2948"/>
          </w:tcPr>
          <w:p>
            <w:pPr>
              <w:spacing w:after="0" w:before="0"/>
            </w:pPr>
            <w:r/>
            <w:r>
              <w:rPr>
                <w:rFonts w:ascii="Arial" w:hAnsi="Arial"/>
                <w:b w:val="0"/>
                <w:sz w:val="15"/>
              </w:rPr>
              <w:t>ShockDriverId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40780" cy="6859872"/>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240780" cy="6859872"/>
                    </a:xfrm>
                    <a:prstGeom prst="rect"/>
                  </pic:spPr>
                </pic:pic>
              </a:graphicData>
            </a:graphic>
          </wp:inline>
        </w:drawing>
      </w:r>
    </w:p>
    <w:p>
      <w:pPr>
        <w:spacing w:after="120"/>
        <w:jc w:val="center"/>
      </w:pPr>
      <w:r>
        <w:rPr>
          <w:rFonts w:ascii="Arial" w:hAnsi="Arial"/>
          <w:b w:val="0"/>
          <w:i/>
          <w:color w:val="6B7280"/>
          <w:sz w:val="16"/>
        </w:rPr>
        <w:t>Figure 60  Financial statements and balances (part 13 of 17)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fin.ProductCategory</w:t>
            </w:r>
          </w:p>
        </w:tc>
        <w:tc>
          <w:tcPr>
            <w:tcW w:type="dxa" w:w="6690"/>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shd w:val="clear" w:color="auto" w:fill="E8EEF6"/>
          </w:tcPr>
          <w:p>
            <w:pPr>
              <w:spacing w:after="0" w:before="0"/>
            </w:pPr>
            <w:r/>
            <w:r>
              <w:rPr>
                <w:rFonts w:ascii="Arial" w:hAnsi="Arial"/>
                <w:b w:val="0"/>
                <w:sz w:val="15"/>
              </w:rPr>
              <w:t>ProductCategoryId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fin.RatingGrade</w:t>
            </w:r>
          </w:p>
        </w:tc>
        <w:tc>
          <w:tcPr>
            <w:tcW w:type="dxa" w:w="6690"/>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tcPr>
          <w:p>
            <w:pPr>
              <w:spacing w:after="0" w:before="0"/>
            </w:pPr>
            <w:r/>
            <w:r>
              <w:rPr>
                <w:rFonts w:ascii="Arial" w:hAnsi="Arial"/>
                <w:b w:val="0"/>
                <w:sz w:val="15"/>
              </w:rPr>
              <w:t>RatingGradeId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305609"/>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9076690" cy="4305609"/>
                    </a:xfrm>
                    <a:prstGeom prst="rect"/>
                  </pic:spPr>
                </pic:pic>
              </a:graphicData>
            </a:graphic>
          </wp:inline>
        </w:drawing>
      </w:r>
    </w:p>
    <w:p>
      <w:pPr>
        <w:spacing w:after="120"/>
        <w:jc w:val="center"/>
      </w:pPr>
      <w:r>
        <w:rPr>
          <w:rFonts w:ascii="Arial" w:hAnsi="Arial"/>
          <w:b w:val="0"/>
          <w:i/>
          <w:color w:val="6B7280"/>
          <w:sz w:val="16"/>
        </w:rPr>
        <w:t>Figure 61  Financial statements and balances (part 14 of 17)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896610" cy="4450506"/>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5896610" cy="4450506"/>
                    </a:xfrm>
                    <a:prstGeom prst="rect"/>
                  </pic:spPr>
                </pic:pic>
              </a:graphicData>
            </a:graphic>
          </wp:inline>
        </w:drawing>
      </w:r>
    </w:p>
    <w:p>
      <w:pPr>
        <w:spacing w:after="120"/>
        <w:jc w:val="center"/>
      </w:pPr>
      <w:r>
        <w:rPr>
          <w:rFonts w:ascii="Arial" w:hAnsi="Arial"/>
          <w:b w:val="0"/>
          <w:i/>
          <w:color w:val="6B7280"/>
          <w:sz w:val="16"/>
        </w:rPr>
        <w:t>Figure 62  Financial statements and balances (part 15 of 17)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5217738"/>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6015990" cy="5217738"/>
                    </a:xfrm>
                    <a:prstGeom prst="rect"/>
                  </pic:spPr>
                </pic:pic>
              </a:graphicData>
            </a:graphic>
          </wp:inline>
        </w:drawing>
      </w:r>
    </w:p>
    <w:p>
      <w:pPr>
        <w:spacing w:after="120"/>
        <w:jc w:val="center"/>
      </w:pPr>
      <w:r>
        <w:rPr>
          <w:rFonts w:ascii="Arial" w:hAnsi="Arial"/>
          <w:b w:val="0"/>
          <w:i/>
          <w:color w:val="6B7280"/>
          <w:sz w:val="16"/>
        </w:rPr>
        <w:t>Figure 63  Financial statements and balances (part 16 of 17)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17)</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1600" cy="2115892"/>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6451600" cy="2115892"/>
                    </a:xfrm>
                    <a:prstGeom prst="rect"/>
                  </pic:spPr>
                </pic:pic>
              </a:graphicData>
            </a:graphic>
          </wp:inline>
        </w:drawing>
      </w:r>
    </w:p>
    <w:p>
      <w:pPr>
        <w:spacing w:after="120"/>
        <w:jc w:val="center"/>
      </w:pPr>
      <w:r>
        <w:rPr>
          <w:rFonts w:ascii="Arial" w:hAnsi="Arial"/>
          <w:b w:val="0"/>
          <w:i/>
          <w:color w:val="6B7280"/>
          <w:sz w:val="16"/>
        </w:rPr>
        <w:t>Figure 64  Financial statements and balances (part 17 of 17)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5" name="Picture 65"/>
            <wp:cNvGraphicFramePr>
              <a:graphicFrameLocks noChangeAspect="1"/>
            </wp:cNvGraphicFramePr>
            <a:graphic>
              <a:graphicData uri="http://schemas.openxmlformats.org/drawingml/2006/picture">
                <pic:pic>
                  <pic:nvPicPr>
                    <pic:cNvPr id="0" name="m6_wf_templates_1.png"/>
                    <pic:cNvPicPr/>
                  </pic:nvPicPr>
                  <pic:blipFill>
                    <a:blip r:embed="rId75"/>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65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6" name="Picture 66"/>
            <wp:cNvGraphicFramePr>
              <a:graphicFrameLocks noChangeAspect="1"/>
            </wp:cNvGraphicFramePr>
            <a:graphic>
              <a:graphicData uri="http://schemas.openxmlformats.org/drawingml/2006/picture">
                <pic:pic>
                  <pic:nvPicPr>
                    <pic:cNvPr id="0" name="m6_wf_templates_2.png"/>
                    <pic:cNvPicPr/>
                  </pic:nvPicPr>
                  <pic:blipFill>
                    <a:blip r:embed="rId76"/>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66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7" name="Picture 67"/>
            <wp:cNvGraphicFramePr>
              <a:graphicFrameLocks noChangeAspect="1"/>
            </wp:cNvGraphicFramePr>
            <a:graphic>
              <a:graphicData uri="http://schemas.openxmlformats.org/drawingml/2006/picture">
                <pic:pic>
                  <pic:nvPicPr>
                    <pic:cNvPr id="0" name="m6_wf_templates_3.png"/>
                    <pic:cNvPicPr/>
                  </pic:nvPicPr>
                  <pic:blipFill>
                    <a:blip r:embed="rId77"/>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67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68" name="Picture 68"/>
            <wp:cNvGraphicFramePr>
              <a:graphicFrameLocks noChangeAspect="1"/>
            </wp:cNvGraphicFramePr>
            <a:graphic>
              <a:graphicData uri="http://schemas.openxmlformats.org/drawingml/2006/picture">
                <pic:pic>
                  <pic:nvPicPr>
                    <pic:cNvPr id="0" name="m6_wf_templates_4.png"/>
                    <pic:cNvPicPr/>
                  </pic:nvPicPr>
                  <pic:blipFill>
                    <a:blip r:embed="rId78"/>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68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69" name="Picture 69"/>
            <wp:cNvGraphicFramePr>
              <a:graphicFrameLocks noChangeAspect="1"/>
            </wp:cNvGraphicFramePr>
            <a:graphic>
              <a:graphicData uri="http://schemas.openxmlformats.org/drawingml/2006/picture">
                <pic:pic>
                  <pic:nvPicPr>
                    <pic:cNvPr id="0" name="m6_requests_1.png"/>
                    <pic:cNvPicPr/>
                  </pic:nvPicPr>
                  <pic:blipFill>
                    <a:blip r:embed="rId79"/>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69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0" name="Picture 70"/>
            <wp:cNvGraphicFramePr>
              <a:graphicFrameLocks noChangeAspect="1"/>
            </wp:cNvGraphicFramePr>
            <a:graphic>
              <a:graphicData uri="http://schemas.openxmlformats.org/drawingml/2006/picture">
                <pic:pic>
                  <pic:nvPicPr>
                    <pic:cNvPr id="0" name="m6_requests_2.png"/>
                    <pic:cNvPicPr/>
                  </pic:nvPicPr>
                  <pic:blipFill>
                    <a:blip r:embed="rId80"/>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70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1" name="Picture 71"/>
            <wp:cNvGraphicFramePr>
              <a:graphicFrameLocks noChangeAspect="1"/>
            </wp:cNvGraphicFramePr>
            <a:graphic>
              <a:graphicData uri="http://schemas.openxmlformats.org/drawingml/2006/picture">
                <pic:pic>
                  <pic:nvPicPr>
                    <pic:cNvPr id="0" name="m6_requests_3.png"/>
                    <pic:cNvPicPr/>
                  </pic:nvPicPr>
                  <pic:blipFill>
                    <a:blip r:embed="rId81"/>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71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2" name="Picture 72"/>
            <wp:cNvGraphicFramePr>
              <a:graphicFrameLocks noChangeAspect="1"/>
            </wp:cNvGraphicFramePr>
            <a:graphic>
              <a:graphicData uri="http://schemas.openxmlformats.org/drawingml/2006/picture">
                <pic:pic>
                  <pic:nvPicPr>
                    <pic:cNvPr id="0" name="m6_requests_4.png"/>
                    <pic:cNvPicPr/>
                  </pic:nvPicPr>
                  <pic:blipFill>
                    <a:blip r:embed="rId8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72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3" name="Picture 73"/>
            <wp:cNvGraphicFramePr>
              <a:graphicFrameLocks noChangeAspect="1"/>
            </wp:cNvGraphicFramePr>
            <a:graphic>
              <a:graphicData uri="http://schemas.openxmlformats.org/drawingml/2006/picture">
                <pic:pic>
                  <pic:nvPicPr>
                    <pic:cNvPr id="0" name="m6_requests_5.png"/>
                    <pic:cNvPicPr/>
                  </pic:nvPicPr>
                  <pic:blipFill>
                    <a:blip r:embed="rId8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73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4" name="Picture 74"/>
            <wp:cNvGraphicFramePr>
              <a:graphicFrameLocks noChangeAspect="1"/>
            </wp:cNvGraphicFramePr>
            <a:graphic>
              <a:graphicData uri="http://schemas.openxmlformats.org/drawingml/2006/picture">
                <pic:pic>
                  <pic:nvPicPr>
                    <pic:cNvPr id="0" name="m6_requests_6.png"/>
                    <pic:cNvPicPr/>
                  </pic:nvPicPr>
                  <pic:blipFill>
                    <a:blip r:embed="rId8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74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5" name="Picture 75"/>
            <wp:cNvGraphicFramePr>
              <a:graphicFrameLocks noChangeAspect="1"/>
            </wp:cNvGraphicFramePr>
            <a:graphic>
              <a:graphicData uri="http://schemas.openxmlformats.org/drawingml/2006/picture">
                <pic:pic>
                  <pic:nvPicPr>
                    <pic:cNvPr id="0" name="m6_requests_7.png"/>
                    <pic:cNvPicPr/>
                  </pic:nvPicPr>
                  <pic:blipFill>
                    <a:blip r:embed="rId8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75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6" name="Picture 76"/>
            <wp:cNvGraphicFramePr>
              <a:graphicFrameLocks noChangeAspect="1"/>
            </wp:cNvGraphicFramePr>
            <a:graphic>
              <a:graphicData uri="http://schemas.openxmlformats.org/drawingml/2006/picture">
                <pic:pic>
                  <pic:nvPicPr>
                    <pic:cNvPr id="0" name="m6_notifications.png"/>
                    <pic:cNvPicPr/>
                  </pic:nvPicPr>
                  <pic:blipFill>
                    <a:blip r:embed="rId8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7" name="Picture 77"/>
            <wp:cNvGraphicFramePr>
              <a:graphicFrameLocks noChangeAspect="1"/>
            </wp:cNvGraphicFramePr>
            <a:graphic>
              <a:graphicData uri="http://schemas.openxmlformats.org/drawingml/2006/picture">
                <pic:pic>
                  <pic:nvPicPr>
                    <pic:cNvPr id="0" name="m7_8_lc_terms_1.png"/>
                    <pic:cNvPicPr/>
                  </pic:nvPicPr>
                  <pic:blipFill>
                    <a:blip r:embed="rId8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78" name="Picture 78"/>
            <wp:cNvGraphicFramePr>
              <a:graphicFrameLocks noChangeAspect="1"/>
            </wp:cNvGraphicFramePr>
            <a:graphic>
              <a:graphicData uri="http://schemas.openxmlformats.org/drawingml/2006/picture">
                <pic:pic>
                  <pic:nvPicPr>
                    <pic:cNvPr id="0" name="m7_8_lc_terms_2.png"/>
                    <pic:cNvPicPr/>
                  </pic:nvPicPr>
                  <pic:blipFill>
                    <a:blip r:embed="rId8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78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79" name="Picture 79"/>
            <wp:cNvGraphicFramePr>
              <a:graphicFrameLocks noChangeAspect="1"/>
            </wp:cNvGraphicFramePr>
            <a:graphic>
              <a:graphicData uri="http://schemas.openxmlformats.org/drawingml/2006/picture">
                <pic:pic>
                  <pic:nvPicPr>
                    <pic:cNvPr id="0" name="m7_8_lc_terms_3.png"/>
                    <pic:cNvPicPr/>
                  </pic:nvPicPr>
                  <pic:blipFill>
                    <a:blip r:embed="rId8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0" name="Picture 80"/>
            <wp:cNvGraphicFramePr>
              <a:graphicFrameLocks noChangeAspect="1"/>
            </wp:cNvGraphicFramePr>
            <a:graphic>
              <a:graphicData uri="http://schemas.openxmlformats.org/drawingml/2006/picture">
                <pic:pic>
                  <pic:nvPicPr>
                    <pic:cNvPr id="0" name="m7_8_lc_terms_4.png"/>
                    <pic:cNvPicPr/>
                  </pic:nvPicPr>
                  <pic:blipFill>
                    <a:blip r:embed="rId9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1" name="Picture 81"/>
            <wp:cNvGraphicFramePr>
              <a:graphicFrameLocks noChangeAspect="1"/>
            </wp:cNvGraphicFramePr>
            <a:graphic>
              <a:graphicData uri="http://schemas.openxmlformats.org/drawingml/2006/picture">
                <pic:pic>
                  <pic:nvPicPr>
                    <pic:cNvPr id="0" name="m7_8_lc_terms_5.png"/>
                    <pic:cNvPicPr/>
                  </pic:nvPicPr>
                  <pic:blipFill>
                    <a:blip r:embed="rId9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2" name="Picture 82"/>
            <wp:cNvGraphicFramePr>
              <a:graphicFrameLocks noChangeAspect="1"/>
            </wp:cNvGraphicFramePr>
            <a:graphic>
              <a:graphicData uri="http://schemas.openxmlformats.org/drawingml/2006/picture">
                <pic:pic>
                  <pic:nvPicPr>
                    <pic:cNvPr id="0" name="m7_8_lc_ops_1.png"/>
                    <pic:cNvPicPr/>
                  </pic:nvPicPr>
                  <pic:blipFill>
                    <a:blip r:embed="rId92"/>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3" name="Picture 83"/>
            <wp:cNvGraphicFramePr>
              <a:graphicFrameLocks noChangeAspect="1"/>
            </wp:cNvGraphicFramePr>
            <a:graphic>
              <a:graphicData uri="http://schemas.openxmlformats.org/drawingml/2006/picture">
                <pic:pic>
                  <pic:nvPicPr>
                    <pic:cNvPr id="0" name="m7_8_lc_ops_2.png"/>
                    <pic:cNvPicPr/>
                  </pic:nvPicPr>
                  <pic:blipFill>
                    <a:blip r:embed="rId93"/>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4" name="Picture 84"/>
            <wp:cNvGraphicFramePr>
              <a:graphicFrameLocks noChangeAspect="1"/>
            </wp:cNvGraphicFramePr>
            <a:graphic>
              <a:graphicData uri="http://schemas.openxmlformats.org/drawingml/2006/picture">
                <pic:pic>
                  <pic:nvPicPr>
                    <pic:cNvPr id="0" name="m7_8_lc_ops_3.png"/>
                    <pic:cNvPicPr/>
                  </pic:nvPicPr>
                  <pic:blipFill>
                    <a:blip r:embed="rId9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5" name="Picture 85"/>
            <wp:cNvGraphicFramePr>
              <a:graphicFrameLocks noChangeAspect="1"/>
            </wp:cNvGraphicFramePr>
            <a:graphic>
              <a:graphicData uri="http://schemas.openxmlformats.org/drawingml/2006/picture">
                <pic:pic>
                  <pic:nvPicPr>
                    <pic:cNvPr id="0" name="m7_8_lc_ops_4.png"/>
                    <pic:cNvPicPr/>
                  </pic:nvPicPr>
                  <pic:blipFill>
                    <a:blip r:embed="rId95"/>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85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6" name="Picture 86"/>
            <wp:cNvGraphicFramePr>
              <a:graphicFrameLocks noChangeAspect="1"/>
            </wp:cNvGraphicFramePr>
            <a:graphic>
              <a:graphicData uri="http://schemas.openxmlformats.org/drawingml/2006/picture">
                <pic:pic>
                  <pic:nvPicPr>
                    <pic:cNvPr id="0" name="m7_8_lc_ops_5.png"/>
                    <pic:cNvPicPr/>
                  </pic:nvPicPr>
                  <pic:blipFill>
                    <a:blip r:embed="rId9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7" name="Picture 87"/>
            <wp:cNvGraphicFramePr>
              <a:graphicFrameLocks noChangeAspect="1"/>
            </wp:cNvGraphicFramePr>
            <a:graphic>
              <a:graphicData uri="http://schemas.openxmlformats.org/drawingml/2006/picture">
                <pic:pic>
                  <pic:nvPicPr>
                    <pic:cNvPr id="0" name="m7_8_lc_ops_6.png"/>
                    <pic:cNvPicPr/>
                  </pic:nvPicPr>
                  <pic:blipFill>
                    <a:blip r:embed="rId9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88" name="Picture 88"/>
            <wp:cNvGraphicFramePr>
              <a:graphicFrameLocks noChangeAspect="1"/>
            </wp:cNvGraphicFramePr>
            <a:graphic>
              <a:graphicData uri="http://schemas.openxmlformats.org/drawingml/2006/picture">
                <pic:pic>
                  <pic:nvPicPr>
                    <pic:cNvPr id="0" name="m7_8_lc_ops_7.png"/>
                    <pic:cNvPicPr/>
                  </pic:nvPicPr>
                  <pic:blipFill>
                    <a:blip r:embed="rId98"/>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88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89" name="Picture 89"/>
            <wp:cNvGraphicFramePr>
              <a:graphicFrameLocks noChangeAspect="1"/>
            </wp:cNvGraphicFramePr>
            <a:graphic>
              <a:graphicData uri="http://schemas.openxmlformats.org/drawingml/2006/picture">
                <pic:pic>
                  <pic:nvPicPr>
                    <pic:cNvPr id="0" name="m7_8_lc_ops_8.png"/>
                    <pic:cNvPicPr/>
                  </pic:nvPicPr>
                  <pic:blipFill>
                    <a:blip r:embed="rId9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89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0" name="Picture 90"/>
            <wp:cNvGraphicFramePr>
              <a:graphicFrameLocks noChangeAspect="1"/>
            </wp:cNvGraphicFramePr>
            <a:graphic>
              <a:graphicData uri="http://schemas.openxmlformats.org/drawingml/2006/picture">
                <pic:pic>
                  <pic:nvPicPr>
                    <pic:cNvPr id="0" name="m7_8_lc_ops_9.png"/>
                    <pic:cNvPicPr/>
                  </pic:nvPicPr>
                  <pic:blipFill>
                    <a:blip r:embed="rId10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fin.CompanyProductLine</w:t>
            </w:r>
          </w:p>
        </w:tc>
        <w:tc>
          <w:tcPr>
            <w:tcW w:type="dxa" w:w="10205"/>
            <w:shd w:val="clear" w:color="auto" w:fill="E8EEF6"/>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fin.ConsolidationMember</w:t>
            </w:r>
          </w:p>
        </w:tc>
        <w:tc>
          <w:tcPr>
            <w:tcW w:type="dxa" w:w="10205"/>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fin.CountryRegion</w:t>
            </w:r>
          </w:p>
        </w:tc>
        <w:tc>
          <w:tcPr>
            <w:tcW w:type="dxa" w:w="10205"/>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fin.CountryRiskProfile</w:t>
            </w:r>
          </w:p>
        </w:tc>
        <w:tc>
          <w:tcPr>
            <w:tcW w:type="dxa" w:w="10205"/>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fin.CreditAssessment</w:t>
            </w:r>
          </w:p>
        </w:tc>
        <w:tc>
          <w:tcPr>
            <w:tcW w:type="dxa" w:w="10205"/>
            <w:shd w:val="clear" w:color="auto" w:fill="E8EEF6"/>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fin.CreditAssessmentBureau</w:t>
            </w:r>
          </w:p>
        </w:tc>
        <w:tc>
          <w:tcPr>
            <w:tcW w:type="dxa" w:w="10205"/>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tcPr>
          <w:p>
            <w:pPr>
              <w:spacing w:after="0" w:before="0"/>
            </w:pPr>
            <w:r/>
            <w:r>
              <w:rPr>
                <w:rFonts w:ascii="Arial" w:hAnsi="Arial"/>
                <w:b w:val="0"/>
                <w:sz w:val="15"/>
              </w:rPr>
              <w:t>m5_financials_6</w:t>
            </w:r>
          </w:p>
        </w:tc>
      </w:tr>
      <w:tr>
        <w:trPr>
          <w:cantSplit w:val="true"/>
        </w:trPr>
        <w:tc>
          <w:tcPr>
            <w:tcW w:type="dxa" w:w="3515"/>
            <w:shd w:val="clear" w:color="auto" w:fill="E8EEF6"/>
          </w:tcPr>
          <w:p>
            <w:pPr>
              <w:spacing w:after="0" w:before="0"/>
            </w:pPr>
            <w:r/>
            <w:r>
              <w:rPr>
                <w:rFonts w:ascii="Arial" w:hAnsi="Arial"/>
                <w:b w:val="0"/>
                <w:sz w:val="15"/>
              </w:rPr>
              <w:t>fin.CreditAssessmentFacility</w:t>
            </w:r>
          </w:p>
        </w:tc>
        <w:tc>
          <w:tcPr>
            <w:tcW w:type="dxa" w:w="10205"/>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fin.CreditAssessmentFactor</w:t>
            </w:r>
          </w:p>
        </w:tc>
        <w:tc>
          <w:tcPr>
            <w:tcW w:type="dxa" w:w="10205"/>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fin.CreditAssessmentFinding</w:t>
            </w:r>
          </w:p>
        </w:tc>
        <w:tc>
          <w:tcPr>
            <w:tcW w:type="dxa" w:w="10205"/>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fin.CreditAssessmentGuarantor</w:t>
            </w:r>
          </w:p>
        </w:tc>
        <w:tc>
          <w:tcPr>
            <w:tcW w:type="dxa" w:w="10205"/>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fin.CreditAssessmentInput</w:t>
            </w:r>
          </w:p>
        </w:tc>
        <w:tc>
          <w:tcPr>
            <w:tcW w:type="dxa" w:w="10205"/>
            <w:shd w:val="clear" w:color="auto" w:fill="E8EEF6"/>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fin.CreditAssessmentPlan</w:t>
            </w:r>
          </w:p>
        </w:tc>
        <w:tc>
          <w:tcPr>
            <w:tcW w:type="dxa" w:w="10205"/>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fin.CreditAssessmentPlanStep</w:t>
            </w:r>
          </w:p>
        </w:tc>
        <w:tc>
          <w:tcPr>
            <w:tcW w:type="dxa" w:w="10205"/>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fin.CreditAssessmentReclass</w:t>
            </w:r>
          </w:p>
        </w:tc>
        <w:tc>
          <w:tcPr>
            <w:tcW w:type="dxa" w:w="10205"/>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fin.CreditAssessmentRemedy</w:t>
            </w:r>
          </w:p>
        </w:tc>
        <w:tc>
          <w:tcPr>
            <w:tcW w:type="dxa" w:w="10205"/>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fin.CreditAssessmentScenario</w:t>
            </w:r>
          </w:p>
        </w:tc>
        <w:tc>
          <w:tcPr>
            <w:tcW w:type="dxa" w:w="10205"/>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fin.CreditAssessmentTrigger</w:t>
            </w:r>
          </w:p>
        </w:tc>
        <w:tc>
          <w:tcPr>
            <w:tcW w:type="dxa" w:w="10205"/>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fin.CreditMetric</w:t>
            </w:r>
          </w:p>
        </w:tc>
        <w:tc>
          <w:tcPr>
            <w:tcW w:type="dxa" w:w="10205"/>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fin.CreditRemedy</w:t>
            </w:r>
          </w:p>
        </w:tc>
        <w:tc>
          <w:tcPr>
            <w:tcW w:type="dxa" w:w="10205"/>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fin.CreditRemedyStep</w:t>
            </w:r>
          </w:p>
        </w:tc>
        <w:tc>
          <w:tcPr>
            <w:tcW w:type="dxa" w:w="10205"/>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fin.CreditRemedyTrigger</w:t>
            </w:r>
          </w:p>
        </w:tc>
        <w:tc>
          <w:tcPr>
            <w:tcW w:type="dxa" w:w="10205"/>
            <w:shd w:val="clear" w:color="auto" w:fill="E8EEF6"/>
          </w:tcPr>
          <w:p>
            <w:pPr>
              <w:spacing w:after="0" w:before="0"/>
            </w:pPr>
            <w:r/>
            <w:r>
              <w:rPr>
                <w:rFonts w:ascii="Arial" w:hAnsi="Arial"/>
                <w:b w:val="0"/>
                <w:sz w:val="15"/>
              </w:rPr>
              <w:t>A finding a remedy answers: a metric or an adjustment code</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fin.CreditText</w:t>
            </w:r>
          </w:p>
        </w:tc>
        <w:tc>
          <w:tcPr>
            <w:tcW w:type="dxa" w:w="10205"/>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fin.IndustryProfile</w:t>
            </w:r>
          </w:p>
        </w:tc>
        <w:tc>
          <w:tcPr>
            <w:tcW w:type="dxa" w:w="10205"/>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fin.IndustrySensitivity</w:t>
            </w:r>
          </w:p>
        </w:tc>
        <w:tc>
          <w:tcPr>
            <w:tcW w:type="dxa" w:w="10205"/>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fin.MacroScenario</w:t>
            </w:r>
          </w:p>
        </w:tc>
        <w:tc>
          <w:tcPr>
            <w:tcW w:type="dxa" w:w="10205"/>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fin.MacroScenarioCountry</w:t>
            </w:r>
          </w:p>
        </w:tc>
        <w:tc>
          <w:tcPr>
            <w:tcW w:type="dxa" w:w="10205"/>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fin.MacroScenarioIntensity</w:t>
            </w:r>
          </w:p>
        </w:tc>
        <w:tc>
          <w:tcPr>
            <w:tcW w:type="dxa" w:w="10205"/>
          </w:tcPr>
          <w:p>
            <w:pPr>
              <w:spacing w:after="0" w:before="0"/>
            </w:pPr>
            <w:r/>
            <w:r>
              <w:rPr>
                <w:rFonts w:ascii="Arial" w:hAnsi="Arial"/>
                <w:b w:val="0"/>
                <w:sz w:val="15"/>
              </w:rPr>
              <w:t>The intensity 0 to 1 of a driver in a macro scenario (docs/35 section 14)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fin.ProductCategory</w:t>
            </w:r>
          </w:p>
        </w:tc>
        <w:tc>
          <w:tcPr>
            <w:tcW w:type="dxa" w:w="10205"/>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fin.RatingGrade</w:t>
            </w:r>
          </w:p>
        </w:tc>
        <w:tc>
          <w:tcPr>
            <w:tcW w:type="dxa" w:w="10205"/>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fin.RevenueEstimate</w:t>
            </w:r>
          </w:p>
        </w:tc>
        <w:tc>
          <w:tcPr>
            <w:tcW w:type="dxa" w:w="10205"/>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fin.RiskAnchor</w:t>
            </w:r>
          </w:p>
        </w:tc>
        <w:tc>
          <w:tcPr>
            <w:tcW w:type="dxa" w:w="10205"/>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fin.Scorecard</w:t>
            </w:r>
          </w:p>
        </w:tc>
        <w:tc>
          <w:tcPr>
            <w:tcW w:type="dxa" w:w="10205"/>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fin.ScorecardAdjustment</w:t>
            </w:r>
          </w:p>
        </w:tc>
        <w:tc>
          <w:tcPr>
            <w:tcW w:type="dxa" w:w="10205"/>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fin.ScorecardItemRule</w:t>
            </w:r>
          </w:p>
        </w:tc>
        <w:tc>
          <w:tcPr>
            <w:tcW w:type="dxa" w:w="10205"/>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fin.ScorecardMetric</w:t>
            </w:r>
          </w:p>
        </w:tc>
        <w:tc>
          <w:tcPr>
            <w:tcW w:type="dxa" w:w="10205"/>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fin.ScorecardParameter</w:t>
            </w:r>
          </w:p>
        </w:tc>
        <w:tc>
          <w:tcPr>
            <w:tcW w:type="dxa" w:w="10205"/>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fin.ScorecardSubfactor</w:t>
            </w:r>
          </w:p>
        </w:tc>
        <w:tc>
          <w:tcPr>
            <w:tcW w:type="dxa" w:w="10205"/>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fin.ShockDriver</w:t>
            </w:r>
          </w:p>
        </w:tc>
        <w:tc>
          <w:tcPr>
            <w:tcW w:type="dxa" w:w="10205"/>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fin.StandardLine</w:t>
            </w:r>
          </w:p>
        </w:tc>
        <w:tc>
          <w:tcPr>
            <w:tcW w:type="dxa" w:w="10205"/>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fin.StandardLineTotal</w:t>
            </w:r>
          </w:p>
        </w:tc>
        <w:tc>
          <w:tcPr>
            <w:tcW w:type="dxa" w:w="10205"/>
          </w:tcPr>
          <w:p>
            <w:pPr>
              <w:spacing w:after="0" w:before="0"/>
            </w:pPr>
            <w:r/>
            <w:r>
              <w:rPr>
                <w:rFonts w:ascii="Arial" w:hAnsi="Arial"/>
                <w:b w:val="0"/>
                <w:sz w:val="15"/>
              </w:rPr>
              <w:t>The components of a standard total and their sign, so a total is recomputed after a pro-forma change (docs/35 section 12)</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fin.StatementRatio</w:t>
            </w:r>
          </w:p>
        </w:tc>
        <w:tc>
          <w:tcPr>
            <w:tcW w:type="dxa" w:w="10205"/>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fin.StrengtheningPlan</w:t>
            </w:r>
          </w:p>
        </w:tc>
        <w:tc>
          <w:tcPr>
            <w:tcW w:type="dxa" w:w="10205"/>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fin.StrengtheningPlanMember</w:t>
            </w:r>
          </w:p>
        </w:tc>
        <w:tc>
          <w:tcPr>
            <w:tcW w:type="dxa" w:w="10205"/>
          </w:tcPr>
          <w:p>
            <w:pPr>
              <w:spacing w:after="0" w:before="0"/>
            </w:pPr>
            <w:r/>
            <w:r>
              <w:rPr>
                <w:rFonts w:ascii="Arial" w:hAnsi="Arial"/>
                <w:b w:val="0"/>
                <w:sz w:val="15"/>
              </w:rPr>
              <w:t>A remedy of a package plan, in the order the plan applies it</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obl.CovenantTestStatement</w:t>
            </w:r>
          </w:p>
        </w:tc>
        <w:tc>
          <w:tcPr>
            <w:tcW w:type="dxa" w:w="10205"/>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ref.Industry</w:t>
            </w:r>
          </w:p>
        </w:tc>
        <w:tc>
          <w:tcPr>
            <w:tcW w:type="dxa" w:w="10205"/>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894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203</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691</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616</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642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785</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