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195 tables · 20 schemas · 764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195 tables in 20 schemas; 764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39</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2439353"/>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2439353"/>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Open decision. The analysis document does not name the algorithm.</w:t>
            </w:r>
          </w:p>
        </w:tc>
        <w:tc>
          <w:tcPr>
            <w:tcW w:type="dxa" w:w="2721"/>
          </w:tcPr>
          <w:p>
            <w:pPr>
              <w:spacing w:after="0" w:before="0"/>
            </w:pPr>
            <w:r/>
            <w:r>
              <w:rPr>
                <w:rFonts w:ascii="Arial" w:hAnsi="Arial"/>
                <w:b w:val="0"/>
                <w:sz w:val="15"/>
              </w:rPr>
              <w:t>Record the algorithm and parameters in the security section of the analysis document.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(194 tables, 20 schemas, 763 foreign keys, 515 unique constraints, 1,158 CHECK constraints, 700 indexes). A CI gate runs the same steps on every change to db/, tools/dbgen/ or tools/ci/ (tools/ci/db_ci.sh, .github/workflows/db-ci.yml). The gate has passed locally; its first run on GitHub is pending. Not yet run on the production server.</w:t>
            </w:r>
          </w:p>
        </w:tc>
        <w:tc>
          <w:tcPr>
            <w:tcW w:type="dxa" w:w="2721"/>
            <w:shd w:val="clear" w:color="auto" w:fill="E8EEF6"/>
          </w:tcPr>
          <w:p>
            <w:pPr>
              <w:spacing w:after="0" w:before="0"/>
            </w:pPr>
            <w:r/>
            <w:r>
              <w:rPr>
                <w:rFonts w:ascii="Arial" w:hAnsi="Arial"/>
                <w:b w:val="0"/>
                <w:sz w:val="15"/>
              </w:rPr>
              <w:t>Check the first GitHub run in the Actions tab, then run db/deploy.sql on the target Windows server.</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Add the test script to CI. Decide the behaviour for a lender change after approval, which the trigger currently rejects.</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24 cases as the application role and the reporting role (cross-tenant reads, inserts, updates and deletes, global rows, the audit log, the context procedure,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The row filters (rls.fn_Bound, db/static/010_rls.sql) show a row only when the connection binding in sec.SessionBinding names the same tenant and its token matches SESSION_CONTEXT(N'BindingToken'). Only sec.usp_SetSessionContext writes the binding (db/static/030_session_context.sql). Tests T16, T16b and T16c in db/tests/tenant_isolation_tests.sql cover a direct context change, the binding table, and a wrong or missing token.</w:t>
            </w:r>
          </w:p>
        </w:tc>
        <w:tc>
          <w:tcPr>
            <w:tcW w:type="dxa" w:w="2721"/>
            <w:shd w:val="clear" w:color="auto" w:fill="E8EEF6"/>
          </w:tcPr>
          <w:p>
            <w:pPr>
              <w:spacing w:after="0" w:before="0"/>
            </w:pPr>
            <w:r/>
            <w:r>
              <w:rPr>
                <w:rFonts w:ascii="Arial" w:hAnsi="Arial"/>
                <w:b w:val="0"/>
                <w:sz w:val="15"/>
              </w:rPr>
              <w:t>None for the context itself. The residual risk is recorded as O-17.</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w:t>
            </w:r>
          </w:p>
        </w:tc>
        <w:tc>
          <w:tcPr>
            <w:tcW w:type="dxa" w:w="4252"/>
          </w:tcPr>
          <w:p>
            <w:pPr>
              <w:spacing w:after="0" w:before="0"/>
            </w:pPr>
            <w:r/>
            <w:r>
              <w:rPr>
                <w:rFonts w:ascii="Arial" w:hAnsi="Arial"/>
                <w:b w:val="0"/>
                <w:sz w:val="15"/>
              </w:rPr>
              <w:t>sec.usp_SetSessionContext trusts the user id that the application passes. A compromised application connection can bind to any tenant whose active user id it knows, and user ids are sequential.</w:t>
            </w:r>
          </w:p>
        </w:tc>
        <w:tc>
          <w:tcPr>
            <w:tcW w:type="dxa" w:w="4819"/>
          </w:tcPr>
          <w:p>
            <w:pPr>
              <w:spacing w:after="0" w:before="0"/>
            </w:pPr>
            <w:r/>
            <w:r>
              <w:rPr>
                <w:rFonts w:ascii="Arial" w:hAnsi="Arial"/>
                <w:b w:val="0"/>
                <w:sz w:val="15"/>
              </w:rPr>
              <w:t>Open decision. The binding (O-16) stops a forged context, but not a call to the procedure with another user's id.</w:t>
            </w:r>
          </w:p>
        </w:tc>
        <w:tc>
          <w:tcPr>
            <w:tcW w:type="dxa" w:w="2721"/>
          </w:tcPr>
          <w:p>
            <w:pPr>
              <w:spacing w:after="0" w:before="0"/>
            </w:pPr>
            <w:r/>
            <w:r>
              <w:rPr>
                <w:rFonts w:ascii="Arial" w:hAnsi="Arial"/>
                <w:b w:val="0"/>
                <w:sz w:val="15"/>
              </w:rPr>
              <w:t>Decide whether the procedure verifies a server-side session token instead of the caller's user id (sec.UserSession.TokenHash is already in the model). Recommended. Then add a test that a wrong token is refused.</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or password-reset token (30 minutes) (FR-PLT-013)</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764</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580</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505</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