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2.5 (Continuous location, Nearby proximity and segment fares in shuttle transport 7.13)</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Eight main phases and two extensions (intermediary platforms, rail)</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and car rental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16.25)</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Redis (seat locking), a trip search engine, file storage, a Message Queue for events</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Redis primarily + a database copy for audit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in Redis</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visa, residence, or either</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w:t>
      </w:r>
      <w:r>
        <w:rPr>
          <w:rFonts w:ascii="Arial" w:cs="Arial" w:eastAsia="Arial" w:hAnsi="Arial"/>
          <w:b/>
          <w:bCs/>
          <w:sz w:val="22"/>
          <w:szCs w:val="22"/>
        </w:rPr>
        <w:t xml:space="preserve">versions</w:t>
      </w:r>
      <w:r>
        <w:rPr>
          <w:rFonts w:ascii="Arial" w:cs="Arial" w:eastAsia="Arial" w:hAnsi="Arial"/>
          <w:sz w:val="22"/>
          <w:szCs w:val="22"/>
        </w:rPr>
        <w:t xml:space="preserve"> proposed by one officer and approved by another.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w:t>
      </w:r>
      <w:r>
        <w:rPr>
          <w:rFonts w:ascii="Arial" w:cs="Arial" w:eastAsia="Arial" w:hAnsi="Arial"/>
          <w:sz w:val="22"/>
          <w:szCs w:val="22"/>
        </w:rPr>
        <w:t xml:space="preserve"> expiry date. </w:t>
      </w:r>
      <w:r>
        <w:rPr>
          <w:rFonts w:ascii="Arial" w:cs="Arial" w:eastAsia="Arial" w:hAnsi="Arial"/>
          <w:b/>
          <w:bCs/>
          <w:sz w:val="22"/>
          <w:szCs w:val="22"/>
        </w:rPr>
        <w:t xml:space="preserve">ID or residence:</w:t>
      </w:r>
      <w:r>
        <w:rPr>
          <w:rFonts w:ascii="Arial" w:cs="Arial" w:eastAsia="Arial" w:hAnsi="Arial"/>
          <w:sz w:val="22"/>
          <w:szCs w:val="22"/>
        </w:rPr>
        <w:t xml:space="preserve"> document number and type.</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dest_country, nationality, doc_required, security_approval, passport_min_days, enforcement (BLOCK/ALLOW_PENDING),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dest_country,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spacing w:after="80"/>
      </w:pP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(Redis Lua/lock row),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connection pooling (PgBouncer), date partitioning of large tables, considered indexes, read replicas, archiving, and separation of the financial ledger database from the operational database starting in the growth phase.</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database (separate)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(seat locks and caching)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instead of seats, </w:t>
            </w:r>
            <w:r>
              <w:rPr>
                <w:rFonts w:ascii="Arial" w:cs="Arial" w:eastAsia="Arial" w:hAnsi="Arial"/>
                <w:b/>
                <w:bCs/>
                <w:sz w:val="19"/>
                <w:szCs w:val="19"/>
              </w:rPr>
              <w:t xml:space="preserve">the approved line catalog, regulated tariff, line licenses and route compliance (4.15)</w:t>
            </w:r>
            <w:r>
              <w:rPr>
                <w:rFonts w:ascii="Arial" w:cs="Arial" w:eastAsia="Arial" w:hAnsi="Arial"/>
                <w:b w:val="false"/>
                <w:bCs w:val="false"/>
                <w:sz w:val="19"/>
                <w:szCs w:val="19"/>
              </w:rPr>
              <w:t xml:space="preserve">,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independent devices (a second source), improving driver-app tracking, and station gates and displays + notifying authorities of vehicles with expired licenses operating outside the platform (4.18 f)</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1"/>
      </w:pPr>
      <w:r>
        <w:rPr>
          <w:rFonts w:ascii="Arial" w:cs="Arial" w:eastAsia="Arial" w:hAnsi="Arial"/>
        </w:rPr>
        <w:t xml:space="preserve">23. Risks and Required Decisions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a passport or residence card; the national ID is not sufficient.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passport or residence card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2.5)</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