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تصميم قاعدة البيانات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4"/>
        <w:gridCol w:w="8250"/>
      </w:tblGrid>
      <w:tr>
        <w:trPr>
          <w:cantSplit/>
          <w:tblHeader/>
        </w:trPr>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0.3)</w:t>
            </w:r>
            <w:r>
              <w:rPr>
                <w:rFonts w:ascii="Arial" w:cs="Arial" w:eastAsia="Arial" w:hAnsi="Arial"/>
                <w:b w:val="false"/>
                <w:bCs w:val="false"/>
                <w:sz w:val="18"/>
                <w:szCs w:val="18"/>
                <w:rtl/>
              </w:rPr>
              <w:t xml:space="preserve"> — التصميم مكتمل لكل وحدات </w:t>
            </w: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مع وحدة القوائم المالية (ADR 0016) والتقييم الائتماني على سلّم موديز (ADR 0017، ونسختاه 2.0 و2.1: ADR 0018 و0019) وإصلاحات المراجعة الذاتية (ADR 0015)؛ نُشر على SQL Server 2025 في بيئة التطوير ويمر CI كاملًا (انظر §14)؛ لم يُنشر على خادم الإنتاج بعد</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(TMP) — قاعدة البيانات </w:t>
            </w:r>
            <w:r>
              <w:rPr>
                <w:rFonts w:ascii="Courier New" w:cs="Courier New" w:eastAsia="Courier New" w:hAnsi="Courier New"/>
                <w:b w:val="false"/>
                <w:bCs w:val="false"/>
                <w:color w:val="1F2937"/>
                <w:sz w:val="16"/>
                <w:szCs w:val="16"/>
                <w:shd w:fill="F1F3F5" w:color="auto" w:val="clear"/>
                <w:rtl/>
              </w:rPr>
              <w:t xml:space="preserve">‎BankFas‎</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(آخر إصدار؛ قاعدة سياسة الإصدارات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§13)</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الهندسي</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(255 جدولًا، §1) — </w:t>
            </w:r>
            <w:r>
              <w:rPr>
                <w:rFonts w:ascii="Arial" w:cs="Arial" w:eastAsia="Arial" w:hAnsi="Arial"/>
                <w:b/>
                <w:bCs/>
                <w:sz w:val="18"/>
                <w:szCs w:val="18"/>
                <w:rtl/>
              </w:rPr>
              <w:t xml:space="preserve">الملفات المولَّدة لا تُعدَّل يدويًا</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المخرجات</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w:t>
            </w:r>
            <w:r>
              <w:rPr>
                <w:rFonts w:ascii="Arial" w:cs="Arial" w:eastAsia="Arial" w:hAnsi="Arial"/>
                <w:b w:val="false"/>
                <w:bCs w:val="false"/>
                <w:sz w:val="18"/>
                <w:szCs w:val="18"/>
                <w:rtl/>
              </w:rPr>
              <w:t xml:space="preserve"> (SQL Server) · </w:t>
            </w:r>
            <w:r>
              <w:rPr>
                <w:rFonts w:ascii="Courier New" w:cs="Courier New" w:eastAsia="Courier New" w:hAnsi="Courier New"/>
                <w:b w:val="false"/>
                <w:bCs w:val="false"/>
                <w:color w:val="1F2937"/>
                <w:sz w:val="16"/>
                <w:szCs w:val="16"/>
                <w:shd w:fill="F1F3F5" w:color="auto" w:val="clear"/>
                <w:rtl/>
              </w:rPr>
              <w:t xml:space="preserve">‎db/static/*‎</w:t>
            </w:r>
            <w:r>
              <w:rPr>
                <w:rFonts w:ascii="Arial" w:cs="Arial" w:eastAsia="Arial" w:hAnsi="Arial"/>
                <w:b w:val="false"/>
                <w:bCs w:val="false"/>
                <w:sz w:val="18"/>
                <w:szCs w:val="18"/>
                <w:rtl/>
              </w:rPr>
              <w:t xml:space="preserve"> (الأدوار والـRLS والجلسة والعروض والحراس) ·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(التحقق الثابت للصلاحيات) ·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(أرقام هذه الوثيقة)</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المتطلبات</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490 متطلبًا وظيفيًا في </w:t>
            </w:r>
            <w:r>
              <w:rPr>
                <w:rFonts w:ascii="Courier New" w:cs="Courier New" w:eastAsia="Courier New" w:hAnsi="Courier New"/>
                <w:b w:val="false"/>
                <w:bCs w:val="false"/>
                <w:color w:val="1F2937"/>
                <w:sz w:val="16"/>
                <w:szCs w:val="16"/>
                <w:shd w:fill="F1F3F5" w:color="auto" w:val="clear"/>
                <w:rtl/>
              </w:rPr>
              <w:t xml:space="preserve">‎10-detailed-analysis/10…14‎</w:t>
            </w:r>
            <w:r>
              <w:rPr>
                <w:rFonts w:ascii="Arial" w:cs="Arial" w:eastAsia="Arial" w:hAnsi="Arial"/>
                <w:b w:val="false"/>
                <w:bCs w:val="false"/>
                <w:sz w:val="18"/>
                <w:szCs w:val="18"/>
                <w:rtl/>
              </w:rPr>
              <w:t xml:space="preserve"> (فهرس: </w:t>
            </w:r>
            <w:r>
              <w:rPr>
                <w:rFonts w:ascii="Courier New" w:cs="Courier New" w:eastAsia="Courier New" w:hAnsi="Courier New"/>
                <w:b w:val="false"/>
                <w:bCs w:val="false"/>
                <w:color w:val="1F2937"/>
                <w:sz w:val="16"/>
                <w:szCs w:val="16"/>
                <w:shd w:fill="F1F3F5" w:color="auto" w:val="clear"/>
                <w:rtl/>
              </w:rPr>
              <w:t xml:space="preserve">‎10-detailed-analysis/91-requirements-index.md‎</w:t>
            </w:r>
            <w:r>
              <w:rPr>
                <w:rFonts w:ascii="Arial" w:cs="Arial" w:eastAsia="Arial" w:hAnsi="Arial"/>
                <w:b w:val="false"/>
                <w:bCs w:val="false"/>
                <w:sz w:val="18"/>
                <w:szCs w:val="18"/>
                <w:rtl/>
              </w:rPr>
              <w:t xml:space="preserve">)</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(الإصداران 0.2 و0.3)</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5">
        <w:r>
          <w:rPr>
            <w:rFonts w:ascii="Arial" w:cs="Arial" w:eastAsia="Arial" w:hAnsi="Arial"/>
            <w:b/>
            <w:bCs/>
            <w:color w:val="1F3A5F"/>
            <w:sz w:val="20"/>
            <w:szCs w:val="20"/>
            <w:rtl/>
          </w:rPr>
          <w:t xml:space="preserve">8. الفهرسة</w:t>
        </w:r>
      </w:hyperlink>
    </w:p>
    <w:p>
      <w:pPr>
        <w:bidi/>
        <w:spacing w:after="50" w:before="0"/>
        <w:ind w:left="0"/>
      </w:pPr>
      <w:hyperlink w:history="1" w:anchor="_sec26">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1">
        <w:r>
          <w:rPr>
            <w:rFonts w:ascii="Arial" w:cs="Arial" w:eastAsia="Arial" w:hAnsi="Arial"/>
            <w:b/>
            <w:bCs/>
            <w:color w:val="1F3A5F"/>
            <w:sz w:val="20"/>
            <w:szCs w:val="20"/>
            <w:rtl/>
          </w:rPr>
          <w:t xml:space="preserve">10. خريطة المخططات والجداول</w:t>
        </w:r>
      </w:hyperlink>
    </w:p>
    <w:p>
      <w:pPr>
        <w:bidi/>
        <w:spacing w:after="50" w:before="0"/>
        <w:ind w:left="0"/>
      </w:pPr>
      <w:hyperlink w:history="1" w:anchor="_sec46">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52">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57">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58">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59">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60">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61">
        <w:r>
          <w:rPr>
            <w:rFonts w:ascii="Arial" w:cs="Arial" w:eastAsia="Arial" w:hAnsi="Arial"/>
            <w:b/>
            <w:bCs/>
            <w:color w:val="1F3A5F"/>
            <w:sz w:val="20"/>
            <w:szCs w:val="20"/>
            <w:rtl/>
          </w:rPr>
          <w:t xml:space="preserve">17. الخطوة التالية</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(الإصداران 0.2 و0.3)</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والإصدار 0.3 (2026-10-18) بعد المراجعة الذاتية ووحدة القوائم المالية (C-13 وC-14).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4597"/>
        <w:gridCol w:w="4307"/>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5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w:t>
            </w:r>
            <w:r>
              <w:rPr>
                <w:rFonts w:ascii="Courier New" w:cs="Courier New" w:eastAsia="Courier New" w:hAnsi="Courier New"/>
                <w:b w:val="false"/>
                <w:bCs w:val="false"/>
                <w:color w:val="1F2937"/>
                <w:sz w:val="16"/>
                <w:szCs w:val="16"/>
                <w:shd w:fill="F1F3F5" w:color="auto" w:val="clear"/>
                <w:rtl/>
              </w:rPr>
              <w:t xml:space="preserve">‎20-database-design-and-erd.md‎</w:t>
            </w:r>
            <w:r>
              <w:rPr>
                <w:rFonts w:ascii="Arial" w:cs="Arial" w:eastAsia="Arial" w:hAnsi="Arial"/>
                <w:b w:val="false"/>
                <w:bCs w:val="false"/>
                <w:sz w:val="18"/>
                <w:szCs w:val="18"/>
                <w:rtl/>
              </w:rPr>
              <w:t xml:space="preserve"> §18)</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C-13</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(ADR 0015،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المراجعة المعتمدة نهائية (§5.1)، والحراس الخمسة في §7.2، وجذر العقدة في الاختبارات والمخالفات وبنود التقويم، و</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لكل قيمة بلا مستند (§5.2)، وضوابط النشر والتدقيق (§12.1)</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بخمس عدسات وجدت 63 نتيجة، بعضها يغيّر ما تسمح به القاعدة</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C-14</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القوائم المالية في م5 (ADR 0016، </w:t>
            </w:r>
            <w:r>
              <w:rPr>
                <w:rFonts w:ascii="Courier New" w:cs="Courier New" w:eastAsia="Courier New" w:hAnsi="Courier New"/>
                <w:b w:val="false"/>
                <w:bCs w:val="false"/>
                <w:color w:val="1F2937"/>
                <w:sz w:val="16"/>
                <w:szCs w:val="16"/>
                <w:shd w:fill="F1F3F5" w:color="auto" w:val="clear"/>
                <w:rtl/>
              </w:rPr>
              <w:t xml:space="preserve">‎045_financial_statements.sql‎</w:t>
            </w:r>
            <w:r>
              <w:rPr>
                <w:rFonts w:ascii="Arial" w:cs="Arial" w:eastAsia="Arial" w:hAnsi="Arial"/>
                <w:b w:val="false"/>
                <w:bCs w:val="false"/>
                <w:sz w:val="18"/>
                <w:szCs w:val="18"/>
                <w:rtl/>
              </w:rPr>
              <w:t xml:space="preserve">): القوائم المستقلة والموحّدة للقابضة بوحداتها، ومقاييس التحليل، وربط الاختبار بالقوائم التي قرأها، وتقرير المخالفات، وأداء السيولة المحوَّلة إلى البنك (§11)</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C-15</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للميزانية على سلّم موديز (ADR 0017، </w:t>
            </w:r>
            <w:r>
              <w:rPr>
                <w:rFonts w:ascii="Courier New" w:cs="Courier New" w:eastAsia="Courier New" w:hAnsi="Courier New"/>
                <w:b w:val="false"/>
                <w:bCs w:val="false"/>
                <w:color w:val="1F2937"/>
                <w:sz w:val="16"/>
                <w:szCs w:val="16"/>
                <w:shd w:fill="F1F3F5" w:color="auto" w:val="clear"/>
                <w:rtl/>
              </w:rPr>
              <w:t xml:space="preserve">‎046_credit_assessment.sql‎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المنهجية بيانات عالمية للمنصة، والحساب في القاعدة، وتقرير بنقاط القوة والضعف والمخاطر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 بمراجعة آلية مستقلة في دور محلل ائتمان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C-16</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(ADR 0018، </w:t>
            </w:r>
            <w:r>
              <w:rPr>
                <w:rFonts w:ascii="Courier New" w:cs="Courier New" w:eastAsia="Courier New" w:hAnsi="Courier New"/>
                <w:b w:val="false"/>
                <w:bCs w:val="false"/>
                <w:color w:val="1F2937"/>
                <w:sz w:val="16"/>
                <w:szCs w:val="16"/>
                <w:shd w:fill="F1F3F5" w:color="auto" w:val="clear"/>
                <w:rtl/>
              </w:rPr>
              <w:t xml:space="preserve">‎047_credit_engine.sql‎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 157 بندًا معياريًا تُدرس بندًا بندًا، و112 مقياسًا، والربط بتسهيلات المنصة وضماناتها، والنشاط ومنتجاته وسيناريو السوق الراكد والأزمة، وعلاجات وخطط تقوية بقوائم متوازنة عند طلب العميل، والنظرة المستقبلية ومحفّزاتها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الثلاثة 2026-10-19؛ المحتوى صاغه وراجعه وكلاء ذكاء اصطناعي لا محللون بشريون</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C-17</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(ADR 0019): 16 عائلة قطاعية ببطاقاتها، و282 نشاطًا تفصيليًا بحساسيتها لسبعة محركات ضغط، و22 بلدًا عربيًا بمخاطرها وتصنيفها السيادي وسقفها ومدنها، ومرتكز من مخاطر البلد والنشاط، وستة سيناريوهات اقتصادية، وسلّم حجم من 10 ملايين إلى 10 مليارات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إجابات المالك 2026-10-19: الممارسة المعيارية لوكالات التصنيف؛ وتتحقق إدارة الخزينة من المعايرة</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C-18</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2.2 من التقييم (ADR 0020): سيناريو سابع للحدث الجاري (نزاع الخليج وممرات الملاحة) بمضاعف لكل بلد (</w:t>
            </w:r>
            <w:r>
              <w:rPr>
                <w:rFonts w:ascii="Courier New" w:cs="Courier New" w:eastAsia="Courier New" w:hAnsi="Courier New"/>
                <w:b w:val="false"/>
                <w:bCs w:val="false"/>
                <w:color w:val="1F2937"/>
                <w:sz w:val="16"/>
                <w:szCs w:val="16"/>
                <w:shd w:fill="F1F3F5" w:color="auto" w:val="clear"/>
                <w:rtl/>
              </w:rPr>
              <w:t xml:space="preserve">‎fin.MacroScenarioCountry‎</w:t>
            </w:r>
            <w:r>
              <w:rPr>
                <w:rFonts w:ascii="Arial" w:cs="Arial" w:eastAsia="Arial" w:hAnsi="Arial"/>
                <w:b w:val="false"/>
                <w:bCs w:val="false"/>
                <w:sz w:val="18"/>
                <w:szCs w:val="18"/>
                <w:rtl/>
              </w:rPr>
              <w:t xml:space="preserve">)، وموقف البنك في كل سيناريو (ما يُوقف من الحدود غير المسحوبة، وهامشه ورسومه على التسهيلات التي تتجدد، بعامل من مخاطر القطاع والبلد) ومدة الأثر على </w:t>
            </w:r>
            <w:r>
              <w:rPr>
                <w:rFonts w:ascii="Courier New" w:cs="Courier New" w:eastAsia="Courier New" w:hAnsi="Courier New"/>
                <w:b w:val="false"/>
                <w:bCs w:val="false"/>
                <w:color w:val="1F2937"/>
                <w:sz w:val="16"/>
                <w:szCs w:val="16"/>
                <w:shd w:fill="F1F3F5" w:color="auto" w:val="clear"/>
                <w:rtl/>
              </w:rPr>
              <w:t xml:space="preserve">‎fin.MacroScenario‎</w:t>
            </w:r>
            <w:r>
              <w:rPr>
                <w:rFonts w:ascii="Arial" w:cs="Arial" w:eastAsia="Arial" w:hAnsi="Arial"/>
                <w:b w:val="false"/>
                <w:bCs w:val="false"/>
                <w:sz w:val="18"/>
                <w:szCs w:val="18"/>
                <w:rtl/>
              </w:rPr>
              <w:t xml:space="preserve"> ونتيجة كل سيناريو؛ 244 جدولًا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31 (2026-10-19): اعتماد الأسئلة المفتوحة وتفاصيل الحدث الجاري، وتوقف الحدود غير المسحوبة؛ والقرار 32: موقف البنك</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C-19</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الفعلي على التسهيل (ADR 0021): </w:t>
            </w: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بتاريخه ونفاذه ومستنده، ويقرؤه التقييم مع التسهيل فيحل محل تقدير موقف البنك لذلك التسهيل؛ أربعة أعمدة في لقطة التسهيل؛ 245 جدولًا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33 (2026-10-19)</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C-20</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قبل اعتماد القوائم (ADR 0022): عمود </w:t>
            </w:r>
            <w:r>
              <w:rPr>
                <w:rFonts w:ascii="Courier New" w:cs="Courier New" w:eastAsia="Courier New" w:hAnsi="Courier New"/>
                <w:b w:val="false"/>
                <w:bCs w:val="false"/>
                <w:color w:val="1F2937"/>
                <w:sz w:val="16"/>
                <w:szCs w:val="16"/>
                <w:shd w:fill="F1F3F5" w:color="auto" w:val="clear"/>
                <w:rtl/>
              </w:rPr>
              <w:t xml:space="preserve">‎IsTrial‎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‎fin.CreditAssessment‎</w:t>
            </w:r>
            <w:r>
              <w:rPr>
                <w:rFonts w:ascii="Arial" w:cs="Arial" w:eastAsia="Arial" w:hAnsi="Arial"/>
                <w:b w:val="false"/>
                <w:bCs w:val="false"/>
                <w:sz w:val="18"/>
                <w:szCs w:val="18"/>
                <w:rtl/>
              </w:rPr>
              <w:t xml:space="preserve">؛ يقرأ قائمة مسودة أو مقدّمة، ويبقى مسودة، ويحفظ أثره بنود القائمة وحالتها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(2026-10-20): النظام للشركة لا للبنك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C-21</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البديلة للقائمة (ADR 0023): </w:t>
            </w:r>
            <w:r>
              <w:rPr>
                <w:rFonts w:ascii="Courier New" w:cs="Courier New" w:eastAsia="Courier New" w:hAnsi="Courier New"/>
                <w:b w:val="false"/>
                <w:bCs w:val="false"/>
                <w:color w:val="1F2937"/>
                <w:sz w:val="16"/>
                <w:szCs w:val="16"/>
                <w:shd w:fill="F1F3F5" w:color="auto" w:val="clear"/>
                <w:rtl/>
              </w:rPr>
              <w:t xml:space="preserve">‎fin.PresentationVersion‎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‎fin.PresentationVersionStep‎</w:t>
            </w:r>
            <w:r>
              <w:rPr>
                <w:rFonts w:ascii="Arial" w:cs="Arial" w:eastAsia="Arial" w:hAnsi="Arial"/>
                <w:b w:val="false"/>
                <w:bCs w:val="false"/>
                <w:sz w:val="18"/>
                <w:szCs w:val="18"/>
                <w:rtl/>
              </w:rPr>
              <w:t xml:space="preserve">، والبرنامج 048 (البناء والاختيار والمقارنة والحراس)، وسبب الإصدار </w:t>
            </w:r>
            <w:r>
              <w:rPr>
                <w:rFonts w:ascii="Courier New" w:cs="Courier New" w:eastAsia="Courier New" w:hAnsi="Courier New"/>
                <w:b w:val="false"/>
                <w:bCs w:val="false"/>
                <w:color w:val="1F2937"/>
                <w:sz w:val="16"/>
                <w:szCs w:val="16"/>
                <w:shd w:fill="F1F3F5" w:color="auto" w:val="clear"/>
                <w:rtl/>
              </w:rPr>
              <w:t xml:space="preserve">‎RESTRUCTURED‎</w:t>
            </w:r>
            <w:r>
              <w:rPr>
                <w:rFonts w:ascii="Arial" w:cs="Arial" w:eastAsia="Arial" w:hAnsi="Arial"/>
                <w:b w:val="false"/>
                <w:bCs w:val="false"/>
                <w:sz w:val="18"/>
                <w:szCs w:val="18"/>
                <w:rtl/>
              </w:rPr>
              <w:t xml:space="preserve">؛ 247 جدولًا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ج (2026-10-20)</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C-22</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قبل جهة التمويل والإنذار المبكر (ADR 0024): البرنامج 049 بدالتين وأربع واجهات (المواعيد وجاهزيتها، والطلبات، والجدول الزمني، والإنذار اليومي)، والإعداد </w:t>
            </w:r>
            <w:r>
              <w:rPr>
                <w:rFonts w:ascii="Courier New" w:cs="Courier New" w:eastAsia="Courier New" w:hAnsi="Courier New"/>
                <w:b w:val="false"/>
                <w:bCs w:val="false"/>
                <w:color w:val="1F2937"/>
                <w:sz w:val="16"/>
                <w:szCs w:val="16"/>
                <w:shd w:fill="F1F3F5" w:color="auto" w:val="clear"/>
                <w:rtl/>
              </w:rPr>
              <w:t xml:space="preserve">‎fin.readiness.lead_months‎</w:t>
            </w:r>
            <w:r>
              <w:rPr>
                <w:rFonts w:ascii="Arial" w:cs="Arial" w:eastAsia="Arial" w:hAnsi="Arial"/>
                <w:b w:val="false"/>
                <w:bCs w:val="false"/>
                <w:sz w:val="18"/>
                <w:szCs w:val="18"/>
                <w:rtl/>
              </w:rPr>
              <w:t xml:space="preserve">؛ بلا جداول جديدة</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د (2026-10-20)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C-23</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التقديرية (ADR 0025): عمود </w:t>
            </w:r>
            <w:r>
              <w:rPr>
                <w:rFonts w:ascii="Courier New" w:cs="Courier New" w:eastAsia="Courier New" w:hAnsi="Courier New"/>
                <w:b w:val="false"/>
                <w:bCs w:val="false"/>
                <w:color w:val="1F2937"/>
                <w:sz w:val="16"/>
                <w:szCs w:val="16"/>
                <w:shd w:fill="F1F3F5" w:color="auto" w:val="clear"/>
                <w:rtl/>
              </w:rPr>
              <w:t xml:space="preserve">‎Nature‎</w:t>
            </w:r>
            <w:r>
              <w:rPr>
                <w:rFonts w:ascii="Arial" w:cs="Arial" w:eastAsia="Arial" w:hAnsi="Arial"/>
                <w:b w:val="false"/>
                <w:bCs w:val="false"/>
                <w:sz w:val="18"/>
                <w:szCs w:val="18"/>
                <w:rtl/>
              </w:rPr>
              <w:t xml:space="preserve"> (ACTUAL/BUDGET) في </w:t>
            </w:r>
            <w:r>
              <w:rPr>
                <w:rFonts w:ascii="Courier New" w:cs="Courier New" w:eastAsia="Courier New" w:hAnsi="Courier New"/>
                <w:b w:val="false"/>
                <w:bCs w:val="false"/>
                <w:color w:val="1F2937"/>
                <w:sz w:val="16"/>
                <w:szCs w:val="16"/>
                <w:shd w:fill="F1F3F5" w:color="auto" w:val="clear"/>
                <w:rtl/>
              </w:rPr>
              <w:t xml:space="preserve">‎fin.FinancialStatement‎</w:t>
            </w:r>
            <w:r>
              <w:rPr>
                <w:rFonts w:ascii="Arial" w:cs="Arial" w:eastAsia="Arial" w:hAnsi="Arial"/>
                <w:b w:val="false"/>
                <w:bCs w:val="false"/>
                <w:sz w:val="18"/>
                <w:szCs w:val="18"/>
                <w:rtl/>
              </w:rPr>
              <w:t xml:space="preserve"> ومفتاح السلسلة به؛ الموازنة مسودة تُقيَّم تجريبيًا؛ واجهتا المقارنة في 049</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هـ (2026-10-20)</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C-24</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الذي يبلغ به البنك (ADR 0026): </w:t>
            </w:r>
            <w:r>
              <w:rPr>
                <w:rFonts w:ascii="Courier New" w:cs="Courier New" w:eastAsia="Courier New" w:hAnsi="Courier New"/>
                <w:b w:val="false"/>
                <w:bCs w:val="false"/>
                <w:color w:val="1F2937"/>
                <w:sz w:val="16"/>
                <w:szCs w:val="16"/>
                <w:shd w:fill="F1F3F5" w:color="auto" w:val="clear"/>
                <w:rtl/>
              </w:rPr>
              <w:t xml:space="preserve">‎fin.LenderRating‎</w:t>
            </w:r>
            <w:r>
              <w:rPr>
                <w:rFonts w:ascii="Arial" w:cs="Arial" w:eastAsia="Arial" w:hAnsi="Arial"/>
                <w:b w:val="false"/>
                <w:bCs w:val="false"/>
                <w:sz w:val="18"/>
                <w:szCs w:val="18"/>
                <w:rtl/>
              </w:rPr>
              <w:t xml:space="preserve"> وواجهتا المقارنة وموضع الافتراق في 049، ويدخل في جاهزية التجديد؛ 248 جدولًا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و (2026-10-20)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C-25</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إشعارات الإنذار المبكر (ADR 0027):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والمهمة </w:t>
            </w:r>
            <w:r>
              <w:rPr>
                <w:rFonts w:ascii="Courier New" w:cs="Courier New" w:eastAsia="Courier New" w:hAnsi="Courier New"/>
                <w:b w:val="false"/>
                <w:bCs w:val="false"/>
                <w:color w:val="1F2937"/>
                <w:sz w:val="16"/>
                <w:szCs w:val="16"/>
                <w:shd w:fill="F1F3F5" w:color="auto" w:val="clear"/>
                <w:rtl/>
              </w:rPr>
              <w:t xml:space="preserve">‎JOB-FIN-READINESS‎</w:t>
            </w:r>
            <w:r>
              <w:rPr>
                <w:rFonts w:ascii="Arial" w:cs="Arial" w:eastAsia="Arial" w:hAnsi="Arial"/>
                <w:b w:val="false"/>
                <w:bCs w:val="false"/>
                <w:sz w:val="18"/>
                <w:szCs w:val="18"/>
                <w:rtl/>
              </w:rPr>
              <w:t xml:space="preserve"> والإجراء </w:t>
            </w:r>
            <w:r>
              <w:rPr>
                <w:rFonts w:ascii="Courier New" w:cs="Courier New" w:eastAsia="Courier New" w:hAnsi="Courier New"/>
                <w:b w:val="false"/>
                <w:bCs w:val="false"/>
                <w:color w:val="1F2937"/>
                <w:sz w:val="16"/>
                <w:szCs w:val="16"/>
                <w:shd w:fill="F1F3F5" w:color="auto" w:val="clear"/>
                <w:rtl/>
              </w:rPr>
              <w:t xml:space="preserve">‎fin.usp_RunEarlyWarnings‎</w:t>
            </w:r>
            <w:r>
              <w:rPr>
                <w:rFonts w:ascii="Arial" w:cs="Arial" w:eastAsia="Arial" w:hAnsi="Arial"/>
                <w:b w:val="false"/>
                <w:bCs w:val="false"/>
                <w:sz w:val="18"/>
                <w:szCs w:val="18"/>
                <w:rtl/>
              </w:rPr>
              <w:t xml:space="preserve"> في 051، ودالة الإنذار بتاريخ في 049؛ 249 جدولًا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C-26</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رسائل الإنذار بالعربية والإنجليزية (ADR 0028): حدثان أحمر وأصفر، وسبب الجاهزية </w:t>
            </w:r>
            <w:r>
              <w:rPr>
                <w:rFonts w:ascii="Courier New" w:cs="Courier New" w:eastAsia="Courier New" w:hAnsi="Courier New"/>
                <w:b w:val="false"/>
                <w:bCs w:val="false"/>
                <w:color w:val="1F2937"/>
                <w:sz w:val="16"/>
                <w:szCs w:val="16"/>
                <w:shd w:fill="F1F3F5" w:color="auto" w:val="clear"/>
                <w:rtl/>
              </w:rPr>
              <w:t xml:space="preserve">‎ReasonCode‎</w:t>
            </w:r>
            <w:r>
              <w:rPr>
                <w:rFonts w:ascii="Arial" w:cs="Arial" w:eastAsia="Arial" w:hAnsi="Arial"/>
                <w:b w:val="false"/>
                <w:bCs w:val="false"/>
                <w:sz w:val="18"/>
                <w:szCs w:val="18"/>
                <w:rtl/>
              </w:rPr>
              <w:t xml:space="preserve"> في 049 وفي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وقيم القوالب في </w:t>
            </w:r>
            <w:r>
              <w:rPr>
                <w:rFonts w:ascii="Courier New" w:cs="Courier New" w:eastAsia="Courier New" w:hAnsi="Courier New"/>
                <w:b w:val="false"/>
                <w:bCs w:val="false"/>
                <w:color w:val="1F2937"/>
                <w:sz w:val="16"/>
                <w:szCs w:val="16"/>
                <w:shd w:fill="F1F3F5" w:color="auto" w:val="clear"/>
                <w:rtl/>
              </w:rPr>
              <w:t xml:space="preserve">‎fin.v_EarlyWarningMessageValues‎</w:t>
            </w:r>
            <w:r>
              <w:rPr>
                <w:rFonts w:ascii="Arial" w:cs="Arial" w:eastAsia="Arial" w:hAnsi="Arial"/>
                <w:b w:val="false"/>
                <w:bCs w:val="false"/>
                <w:sz w:val="18"/>
                <w:szCs w:val="18"/>
                <w:rtl/>
              </w:rPr>
              <w:t xml:space="preserve"> (051)، وأول حزمة للمشترك </w:t>
            </w:r>
            <w:r>
              <w:rPr>
                <w:rFonts w:ascii="Courier New" w:cs="Courier New" w:eastAsia="Courier New" w:hAnsi="Courier New"/>
                <w:b w:val="false"/>
                <w:bCs w:val="false"/>
                <w:color w:val="1F2937"/>
                <w:sz w:val="16"/>
                <w:szCs w:val="16"/>
                <w:shd w:fill="F1F3F5" w:color="auto" w:val="clear"/>
                <w:rtl/>
              </w:rPr>
              <w:t xml:space="preserve">‎db/seed/packs/NTF.BASE/v1‎</w:t>
            </w:r>
            <w:r>
              <w:rPr>
                <w:rFonts w:ascii="Arial" w:cs="Arial" w:eastAsia="Arial" w:hAnsi="Arial"/>
                <w:b w:val="false"/>
                <w:bCs w:val="false"/>
                <w:sz w:val="18"/>
                <w:szCs w:val="18"/>
                <w:rtl/>
              </w:rPr>
              <w:t xml:space="preserve"> يفحصها </w:t>
            </w:r>
            <w:r>
              <w:rPr>
                <w:rFonts w:ascii="Courier New" w:cs="Courier New" w:eastAsia="Courier New" w:hAnsi="Courier New"/>
                <w:b w:val="false"/>
                <w:bCs w:val="false"/>
                <w:color w:val="1F2937"/>
                <w:sz w:val="16"/>
                <w:szCs w:val="16"/>
                <w:shd w:fill="F1F3F5" w:color="auto" w:val="clear"/>
                <w:rtl/>
              </w:rPr>
              <w:t xml:space="preserve">‎tools/dbgen/ntf_pack.py‎</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C-27</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المراجعة المعمارية 3.0 (ADR 0029): تصديق التقييم للاستعمال خارج الشركة (</w:t>
            </w:r>
            <w:r>
              <w:rPr>
                <w:rFonts w:ascii="Courier New" w:cs="Courier New" w:eastAsia="Courier New" w:hAnsi="Courier New"/>
                <w:b w:val="false"/>
                <w:bCs w:val="false"/>
                <w:color w:val="1F2937"/>
                <w:sz w:val="16"/>
                <w:szCs w:val="16"/>
                <w:shd w:fill="F1F3F5" w:color="auto" w:val="clear"/>
                <w:rtl/>
              </w:rPr>
              <w:t xml:space="preserve">‎EndorsedBy‎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‎EndorsedOn‎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‎EndorsementNote‎</w:t>
            </w:r>
            <w:r>
              <w:rPr>
                <w:rFonts w:ascii="Arial" w:cs="Arial" w:eastAsia="Arial" w:hAnsi="Arial"/>
                <w:b w:val="false"/>
                <w:bCs w:val="false"/>
                <w:sz w:val="18"/>
                <w:szCs w:val="18"/>
                <w:rtl/>
              </w:rPr>
              <w:t xml:space="preserve"> والإجراء في 052 والصلاحية </w:t>
            </w:r>
            <w:r>
              <w:rPr>
                <w:rFonts w:ascii="Courier New" w:cs="Courier New" w:eastAsia="Courier New" w:hAnsi="Courier New"/>
                <w:b w:val="false"/>
                <w:bCs w:val="false"/>
                <w:color w:val="1F2937"/>
                <w:sz w:val="16"/>
                <w:szCs w:val="16"/>
                <w:shd w:fill="F1F3F5" w:color="auto" w:val="clear"/>
                <w:rtl/>
              </w:rPr>
              <w:t xml:space="preserve">‎fin.credit.endorse‎</w:t>
            </w:r>
            <w:r>
              <w:rPr>
                <w:rFonts w:ascii="Arial" w:cs="Arial" w:eastAsia="Arial" w:hAnsi="Arial"/>
                <w:b w:val="false"/>
                <w:bCs w:val="false"/>
                <w:sz w:val="18"/>
                <w:szCs w:val="18"/>
                <w:rtl/>
              </w:rPr>
              <w:t xml:space="preserve">)، وسبب الاختيار </w:t>
            </w:r>
            <w:r>
              <w:rPr>
                <w:rFonts w:ascii="Courier New" w:cs="Courier New" w:eastAsia="Courier New" w:hAnsi="Courier New"/>
                <w:b w:val="false"/>
                <w:bCs w:val="false"/>
                <w:color w:val="1F2937"/>
                <w:sz w:val="16"/>
                <w:szCs w:val="16"/>
                <w:shd w:fill="F1F3F5" w:color="auto" w:val="clear"/>
                <w:rtl/>
              </w:rPr>
              <w:t xml:space="preserve">‎ChoiceReason‎</w:t>
            </w:r>
            <w:r>
              <w:rPr>
                <w:rFonts w:ascii="Arial" w:cs="Arial" w:eastAsia="Arial" w:hAnsi="Arial"/>
                <w:b w:val="false"/>
                <w:bCs w:val="false"/>
                <w:sz w:val="18"/>
                <w:szCs w:val="18"/>
                <w:rtl/>
              </w:rPr>
              <w:t xml:space="preserve"> على نسخة العرض، والمعايرة المتراكمة </w:t>
            </w:r>
            <w:r>
              <w:rPr>
                <w:rFonts w:ascii="Courier New" w:cs="Courier New" w:eastAsia="Courier New" w:hAnsi="Courier New"/>
                <w:b w:val="false"/>
                <w:bCs w:val="false"/>
                <w:color w:val="1F2937"/>
                <w:sz w:val="16"/>
                <w:szCs w:val="16"/>
                <w:shd w:fill="F1F3F5" w:color="auto" w:val="clear"/>
                <w:rtl/>
              </w:rPr>
              <w:t xml:space="preserve">‎fin.v_LenderRatingCalibration‎</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 </w:t>
            </w:r>
            <w:r>
              <w:rPr>
                <w:rFonts w:ascii="Courier New" w:cs="Courier New" w:eastAsia="Courier New" w:hAnsi="Courier New"/>
                <w:b w:val="false"/>
                <w:bCs w:val="false"/>
                <w:color w:val="1F2937"/>
                <w:sz w:val="16"/>
                <w:szCs w:val="16"/>
                <w:shd w:fill="F1F3F5" w:color="auto" w:val="clear"/>
                <w:rtl/>
              </w:rPr>
              <w:t xml:space="preserve">‎docs/37‎</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C-28</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دراسة المراجعة 4.0 (ADR 0030، القرار 35): تجميد الأرقام الشهرية المؤكدة وإعادة فتحها، و</w:t>
            </w:r>
            <w:r>
              <w:rPr>
                <w:rFonts w:ascii="Courier New" w:cs="Courier New" w:eastAsia="Courier New" w:hAnsi="Courier New"/>
                <w:b w:val="false"/>
                <w:bCs w:val="false"/>
                <w:color w:val="1F2937"/>
                <w:sz w:val="16"/>
                <w:szCs w:val="16"/>
                <w:shd w:fill="F1F3F5" w:color="auto" w:val="clear"/>
                <w:rtl/>
              </w:rPr>
              <w:t xml:space="preserve">‎fin.AssessmentEvidencePack‎</w:t>
            </w:r>
            <w:r>
              <w:rPr>
                <w:rFonts w:ascii="Arial" w:cs="Arial" w:eastAsia="Arial" w:hAnsi="Arial"/>
                <w:b w:val="false"/>
                <w:bCs w:val="false"/>
                <w:sz w:val="18"/>
                <w:szCs w:val="18"/>
                <w:rtl/>
              </w:rPr>
              <w:t xml:space="preserve"> وحزمة الأدلة، والمعايرة في الجاهزية، وإنذار المصدِّقين، والدور RK، و</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251 جدولًا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35 (2026-10-20)، </w:t>
            </w:r>
            <w:r>
              <w:rPr>
                <w:rFonts w:ascii="Courier New" w:cs="Courier New" w:eastAsia="Courier New" w:hAnsi="Courier New"/>
                <w:b w:val="false"/>
                <w:bCs w:val="false"/>
                <w:color w:val="1F2937"/>
                <w:sz w:val="16"/>
                <w:szCs w:val="16"/>
                <w:shd w:fill="F1F3F5" w:color="auto" w:val="clear"/>
                <w:rtl/>
              </w:rPr>
              <w:t xml:space="preserve">‎docs/38‎</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C-29</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فترات الشركة اختياريًا (ADR 0031): </w:t>
            </w:r>
            <w:r>
              <w:rPr>
                <w:rFonts w:ascii="Courier New" w:cs="Courier New" w:eastAsia="Courier New" w:hAnsi="Courier New"/>
                <w:b w:val="false"/>
                <w:bCs w:val="false"/>
                <w:color w:val="1F2937"/>
                <w:sz w:val="16"/>
                <w:szCs w:val="16"/>
                <w:shd w:fill="F1F3F5" w:color="auto" w:val="clear"/>
                <w:rtl/>
              </w:rPr>
              <w:t xml:space="preserve">‎fin.ReportingPeriodLock‎</w:t>
            </w:r>
            <w:r>
              <w:rPr>
                <w:rFonts w:ascii="Arial" w:cs="Arial" w:eastAsia="Arial" w:hAnsi="Arial"/>
                <w:b w:val="false"/>
                <w:bCs w:val="false"/>
                <w:sz w:val="18"/>
                <w:szCs w:val="18"/>
                <w:rtl/>
              </w:rPr>
              <w:t xml:space="preserve"> والإقفال وإعادة الفتح والقوادح في 053، والصلاحية </w:t>
            </w:r>
            <w:r>
              <w:rPr>
                <w:rFonts w:ascii="Courier New" w:cs="Courier New" w:eastAsia="Courier New" w:hAnsi="Courier New"/>
                <w:b w:val="false"/>
                <w:bCs w:val="false"/>
                <w:color w:val="1F2937"/>
                <w:sz w:val="16"/>
                <w:szCs w:val="16"/>
                <w:shd w:fill="F1F3F5" w:color="auto" w:val="clear"/>
                <w:rtl/>
              </w:rPr>
              <w:t xml:space="preserve">‎fin.period.lock‎</w:t>
            </w:r>
            <w:r>
              <w:rPr>
                <w:rFonts w:ascii="Arial" w:cs="Arial" w:eastAsia="Arial" w:hAnsi="Arial"/>
                <w:b w:val="false"/>
                <w:bCs w:val="false"/>
                <w:sz w:val="18"/>
                <w:szCs w:val="18"/>
                <w:rtl/>
              </w:rPr>
              <w:t xml:space="preserve">؛ 252 جدولًا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 البند 2 من </w:t>
            </w:r>
            <w:r>
              <w:rPr>
                <w:rFonts w:ascii="Courier New" w:cs="Courier New" w:eastAsia="Courier New" w:hAnsi="Courier New"/>
                <w:b w:val="false"/>
                <w:bCs w:val="false"/>
                <w:color w:val="1F2937"/>
                <w:sz w:val="16"/>
                <w:szCs w:val="16"/>
                <w:shd w:fill="F1F3F5" w:color="auto" w:val="clear"/>
                <w:rtl/>
              </w:rPr>
              <w:t xml:space="preserve">‎docs/38‎</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C-30</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المراجعة الخارجية 5.0 الثلاثة (2026-10-21): بقية DR-20 بقوادح حالة المفتاح في 054 (ADR 0032)؛ سلسلة بصمات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تكتبها 055 مع </w:t>
            </w:r>
            <w:r>
              <w:rPr>
                <w:rFonts w:ascii="Courier New" w:cs="Courier New" w:eastAsia="Courier New" w:hAnsi="Courier New"/>
                <w:b w:val="false"/>
                <w:bCs w:val="false"/>
                <w:color w:val="1F2937"/>
                <w:sz w:val="16"/>
                <w:szCs w:val="16"/>
                <w:shd w:fill="F1F3F5" w:color="auto" w:val="clear"/>
                <w:rtl/>
              </w:rPr>
              <w:t xml:space="preserve">‎aud.AuditChainHead‎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‎aud.AuditChainAnchor‎</w:t>
            </w:r>
            <w:r>
              <w:rPr>
                <w:rFonts w:ascii="Arial" w:cs="Arial" w:eastAsia="Arial" w:hAnsi="Arial"/>
                <w:b w:val="false"/>
                <w:bCs w:val="false"/>
                <w:sz w:val="18"/>
                <w:szCs w:val="18"/>
                <w:rtl/>
              </w:rPr>
              <w:t xml:space="preserve"> والمهمة </w:t>
            </w:r>
            <w:r>
              <w:rPr>
                <w:rFonts w:ascii="Courier New" w:cs="Courier New" w:eastAsia="Courier New" w:hAnsi="Courier New"/>
                <w:b w:val="false"/>
                <w:bCs w:val="false"/>
                <w:color w:val="1F2937"/>
                <w:sz w:val="16"/>
                <w:szCs w:val="16"/>
                <w:shd w:fill="F1F3F5" w:color="auto" w:val="clear"/>
                <w:rtl/>
              </w:rPr>
              <w:t xml:space="preserve">‎JOB-PLT-AUDIT-CHAIN‎</w:t>
            </w:r>
            <w:r>
              <w:rPr>
                <w:rFonts w:ascii="Arial" w:cs="Arial" w:eastAsia="Arial" w:hAnsi="Arial"/>
                <w:b w:val="false"/>
                <w:bCs w:val="false"/>
                <w:sz w:val="18"/>
                <w:szCs w:val="18"/>
                <w:rtl/>
              </w:rPr>
              <w:t xml:space="preserve"> (ADR 0033)؛ دفتر الترحيلات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وبصمة المخطط في 056 و</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وصار 010 قابلًا لإعادة التشغيل (ADR 0034)؛ 255 جدولًا</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C-31</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المشترك CORE.ROLES (ADR 0035): أدوار النظام الثمانية و391 ربطًا مولَّدة من مصفوفات الأدوار، يطبّقها </w:t>
            </w:r>
            <w:r>
              <w:rPr>
                <w:rFonts w:ascii="Courier New" w:cs="Courier New" w:eastAsia="Courier New" w:hAnsi="Courier New"/>
                <w:b w:val="false"/>
                <w:bCs w:val="false"/>
                <w:color w:val="1F2937"/>
                <w:sz w:val="16"/>
                <w:szCs w:val="16"/>
                <w:shd w:fill="F1F3F5" w:color="auto" w:val="clear"/>
                <w:rtl/>
              </w:rPr>
              <w:t xml:space="preserve">‎sec.usp_SeedCoreRoles‎</w:t>
            </w:r>
            <w:r>
              <w:rPr>
                <w:rFonts w:ascii="Arial" w:cs="Arial" w:eastAsia="Arial" w:hAnsi="Arial"/>
                <w:b w:val="false"/>
                <w:bCs w:val="false"/>
                <w:sz w:val="18"/>
                <w:szCs w:val="18"/>
                <w:rtl/>
              </w:rPr>
              <w:t xml:space="preserve"> (057) أثناء التهيئة؛ ومنها RK بصلاحية التصديق (E2 من المراجعة 5.0،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(2026-10-21)</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7046"/>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255</w:t>
            </w:r>
            <w:r>
              <w:rPr>
                <w:rFonts w:ascii="Arial" w:cs="Arial" w:eastAsia="Arial" w:hAnsi="Arial"/>
                <w:b w:val="false"/>
                <w:bCs w:val="false"/>
                <w:sz w:val="18"/>
                <w:szCs w:val="18"/>
                <w:rtl/>
              </w:rPr>
              <w:t xml:space="preserve"> في 20 مخططًا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4,200 مُعرَّفة في النماذج + الأعمدة الآلية = </w:t>
            </w:r>
            <w:r>
              <w:rPr>
                <w:rFonts w:ascii="Arial" w:cs="Arial" w:eastAsia="Arial" w:hAnsi="Arial"/>
                <w:b/>
                <w:bCs/>
                <w:sz w:val="18"/>
                <w:szCs w:val="18"/>
                <w:rtl/>
              </w:rPr>
              <w:t xml:space="preserve">4,821</w:t>
            </w:r>
            <w:r>
              <w:rPr>
                <w:rFonts w:ascii="Arial" w:cs="Arial" w:eastAsia="Arial" w:hAnsi="Arial"/>
                <w:b w:val="false"/>
                <w:bCs w:val="false"/>
                <w:sz w:val="18"/>
                <w:szCs w:val="18"/>
                <w:rtl/>
              </w:rPr>
              <w:t xml:space="preserve"> في DDL</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936</w:t>
            </w:r>
            <w:r>
              <w:rPr>
                <w:rFonts w:ascii="Arial" w:cs="Arial" w:eastAsia="Arial" w:hAnsi="Arial"/>
                <w:b w:val="false"/>
                <w:bCs w:val="false"/>
                <w:sz w:val="18"/>
                <w:szCs w:val="18"/>
                <w:rtl/>
              </w:rPr>
              <w:t xml:space="preserve"> = 212 إلى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596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+ 128 بسيطة نحو جداول عالمية/مختلطة؛ حذف متتالٍ واحد (§7)</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804 غير مجمّع (236 مصفّاة · 52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1,494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507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+ 155 فهرسًا فريدًا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(جذور التجميعات المعرَّضة عبر API)</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210 (207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الـ45 العالمية خارجها)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العالمية المحجوبة الخمسة والداخلية الثلاثة (§3.3)، ورأس سلسلة التدقيق ومراسيها ودفتر الترحيلات (ADR 0033، ADR 0034)؛ يقرأ التطبيق صف مشتركه ووحداته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‎plat.v_TenantModule‎</w:t>
            </w:r>
          </w:p>
        </w:tc>
      </w:tr>
    </w:tbl>
    <w:p>
      <w:pPr>
        <w:bidi/>
        <w:spacing w:after="120" w:before="0"/>
      </w:pPr>
    </w:p>
    <w:p>
      <w:pPr>
        <w:bidi/>
        <w:spacing w:after="110" w:before="0" w:line="312"/>
      </w:pPr>
      <w:r>
        <w:rPr>
          <w:rFonts w:ascii="Arial" w:cs="Arial" w:eastAsia="Arial" w:hAnsi="Arial"/>
          <w:b w:val="false"/>
          <w:bCs w:val="false"/>
          <w:sz w:val="21"/>
          <w:szCs w:val="21"/>
          <w:rtl/>
        </w:rPr>
        <w:t xml:space="preserve">مصدر هذه الأرقام وأرقام §4: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يقرأ النموذج وDDL المولَّد؛ تُحدَّث الوثيقة منه لا يدويًا.</w:t>
      </w: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كل الجداول (§1)؛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(138 مفتاحًا من الـ564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207</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‎aud.AuditChainHead‎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‎aud.AuditChainAnchor‎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 055)، أو أداة الترحيل بحساب النشر (ADR 0034)</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409700"/>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75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(167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(41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ListParagraph"/>
        <w:numPr>
          <w:ilvl w:val="0"/>
          <w:numId w:val="3"/>
        </w:numPr>
        <w:bidi/>
        <w:spacing w:after="70" w:before="0" w:line="300"/>
      </w:pPr>
      <w:r>
        <w:rPr>
          <w:rFonts w:ascii="Arial" w:cs="Arial" w:eastAsia="Arial" w:hAnsi="Arial"/>
          <w:b/>
          <w:bCs/>
          <w:sz w:val="21"/>
          <w:szCs w:val="21"/>
          <w:rtl/>
        </w:rPr>
        <w:t xml:space="preserve">المعتمد نهائي في القاعدة (044، ADR 0015):</w:t>
      </w:r>
      <w:r>
        <w:rPr>
          <w:rFonts w:ascii="Arial" w:cs="Arial" w:eastAsia="Arial" w:hAnsi="Arial"/>
          <w:b w:val="false"/>
          <w:bCs w:val="false"/>
          <w:sz w:val="21"/>
          <w:szCs w:val="21"/>
          <w:rtl/>
        </w:rPr>
        <w:t xml:space="preserve"> لكل جدول من الـ13 قادح مبني من أعمدته: صف </w:t>
      </w:r>
      <w:r>
        <w:rPr>
          <w:rFonts w:ascii="Courier New" w:cs="Courier New" w:eastAsia="Courier New" w:hAnsi="Courier New"/>
          <w:b w:val="false"/>
          <w:bCs w:val="false"/>
          <w:color w:val="1F2937"/>
          <w:sz w:val="18"/>
          <w:szCs w:val="18"/>
          <w:shd w:fill="F1F3F5" w:color="auto" w:val="clear"/>
          <w:rtl/>
        </w:rPr>
        <w:t xml:space="preserve">‎FromRevision &lt;= Facility.ApprovedRevisionNo‎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NULL ومراجعة بعد المعتمدة (50049). صف </w:t>
      </w:r>
      <w:r>
        <w:rPr>
          <w:rFonts w:ascii="Courier New" w:cs="Courier New" w:eastAsia="Courier New" w:hAnsi="Courier New"/>
          <w:b w:val="false"/>
          <w:bCs w:val="false"/>
          <w:color w:val="1F2937"/>
          <w:sz w:val="18"/>
          <w:szCs w:val="18"/>
          <w:shd w:fill="F1F3F5" w:color="auto" w:val="clear"/>
          <w:rtl/>
        </w:rPr>
        <w:t xml:space="preserve">‎FacilityRevision‎</w:t>
      </w:r>
      <w:r>
        <w:rPr>
          <w:rFonts w:ascii="Arial" w:cs="Arial" w:eastAsia="Arial" w:hAnsi="Arial"/>
          <w:b w:val="false"/>
          <w:bCs w:val="false"/>
          <w:sz w:val="21"/>
          <w:szCs w:val="21"/>
          <w:rtl/>
        </w:rPr>
        <w:t xml:space="preserve"> المعتمد نهائي إلا أعمدة التدقيق، وروابط الالتزام أو التعهد المعتمد تتبعه، وصف التسهيل يُقرأ بقفل تحديث. أي تغيير على المعتمد مراجعة جديدة.</w:t>
      </w:r>
    </w:p>
    <w:p>
      <w:pPr>
        <w:bidi/>
        <w:spacing w:after="60" w:before="0"/>
      </w:pP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وقيد يولّده المولِّد على كل جدول </w:t>
      </w:r>
      <w:r>
        <w:rPr>
          <w:rFonts w:ascii="Courier New" w:cs="Courier New" w:eastAsia="Courier New" w:hAnsi="Courier New"/>
          <w:b w:val="false"/>
          <w:bCs w:val="false"/>
          <w:color w:val="1F2937"/>
          <w:sz w:val="18"/>
          <w:szCs w:val="18"/>
          <w:shd w:fill="F1F3F5" w:color="auto" w:val="clear"/>
          <w:rtl/>
        </w:rPr>
        <w:t xml:space="preserve">‎src‎</w:t>
      </w:r>
      <w:r>
        <w:rPr>
          <w:rFonts w:ascii="Arial" w:cs="Arial" w:eastAsia="Arial" w:hAnsi="Arial"/>
          <w:b w:val="false"/>
          <w:bCs w:val="false"/>
          <w:sz w:val="21"/>
          <w:szCs w:val="21"/>
          <w:rtl/>
        </w:rPr>
        <w:t xml:space="preserve">: قيمة بلا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تحمل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غير فارغ (ADR 0015).</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منفّذة (2026-10-21، ADR 0033):</w:t>
      </w:r>
      <w:r>
        <w:rPr>
          <w:rFonts w:ascii="Arial" w:cs="Arial" w:eastAsia="Arial" w:hAnsi="Arial"/>
          <w:b w:val="false"/>
          <w:bCs w:val="false"/>
          <w:sz w:val="21"/>
          <w:szCs w:val="21"/>
          <w:rtl/>
        </w:rPr>
        <w:t xml:space="preserve"> يكتب القادح </w:t>
      </w:r>
      <w:r>
        <w:rPr>
          <w:rFonts w:ascii="Courier New" w:cs="Courier New" w:eastAsia="Courier New" w:hAnsi="Courier New"/>
          <w:b w:val="false"/>
          <w:bCs w:val="false"/>
          <w:color w:val="1F2937"/>
          <w:sz w:val="18"/>
          <w:szCs w:val="18"/>
          <w:shd w:fill="F1F3F5" w:color="auto" w:val="clear"/>
          <w:rtl/>
        </w:rPr>
        <w:t xml:space="preserve">‎aud.TR_AuditLog_Chain‎</w:t>
      </w:r>
      <w:r>
        <w:rPr>
          <w:rFonts w:ascii="Arial" w:cs="Arial" w:eastAsia="Arial" w:hAnsi="Arial"/>
          <w:b w:val="false"/>
          <w:bCs w:val="false"/>
          <w:sz w:val="21"/>
          <w:szCs w:val="21"/>
          <w:rtl/>
        </w:rPr>
        <w:t xml:space="preserve"> السلسلة عند كل إدراج، وتسجّل المهمة </w:t>
      </w:r>
      <w:r>
        <w:rPr>
          <w:rFonts w:ascii="Courier New" w:cs="Courier New" w:eastAsia="Courier New" w:hAnsi="Courier New"/>
          <w:b w:val="false"/>
          <w:bCs w:val="false"/>
          <w:color w:val="1F2937"/>
          <w:sz w:val="18"/>
          <w:szCs w:val="18"/>
          <w:shd w:fill="F1F3F5" w:color="auto" w:val="clear"/>
          <w:rtl/>
        </w:rPr>
        <w:t xml:space="preserve">‎JOB-PLT-AUDIT-CHAIN‎</w:t>
      </w:r>
      <w:r>
        <w:rPr>
          <w:rFonts w:ascii="Arial" w:cs="Arial" w:eastAsia="Arial" w:hAnsi="Arial"/>
          <w:b w:val="false"/>
          <w:bCs w:val="false"/>
          <w:sz w:val="21"/>
          <w:szCs w:val="21"/>
          <w:rtl/>
        </w:rPr>
        <w:t xml:space="preserve"> المراسي، ويحفظها </w:t>
      </w:r>
      <w:r>
        <w:rPr>
          <w:rFonts w:ascii="Courier New" w:cs="Courier New" w:eastAsia="Courier New" w:hAnsi="Courier New"/>
          <w:b w:val="false"/>
          <w:bCs w:val="false"/>
          <w:color w:val="1F2937"/>
          <w:sz w:val="18"/>
          <w:szCs w:val="18"/>
          <w:shd w:fill="F1F3F5" w:color="auto" w:val="clear"/>
          <w:rtl/>
        </w:rPr>
        <w:t xml:space="preserve">‎tools/deploy/audit_anchor.sh‎</w:t>
      </w:r>
      <w:r>
        <w:rPr>
          <w:rFonts w:ascii="Arial" w:cs="Arial" w:eastAsia="Arial" w:hAnsi="Arial"/>
          <w:b w:val="false"/>
          <w:bCs w:val="false"/>
          <w:sz w:val="21"/>
          <w:szCs w:val="21"/>
          <w:rtl/>
        </w:rPr>
        <w:t xml:space="preserve"> خارج القاعدة ويتحقق منها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كل عمود موسوم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(31، §1)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والدوال الداخلية محجوبة عنه أيضًا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§7.2)</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(§1)،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2"/>
        <w:bidi/>
      </w:pPr>
      <w:bookmarkStart w:name="_sec24" w:id="24"/>
      <w:r>
        <w:rPr>
          <w:rFonts w:ascii="Arial" w:cs="Arial" w:eastAsia="Arial" w:hAnsi="Arial"/>
          <w:b/>
          <w:bCs/>
          <w:color w:val="2B5C8A"/>
          <w:sz w:val="26"/>
          <w:szCs w:val="26"/>
          <w:rtl/>
        </w:rPr>
        <w:t xml:space="preserve">7.2 حراس المراجعة الذاتية (ADR 0015)</w:t>
      </w:r>
      <w:bookmarkEnd w:id="24"/>
    </w:p>
    <w:p>
      <w:pPr>
        <w:bidi/>
        <w:spacing w:after="110" w:before="0" w:line="312"/>
      </w:pPr>
      <w:r>
        <w:rPr>
          <w:rFonts w:ascii="Arial" w:cs="Arial" w:eastAsia="Arial" w:hAnsi="Arial"/>
          <w:b w:val="false"/>
          <w:bCs w:val="false"/>
          <w:sz w:val="21"/>
          <w:szCs w:val="21"/>
          <w:rtl/>
        </w:rPr>
        <w:t xml:space="preserve">كل حارس يقرأ صف الأب بـ</w:t>
      </w:r>
      <w:r>
        <w:rPr>
          <w:rFonts w:ascii="Courier New" w:cs="Courier New" w:eastAsia="Courier New" w:hAnsi="Courier New"/>
          <w:b w:val="false"/>
          <w:bCs w:val="false"/>
          <w:color w:val="1F2937"/>
          <w:sz w:val="18"/>
          <w:szCs w:val="18"/>
          <w:shd w:fill="F1F3F5" w:color="auto" w:val="clear"/>
          <w:rtl/>
        </w:rPr>
        <w:t xml:space="preserve">‎UPDLOCK, HOLDLOCK‎</w:t>
      </w:r>
      <w:r>
        <w:rPr>
          <w:rFonts w:ascii="Arial" w:cs="Arial" w:eastAsia="Arial" w:hAnsi="Arial"/>
          <w:b w:val="false"/>
          <w:bCs w:val="false"/>
          <w:sz w:val="21"/>
          <w:szCs w:val="21"/>
          <w:rtl/>
        </w:rPr>
        <w:t xml:space="preserve">، فلا تتداخل موافقة مع كتابة على صفوفها.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4423"/>
        <w:gridCol w:w="4081"/>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يمنعه</w:t>
            </w:r>
          </w:p>
        </w:tc>
        <w:tc>
          <w:tcPr>
            <w:tcW w:type="dxa" w:w="4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تجميد المراجعة المعتمدة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صفوف مراجعة معتمدة أو صف اعتمادها (§5.1)</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50049؛ SR1</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قاعدة الحد</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بحد غير حدّه أو مُعامِل غير مُعامِله، أو «بلا حد» على تعهد له حد، أو حكم على تعهد بلا حد</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50054؛ SR2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تنقية الحقول المقيّدة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قيمة حقل اعتماد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في تعديل بأي مفتاح أعلى وبأي حالة أحرف أو طول؛ ورفع حقل إلى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يمحو قيمه من النسخ المكتوبة</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50058؛ SR3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الدوال عن التقارير</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مرشّحات الصفوف تعمل بلا إذنه</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‎090_readonly_denies.sql‎</w:t>
            </w:r>
            <w:r>
              <w:rPr>
                <w:rFonts w:ascii="Arial" w:cs="Arial" w:eastAsia="Arial" w:hAnsi="Arial"/>
                <w:b w:val="false"/>
                <w:bCs w:val="false"/>
                <w:sz w:val="18"/>
                <w:szCs w:val="18"/>
                <w:rtl/>
              </w:rPr>
              <w:t xml:space="preserve">؛ SR7</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القوادح المتكررة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w:t>
            </w:r>
            <w:r>
              <w:rPr>
                <w:rFonts w:ascii="Courier New" w:cs="Courier New" w:eastAsia="Courier New" w:hAnsi="Courier New"/>
                <w:b w:val="false"/>
                <w:bCs w:val="false"/>
                <w:color w:val="1F2937"/>
                <w:sz w:val="16"/>
                <w:szCs w:val="16"/>
                <w:shd w:fill="F1F3F5" w:color="auto" w:val="clear"/>
                <w:rtl/>
              </w:rPr>
              <w:t xml:space="preserve">‎RECURSIVE_TRIGGERS ON‎</w:t>
            </w:r>
            <w:r>
              <w:rPr>
                <w:rFonts w:ascii="Arial" w:cs="Arial" w:eastAsia="Arial" w:hAnsi="Arial"/>
                <w:b w:val="false"/>
                <w:bCs w:val="false"/>
                <w:sz w:val="18"/>
                <w:szCs w:val="18"/>
                <w:rtl/>
              </w:rPr>
              <w:t xml:space="preserve">، فقوادح النسخ في 044 تكتب جداولها</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‎deploy_preflight.sql‎</w:t>
            </w:r>
            <w:r>
              <w:rPr>
                <w:rFonts w:ascii="Arial" w:cs="Arial" w:eastAsia="Arial" w:hAnsi="Arial"/>
                <w:b w:val="false"/>
                <w:bCs w:val="false"/>
                <w:sz w:val="18"/>
                <w:szCs w:val="18"/>
                <w:rtl/>
              </w:rPr>
              <w:t xml:space="preserve">، 50145؛ PF6</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8. الفهرسة</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(229)</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(51)</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 واحد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(§7) فلا مسارات تعاقب متعددة. </w:t>
      </w: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(الخطوة 3 في CI) يشترط لكل مفتاح أجنبي من أعمدة النموذج فهرسًا يبدأ بأعمدته أو علامة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578 مفهرسًا و111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وصفر بلا فهرس.</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6" w:id="26"/>
      <w:r>
        <w:rPr>
          <w:rFonts w:ascii="Arial" w:cs="Arial" w:eastAsia="Arial" w:hAnsi="Arial"/>
          <w:b/>
          <w:bCs/>
          <w:color w:val="1F3A5F"/>
          <w:sz w:val="32"/>
          <w:szCs w:val="32"/>
          <w:rtl/>
        </w:rPr>
        <w:t xml:space="preserve">9. الأدوار والصلاحيات (على مستوى القاعدة)</w:t>
      </w:r>
      <w:bookmarkEnd w:id="26"/>
    </w:p>
    <w:p>
      <w:pPr>
        <w:pStyle w:val="Heading2"/>
        <w:bidi/>
      </w:pPr>
      <w:bookmarkStart w:name="_sec27" w:id="27"/>
      <w:r>
        <w:rPr>
          <w:rFonts w:ascii="Arial" w:cs="Arial" w:eastAsia="Arial" w:hAnsi="Arial"/>
          <w:b/>
          <w:bCs/>
          <w:color w:val="2B5C8A"/>
          <w:sz w:val="26"/>
          <w:szCs w:val="26"/>
          <w:rtl/>
        </w:rPr>
        <w:t xml:space="preserve">9.1 الأدوار</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القوائم المالية ودالة أداء التدفقات في 045 (ADR 0016)،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التقييم الثلاثة عشر في 047 (ADR 0017 و0018) · لا يكتب نتائج التقييم ولا عوامله ولا ملاحظاته ولا إعادة تبويبه ولا لقطة تسهيلاته ولا علاجاته وسيناريوهاته وخططه ومحفّزاته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047) · لا يكتب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045)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 ولا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ADR 0015)، وتبقى عروض التقارير مقروءة</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8" w:id="28"/>
      <w:r>
        <w:rPr>
          <w:rFonts w:ascii="Arial" w:cs="Arial" w:eastAsia="Arial" w:hAnsi="Arial"/>
          <w:b/>
          <w:bCs/>
          <w:color w:val="2B5C8A"/>
          <w:sz w:val="26"/>
          <w:szCs w:val="26"/>
          <w:rtl/>
        </w:rPr>
        <w:t xml:space="preserve">9.2 من أين تأتي المنح</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8"/>
        <w:gridCol w:w="3626"/>
      </w:tblGrid>
      <w:tr>
        <w:trPr>
          <w:cantSplit/>
          <w:tblHeader/>
        </w:trPr>
        <w:tc>
          <w:tcPr>
            <w:tcW w:type="dxa" w:w="6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الأعمدة المقيّدة (31)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(226 عبارة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‎db/static/045_financial_statements.sql‎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عروض القوائم المالية ودالة الأداء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(ADR 0016)</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‎db/static/046_credit_assessment.sql‎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حراس دورة حياة التقييم وتجميد مدخلاته ونتائجه (ADR 0017 و0018)</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الحساب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العروض الثلاثة عشر ودالة تحليل البنود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جداول النتائج التسعة وأعمدة النتيجة (ADR 0018)</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‎db/static/090_readonly_denies.sql‎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سكربت ثابت: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الدوال الداخلية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فتشمل كل دالة أنشأها ما قبله (ADR 0015)</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9.3 التحقق الثابت من الصلاحيات</w:t>
      </w:r>
      <w:bookmarkEnd w:id="29"/>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30" w:id="30"/>
      <w:r>
        <w:rPr>
          <w:rFonts w:ascii="Arial" w:cs="Arial" w:eastAsia="Arial" w:hAnsi="Arial"/>
          <w:b/>
          <w:bCs/>
          <w:color w:val="2B5C8A"/>
          <w:sz w:val="26"/>
          <w:szCs w:val="26"/>
          <w:rtl/>
        </w:rPr>
        <w:t xml:space="preserve">9.4 قواعد عامة</w:t>
      </w:r>
      <w:bookmarkEnd w:id="30"/>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1" w:id="31"/>
      <w:r>
        <w:rPr>
          <w:rFonts w:ascii="Arial" w:cs="Arial" w:eastAsia="Arial" w:hAnsi="Arial"/>
          <w:b/>
          <w:bCs/>
          <w:color w:val="1F3A5F"/>
          <w:sz w:val="32"/>
          <w:szCs w:val="32"/>
          <w:rtl/>
        </w:rPr>
        <w:t xml:space="preserve">10. خريطة المخططات والجداول</w:t>
      </w:r>
      <w:bookmarkEnd w:id="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6978"/>
        <w:gridCol w:w="1443"/>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المخطط</w:t>
            </w:r>
          </w:p>
        </w:tc>
        <w:tc>
          <w:tcPr>
            <w:tcW w:type="dxa" w:w="6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 Plan, PlanModule, Tenant, ReservedSubdomain, PlatformOperator, TenantModule, SupportAccessGrant, OperatorToken, OperatorSession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AppUser, Role, Permission, RolePermission, UserRole, UserCompanyScope, LoginAttempt, SessionBinding, UserSession, MfaRecoveryCode, UserToken, UserPasswordHistory, ExternalIdentity, TenantKey, KeyEvent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AuditLog, SensitiveAccessLog</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Document, DocumentVersion, DocumentLink</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SettingDefinition, TenantSetting, NumberSequenceDefinition, NumberSequence, NumberIssue, ExpiryAlertRule, ExpiryAlertRuleRole, ExpiryAlertLog, DataExportJob, NonWorkingDay, OutboxEvent, JobDefinition, JobRun, SeedRun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Company, CompanyTaxRate, Department, Shareholding, GoverningBody, BodyMember, AuthorityGrant, CompanyProfile, CompanyBranch, CompanyKycFinancialProfile, CompanyExpectedFlow, CompanyWealthSource, CompanyDisclosure, CompanyKeyRelation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Party, IdentityDocument, Address, ContactMethod, CustomFieldDefinition, PartyCustomField, KycProfile, KycProfileItem, KycProfileItemLegalForm, PartyCompliance, TaxIdentity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Country, Currency, Incoterm, UcpArticle, </w:t>
            </w:r>
            <w:r>
              <w:rPr>
                <w:rFonts w:ascii="Arial" w:cs="Arial" w:eastAsia="Arial" w:hAnsi="Arial"/>
                <w:b/>
                <w:bCs/>
                <w:sz w:val="18"/>
                <w:szCs w:val="18"/>
                <w:rtl/>
              </w:rPr>
              <w:t xml:space="preserve">Industry</w:t>
            </w:r>
            <w:r>
              <w:rPr>
                <w:rFonts w:ascii="Arial" w:cs="Arial" w:eastAsia="Arial" w:hAnsi="Arial"/>
                <w:b w:val="false"/>
                <w:bCs w:val="false"/>
                <w:sz w:val="18"/>
                <w:szCs w:val="18"/>
                <w:rtl/>
              </w:rPr>
              <w:t xml:space="preserve"> (الأقسام والفروع والأنشطة التفصيلية)</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مرجعي</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 TenantCurrency, InstitutionType, AccountType, LegalEntityType, DocumentType, Position, PowerType, OperationType, OperationTypePowerType, ProductCategory, Product, FeeType, FinancingType, ProductFeeType, ProductFinancingType, FacilityType, LimitType, LimitTypeProduct, CollateralType, CollateralTypeAttribute, ObligationType, BaseRate, BaseRateAlias, BaseRateValue, LookupList, LookupItem</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م4</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Institution, InstitutionUnit, Contact, Relationship, RelationshipContact, RelationshipProduct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BankAccount, FacilityAccount, Signatory, SignatoryAuthority, SignatoryAuthorityJointClass, AuthorityConflict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م3</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Facility, FacilityRevision, FacilityDocument, FacilityLender, OutstandingSnapshot, FacilityLenderDecision, Limit, LimitProductLine, LimitCompanyRule, ProductLineTerm, Utilization, LimitReservation, LimitMovement, ValueConflict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TariffSchedule, TariffItem, TariffTier, PricingRule, PricingTier</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TermType, TermValue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Collateral, CollateralLink, Guarantee, PromissoryNote, PromissoryNoteSigner, InsurancePolicyAssignment, ValuationSchedule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 Obligation, ObligationCompany, ReportingObligation, ReportingInstance, Covenant, CovenantAccount, CovenantTest, </w:t>
            </w:r>
            <w:r>
              <w:rPr>
                <w:rFonts w:ascii="Arial" w:cs="Arial" w:eastAsia="Arial" w:hAnsi="Arial"/>
                <w:b/>
                <w:bCs/>
                <w:sz w:val="18"/>
                <w:szCs w:val="18"/>
                <w:rtl/>
              </w:rPr>
              <w:t xml:space="preserve">CovenantTestStatement</w:t>
            </w:r>
            <w:r>
              <w:rPr>
                <w:rFonts w:ascii="Arial" w:cs="Arial" w:eastAsia="Arial" w:hAnsi="Arial"/>
                <w:b w:val="false"/>
                <w:bCs w:val="false"/>
                <w:sz w:val="18"/>
                <w:szCs w:val="18"/>
                <w:rtl/>
              </w:rPr>
              <w:t xml:space="preserve">, ObligationBreach</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 — LineCatalogItem, LineCatalogItemAlias, FinancialStatement, StatementLine, ConsolidationMember, StatementRatio, RevenueEstimate, AccountMonthlyStat, BankFlowEntry, MeasureFormula, </w:t>
            </w:r>
            <w:r>
              <w:rPr>
                <w:rFonts w:ascii="Arial" w:cs="Arial" w:eastAsia="Arial" w:hAnsi="Arial"/>
                <w:b/>
                <w:bCs/>
                <w:sz w:val="18"/>
                <w:szCs w:val="18"/>
                <w:rtl/>
              </w:rPr>
              <w:t xml:space="preserve">RatingGrade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CreditMetric</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ScorecardMetric</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ScorecardItemRule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ScorecardAdjustment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ScorecardParameter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ScorecardSubfactor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StandardLine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StandardLineTotal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IndustryProfile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ProductCategory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ShockDriver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MacroScenario</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MacroScenarioIntensity, MacroScenarioCountry, PresentationVersion, PresentationVersionStep, LenderRating</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IndustrySensitivity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CountryRiskProfile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CountryRegion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RiskAnchor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CreditRemedyTrigger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CreditRemedyStep</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StrengtheningPlan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StrengtheningPlanMember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CreditAssessmentInput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CreditAssessmentFactor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CreditAssessmentFinding</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CreditAssessmentGuarantor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CreditAssessmentBureau</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CompanyProductLine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CreditAssessmentReclass</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CreditAssessmentFacility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CreditAssessmentRemedy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CreditAssessmentScenario</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CreditAssessmentPlan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CreditAssessmentPlanStep</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CreditAssessmentTrigger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EarlyWarningAlert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AssessmentEvidencePack</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ReceivableLossRate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ReportingPeriodLock</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 RequestType, RequestTypeAudience, ExternalPhase, WorkflowTemplate, WorkflowStage, StageApprover, WorkflowTransition, WorkflowStageHook, TemplateField, TemplateAttachmentRule, Request, RequestComment, RequestAttachment, RequestExternalRef, RequestStageInstance, RequestApproval, RequestAction, HookExecution, UserDelegation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NotificationEventType, NotificationRule, NotificationTemplate, NotificationPreference, DigestBatch, Notification, NotificationDelivery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 — LcFieldDefinition, LcFieldUcpRef, Counterparty, LcDocumentClause, LcDocumentClauseUcpRef, LcTerms, LcTermsDocument, LcChargesMatrix, LcFormTemplate, LcFormFieldMap, LetterOfCredit, LcExternalRef, LcAmendment, LcDrawing, LcSalesOrder, LcDrawingAllocation, LcDiscrepancy, ProformaInvoice, ProformaLine, LcTermsComparison, LcTermsComparisonLine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العمود هو عدد الجداول في §1. بالخط العريض الأربعون جدولًا للتقييم الائتماني (ADR 0017 إلى 0019): المنهجية العالمية للمنصة (من </w:t>
      </w:r>
      <w:r>
        <w:rPr>
          <w:rFonts w:ascii="Courier New" w:cs="Courier New" w:eastAsia="Courier New" w:hAnsi="Courier New"/>
          <w:b w:val="false"/>
          <w:bCs w:val="false"/>
          <w:color w:val="1F2937"/>
          <w:sz w:val="18"/>
          <w:szCs w:val="18"/>
          <w:shd w:fill="F1F3F5" w:color="auto" w:val="clear"/>
          <w:rtl/>
        </w:rPr>
        <w:t xml:space="preserve">‎RatingGrade‎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‎CreditText‎</w:t>
      </w:r>
      <w:r>
        <w:rPr>
          <w:rFonts w:ascii="Arial" w:cs="Arial" w:eastAsia="Arial" w:hAnsi="Arial"/>
          <w:b w:val="false"/>
          <w:bCs w:val="false"/>
          <w:sz w:val="21"/>
          <w:szCs w:val="21"/>
          <w:rtl/>
        </w:rPr>
        <w:t xml:space="preserve">، ومعها </w:t>
      </w:r>
      <w:r>
        <w:rPr>
          <w:rFonts w:ascii="Courier New" w:cs="Courier New" w:eastAsia="Courier New" w:hAnsi="Courier New"/>
          <w:b w:val="false"/>
          <w:bCs w:val="false"/>
          <w:color w:val="1F2937"/>
          <w:sz w:val="18"/>
          <w:szCs w:val="18"/>
          <w:shd w:fill="F1F3F5" w:color="auto" w:val="clear"/>
          <w:rtl/>
        </w:rPr>
        <w:t xml:space="preserve">‎ref.Industry‎</w:t>
      </w:r>
      <w:r>
        <w:rPr>
          <w:rFonts w:ascii="Arial" w:cs="Arial" w:eastAsia="Arial" w:hAnsi="Arial"/>
          <w:b w:val="false"/>
          <w:bCs w:val="false"/>
          <w:sz w:val="21"/>
          <w:szCs w:val="21"/>
          <w:rtl/>
        </w:rPr>
        <w:t xml:space="preserve">)، ثم جداول المشترك (من </w:t>
      </w:r>
      <w:r>
        <w:rPr>
          <w:rFonts w:ascii="Courier New" w:cs="Courier New" w:eastAsia="Courier New" w:hAnsi="Courier New"/>
          <w:b w:val="false"/>
          <w:bCs w:val="false"/>
          <w:color w:val="1F2937"/>
          <w:sz w:val="18"/>
          <w:szCs w:val="18"/>
          <w:shd w:fill="F1F3F5" w:color="auto" w:val="clear"/>
          <w:rtl/>
        </w:rPr>
        <w:t xml:space="preserve">‎CreditAssessment‎</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‎CreditAssessmentTrigger‎</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val="false"/>
          <w:bCs w:val="false"/>
          <w:sz w:val="21"/>
          <w:szCs w:val="21"/>
          <w:rtl/>
        </w:rPr>
        <w:t xml:space="preserve">القاموس الكامل (عمود بعمود: النوع، الإلزام، الافتراضي، المرجع، الحساسية، الوصف): </w:t>
      </w:r>
      <w:r>
        <w:rPr>
          <w:rFonts w:ascii="Courier New" w:cs="Courier New" w:eastAsia="Courier New" w:hAnsi="Courier New"/>
          <w:b w:val="false"/>
          <w:bCs w:val="false"/>
          <w:color w:val="1F2937"/>
          <w:sz w:val="18"/>
          <w:szCs w:val="18"/>
          <w:shd w:fill="F1F3F5" w:color="auto" w:val="clear"/>
          <w:rtl/>
        </w:rPr>
        <w:t xml:space="preserve">‎21-data-dictionary.md‎</w:t>
      </w:r>
      <w:r>
        <w:rPr>
          <w:rFonts w:ascii="Arial" w:cs="Arial" w:eastAsia="Arial" w:hAnsi="Arial"/>
          <w:b w:val="false"/>
          <w:bCs w:val="false"/>
          <w:sz w:val="21"/>
          <w:szCs w:val="21"/>
          <w:rtl/>
        </w:rPr>
        <w:t xml:space="preserve">. مخططات العلاقات لكل مخطط: </w:t>
      </w:r>
      <w:r>
        <w:rPr>
          <w:rFonts w:ascii="Courier New" w:cs="Courier New" w:eastAsia="Courier New" w:hAnsi="Courier New"/>
          <w:b w:val="false"/>
          <w:bCs w:val="false"/>
          <w:color w:val="1F2937"/>
          <w:sz w:val="18"/>
          <w:szCs w:val="18"/>
          <w:shd w:fill="F1F3F5" w:color="auto" w:val="clear"/>
          <w:rtl/>
        </w:rPr>
        <w:t xml:space="preserve">‎22-erd-by-schema.md‎</w:t>
      </w:r>
      <w:r>
        <w:rPr>
          <w:rFonts w:ascii="Arial" w:cs="Arial" w:eastAsia="Arial" w:hAnsi="Arial"/>
          <w:b w:val="false"/>
          <w:bCs w:val="false"/>
          <w:sz w:val="21"/>
          <w:szCs w:val="21"/>
          <w:rtl/>
        </w:rPr>
        <w:t xml:space="preserve">.</w:t>
      </w:r>
    </w:p>
    <w:p>
      <w:pPr>
        <w:pStyle w:val="Heading2"/>
        <w:bidi/>
      </w:pPr>
      <w:bookmarkStart w:name="_sec32" w:id="32"/>
      <w:r>
        <w:rPr>
          <w:rFonts w:ascii="Arial" w:cs="Arial" w:eastAsia="Arial" w:hAnsi="Arial"/>
          <w:b/>
          <w:bCs/>
          <w:color w:val="2B5C8A"/>
          <w:sz w:val="26"/>
          <w:szCs w:val="26"/>
          <w:rtl/>
        </w:rPr>
        <w:t xml:space="preserve">10.1 تغطية المتطلبات</w:t>
      </w:r>
      <w:bookmarkEnd w:id="32"/>
    </w:p>
    <w:p>
      <w:pPr>
        <w:bidi/>
        <w:spacing w:after="110" w:before="0" w:line="312"/>
      </w:pPr>
      <w:r>
        <w:rPr>
          <w:rFonts w:ascii="Arial" w:cs="Arial" w:eastAsia="Arial" w:hAnsi="Arial"/>
          <w:b w:val="false"/>
          <w:bCs w:val="false"/>
          <w:sz w:val="21"/>
          <w:szCs w:val="21"/>
          <w:rtl/>
        </w:rPr>
        <w:t xml:space="preserve">فُحص آليًا أن كل كيان مسمّى في القسم 6 من المواصفات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1"/>
          <w:szCs w:val="21"/>
          <w:rtl/>
        </w:rPr>
        <w:t xml:space="preserve">) له جدول في النموذج؛ لم يظهر كيان ناقص. تعيين المتطلبات إلى الجداول مرجعه تعليقات النماذج (</w:t>
      </w:r>
      <w:r>
        <w:rPr>
          <w:rFonts w:ascii="Courier New" w:cs="Courier New" w:eastAsia="Courier New" w:hAnsi="Courier New"/>
          <w:b w:val="false"/>
          <w:bCs w:val="false"/>
          <w:color w:val="1F2937"/>
          <w:sz w:val="18"/>
          <w:szCs w:val="18"/>
          <w:shd w:fill="F1F3F5" w:color="auto" w:val="clear"/>
          <w:rtl/>
        </w:rPr>
        <w:t xml:space="preserve">‎FR-…‎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في كل جدول وعمود).</w:t>
      </w:r>
    </w:p>
    <w:p>
      <w:pPr>
        <w:pStyle w:val="Heading2"/>
        <w:bidi/>
      </w:pPr>
      <w:bookmarkStart w:name="_sec33" w:id="33"/>
      <w:r>
        <w:rPr>
          <w:rFonts w:ascii="Arial" w:cs="Arial" w:eastAsia="Arial" w:hAnsi="Arial"/>
          <w:b/>
          <w:bCs/>
          <w:color w:val="2B5C8A"/>
          <w:sz w:val="26"/>
          <w:szCs w:val="26"/>
          <w:rtl/>
        </w:rPr>
        <w:t xml:space="preserve">10.2 مخططات العلاقات حسب الوحدة</w:t>
      </w:r>
      <w:bookmarkEnd w:id="33"/>
    </w:p>
    <w:p>
      <w:pPr>
        <w:bidi/>
        <w:spacing w:after="110" w:before="0" w:line="312"/>
      </w:pPr>
      <w:r>
        <w:rPr>
          <w:rFonts w:ascii="Arial" w:cs="Arial" w:eastAsia="Arial" w:hAnsi="Arial"/>
          <w:b w:val="false"/>
          <w:bCs w:val="false"/>
          <w:sz w:val="21"/>
          <w:szCs w:val="21"/>
          <w:rtl/>
        </w:rPr>
        <w:t xml:space="preserve">تُقرأ الصور كما يلي: كل صندوق جدول، وتحته مفتاحه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ومفاتيحه الأجنبية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مع الجدول الذي يشير إليه، والأسهم هي المفاتيح الأجنبية الفعلية ويُكتب اسم العمود على السهم. الصورة تعرض جداول المجموعة فقط (حتى أربعة جداول)، والعلاقات إلى جداول خارجها تُقرأ من جدول العلاقات.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(انظر §3.7)، ولم يُرسم ذلك في كل صورة.</w:t>
      </w:r>
    </w:p>
    <w:p>
      <w:pPr>
        <w:pStyle w:val="Heading3"/>
        <w:bidi/>
      </w:pPr>
      <w:bookmarkStart w:name="_sec34" w:id="34"/>
      <w:r>
        <w:rPr>
          <w:rFonts w:ascii="Arial" w:cs="Arial" w:eastAsia="Arial" w:hAnsi="Arial"/>
          <w:b/>
          <w:bCs/>
          <w:color w:val="2B5C8A"/>
          <w:sz w:val="23"/>
          <w:szCs w:val="23"/>
          <w:rtl/>
        </w:rPr>
        <w:t xml:space="preserve">الهوية والمشترك والصلاحيات (م0)</w:t>
      </w:r>
      <w:bookmarkEnd w:id="34"/>
    </w:p>
    <w:p>
      <w:pPr>
        <w:keepNext/>
        <w:bidi/>
        <w:spacing w:after="60" w:before="160"/>
        <w:jc w:val="center"/>
      </w:pPr>
      <w:r>
        <w:drawing>
          <wp:inline distT="0" distB="0" distL="0" distR="0">
            <wp:extent cx="5114925" cy="8191500"/>
            <wp:effectExtent t="0" r="0" b="0" l="0"/>
            <wp:docPr id="1" name="diagrams/erd_m0_identity.png" descr="م0: الهوية والمشترك والصلاحيات" title="م0: الهوية والمشترك والصلاحي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149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الهوية والمشترك والصلاحيات</w:t>
      </w:r>
    </w:p>
    <w:p>
      <w:pPr>
        <w:pStyle w:val="Heading3"/>
        <w:bidi/>
      </w:pPr>
      <w:bookmarkStart w:name="_sec35" w:id="35"/>
      <w:r>
        <w:rPr>
          <w:rFonts w:ascii="Arial" w:cs="Arial" w:eastAsia="Arial" w:hAnsi="Arial"/>
          <w:b/>
          <w:bCs/>
          <w:color w:val="2B5C8A"/>
          <w:sz w:val="23"/>
          <w:szCs w:val="23"/>
          <w:rtl/>
        </w:rPr>
        <w:t xml:space="preserve">التدقيق والمستندات والإعدادات (م0)</w:t>
      </w:r>
      <w:bookmarkEnd w:id="35"/>
    </w:p>
    <w:p>
      <w:pPr>
        <w:keepNext/>
        <w:bidi/>
        <w:spacing w:after="60" w:before="160"/>
        <w:jc w:val="center"/>
      </w:pPr>
      <w:r>
        <w:drawing>
          <wp:inline distT="0" distB="0" distL="0" distR="0">
            <wp:extent cx="6096000" cy="6724650"/>
            <wp:effectExtent t="0" r="0" b="0" l="0"/>
            <wp:docPr id="1" name="diagrams/erd_m0_platform.png" descr="م0: التدقيق والمستندات والإعدادات" title="م0: التدقيق والمستندات والإعداد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672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التدقيق والمستندات والإعدادات</w:t>
      </w:r>
    </w:p>
    <w:p>
      <w:pPr>
        <w:pStyle w:val="Heading3"/>
        <w:bidi/>
      </w:pPr>
      <w:bookmarkStart w:name="_sec36" w:id="36"/>
      <w:r>
        <w:rPr>
          <w:rFonts w:ascii="Arial" w:cs="Arial" w:eastAsia="Arial" w:hAnsi="Arial"/>
          <w:b/>
          <w:bCs/>
          <w:color w:val="2B5C8A"/>
          <w:sz w:val="23"/>
          <w:szCs w:val="23"/>
          <w:rtl/>
        </w:rPr>
        <w:t xml:space="preserve">الهيكل المؤسسي والأشخاص (م1)</w:t>
      </w:r>
      <w:bookmarkEnd w:id="36"/>
    </w:p>
    <w:p>
      <w:pPr>
        <w:keepNext/>
        <w:bidi/>
        <w:spacing w:after="60" w:before="160"/>
        <w:jc w:val="center"/>
      </w:pPr>
      <w:r>
        <w:drawing>
          <wp:inline distT="0" distB="0" distL="0" distR="0">
            <wp:extent cx="6096000" cy="8162925"/>
            <wp:effectExtent t="0" r="0" b="0" l="0"/>
            <wp:docPr id="1" name="diagrams/erd_m1_org.png" descr="م1: الهيكل المؤسسي والأشخاص" title="م1: الهيكل المؤسسي والأشخا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الهيكل المؤسسي والأشخاص</w:t>
      </w:r>
    </w:p>
    <w:p>
      <w:pPr>
        <w:pStyle w:val="Heading3"/>
        <w:bidi/>
      </w:pPr>
      <w:bookmarkStart w:name="_sec37" w:id="37"/>
      <w:r>
        <w:rPr>
          <w:rFonts w:ascii="Arial" w:cs="Arial" w:eastAsia="Arial" w:hAnsi="Arial"/>
          <w:b/>
          <w:bCs/>
          <w:color w:val="2B5C8A"/>
          <w:sz w:val="23"/>
          <w:szCs w:val="23"/>
          <w:rtl/>
        </w:rPr>
        <w:t xml:space="preserve">المنشآت والحسابات والمفوّضون (م2–م3)</w:t>
      </w:r>
      <w:bookmarkEnd w:id="37"/>
    </w:p>
    <w:p>
      <w:pPr>
        <w:keepNext/>
        <w:bidi/>
        <w:spacing w:after="60" w:before="160"/>
        <w:jc w:val="center"/>
      </w:pPr>
      <w:r>
        <w:drawing>
          <wp:inline distT="0" distB="0" distL="0" distR="0">
            <wp:extent cx="6096000" cy="4638675"/>
            <wp:effectExtent t="0" r="0" b="0" l="0"/>
            <wp:docPr id="1" name="diagrams/erd_m2_3_accounts.png" descr="م2–م3: المنشآت والحسابات والمفوّضون" title="م2–م3: المنشآت والحسابات والمفوّض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638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المنشآت والحسابات والمفوّضون</w:t>
      </w:r>
    </w:p>
    <w:p>
      <w:pPr>
        <w:pStyle w:val="Heading3"/>
        <w:bidi/>
      </w:pPr>
      <w:bookmarkStart w:name="_sec38" w:id="38"/>
      <w:r>
        <w:rPr>
          <w:rFonts w:ascii="Arial" w:cs="Arial" w:eastAsia="Arial" w:hAnsi="Arial"/>
          <w:b/>
          <w:bCs/>
          <w:color w:val="2B5C8A"/>
          <w:sz w:val="23"/>
          <w:szCs w:val="23"/>
          <w:rtl/>
        </w:rPr>
        <w:t xml:space="preserve">الكتالوجات (م4)</w:t>
      </w:r>
      <w:bookmarkEnd w:id="38"/>
    </w:p>
    <w:p>
      <w:pPr>
        <w:keepNext/>
        <w:bidi/>
        <w:spacing w:after="60" w:before="160"/>
        <w:jc w:val="center"/>
      </w:pPr>
      <w:r>
        <w:drawing>
          <wp:inline distT="0" distB="0" distL="0" distR="0">
            <wp:extent cx="4581525" cy="8191500"/>
            <wp:effectExtent t="0" r="0" b="0" l="0"/>
            <wp:docPr id="1" name="diagrams/erd_m4_catalogs.png" descr="م4: الكتالوجات" title="م4: الكتالوج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815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الكتالوجات</w:t>
      </w:r>
    </w:p>
    <w:p>
      <w:pPr>
        <w:pStyle w:val="Heading3"/>
        <w:bidi/>
      </w:pPr>
      <w:bookmarkStart w:name="_sec39" w:id="39"/>
      <w:r>
        <w:rPr>
          <w:rFonts w:ascii="Arial" w:cs="Arial" w:eastAsia="Arial" w:hAnsi="Arial"/>
          <w:b/>
          <w:bCs/>
          <w:color w:val="2B5C8A"/>
          <w:sz w:val="23"/>
          <w:szCs w:val="23"/>
          <w:rtl/>
        </w:rPr>
        <w:t xml:space="preserve">التسهيلات والحدود (م5)</w:t>
      </w:r>
      <w:bookmarkEnd w:id="39"/>
    </w:p>
    <w:p>
      <w:pPr>
        <w:keepNext/>
        <w:bidi/>
        <w:spacing w:after="60" w:before="160"/>
        <w:jc w:val="center"/>
      </w:pPr>
      <w:r>
        <w:drawing>
          <wp:inline distT="0" distB="0" distL="0" distR="0">
            <wp:extent cx="6096000" cy="4791075"/>
            <wp:effectExtent t="0" r="0" b="0" l="0"/>
            <wp:docPr id="1" name="diagrams/erd_m5_facilities.png" descr="م5: التسهيلات والحدود" title="م5: التسهيلات والحدو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4791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التسهيلات والحدود</w:t>
      </w:r>
    </w:p>
    <w:p>
      <w:pPr>
        <w:pStyle w:val="Heading3"/>
        <w:bidi/>
      </w:pPr>
      <w:bookmarkStart w:name="_sec40" w:id="40"/>
      <w:r>
        <w:rPr>
          <w:rFonts w:ascii="Arial" w:cs="Arial" w:eastAsia="Arial" w:hAnsi="Arial"/>
          <w:b/>
          <w:bCs/>
          <w:color w:val="2B5C8A"/>
          <w:sz w:val="23"/>
          <w:szCs w:val="23"/>
          <w:rtl/>
        </w:rPr>
        <w:t xml:space="preserve">التسعير والتعرفة وشروط المقارنة (م5)</w:t>
      </w:r>
      <w:bookmarkEnd w:id="40"/>
    </w:p>
    <w:p>
      <w:pPr>
        <w:keepNext/>
        <w:bidi/>
        <w:spacing w:after="60" w:before="160"/>
        <w:jc w:val="center"/>
      </w:pPr>
      <w:r>
        <w:drawing>
          <wp:inline distT="0" distB="0" distL="0" distR="0">
            <wp:extent cx="6096000" cy="5181600"/>
            <wp:effectExtent t="0" r="0" b="0" l="0"/>
            <wp:docPr id="1" name="diagrams/erd_m5_pricing.png" descr="م5: التسعير والتعرفة وشروط المقارنة" title="م5: التسعير والتعرفة وشروط المقار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181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التسعير والتعرفة وشروط المقارنة</w:t>
      </w:r>
    </w:p>
    <w:p>
      <w:pPr>
        <w:pStyle w:val="Heading3"/>
        <w:bidi/>
      </w:pPr>
      <w:bookmarkStart w:name="_sec41" w:id="41"/>
      <w:r>
        <w:rPr>
          <w:rFonts w:ascii="Arial" w:cs="Arial" w:eastAsia="Arial" w:hAnsi="Arial"/>
          <w:b/>
          <w:bCs/>
          <w:color w:val="2B5C8A"/>
          <w:sz w:val="23"/>
          <w:szCs w:val="23"/>
          <w:rtl/>
        </w:rPr>
        <w:t xml:space="preserve">الضمانات (م5)</w:t>
      </w:r>
      <w:bookmarkEnd w:id="41"/>
    </w:p>
    <w:p>
      <w:pPr>
        <w:keepNext/>
        <w:bidi/>
        <w:spacing w:after="60" w:before="160"/>
        <w:jc w:val="center"/>
      </w:pPr>
      <w:r>
        <w:drawing>
          <wp:inline distT="0" distB="0" distL="0" distR="0">
            <wp:extent cx="6096000" cy="4067175"/>
            <wp:effectExtent t="0" r="0" b="0" l="0"/>
            <wp:docPr id="1" name="diagrams/erd_m5_collateral.png" descr="م5: الضمانات" title="م5: الضمان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4067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الضمانات</w:t>
      </w:r>
    </w:p>
    <w:p>
      <w:pPr>
        <w:pStyle w:val="Heading3"/>
        <w:bidi/>
      </w:pPr>
      <w:bookmarkStart w:name="_sec42" w:id="42"/>
      <w:r>
        <w:rPr>
          <w:rFonts w:ascii="Arial" w:cs="Arial" w:eastAsia="Arial" w:hAnsi="Arial"/>
          <w:b/>
          <w:bCs/>
          <w:color w:val="2B5C8A"/>
          <w:sz w:val="23"/>
          <w:szCs w:val="23"/>
          <w:rtl/>
        </w:rPr>
        <w:t xml:space="preserve">الالتزامات والبيانات المالية (م5)</w:t>
      </w:r>
      <w:bookmarkEnd w:id="42"/>
    </w:p>
    <w:p>
      <w:pPr>
        <w:keepNext/>
        <w:bidi/>
        <w:spacing w:after="60" w:before="160"/>
        <w:jc w:val="center"/>
      </w:pPr>
      <w:r>
        <w:drawing>
          <wp:inline distT="0" distB="0" distL="0" distR="0">
            <wp:extent cx="6096000" cy="6219825"/>
            <wp:effectExtent t="0" r="0" b="0" l="0"/>
            <wp:docPr id="1" name="diagrams/erd_m5_obligations.png" descr="م5: الالتزامات والبيانات المالية" title="م5: الالتزامات والبيانات المال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6219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الالتزامات والبيانات المالية</w:t>
      </w:r>
    </w:p>
    <w:p>
      <w:pPr>
        <w:pStyle w:val="Heading3"/>
        <w:bidi/>
      </w:pPr>
      <w:bookmarkStart w:name="_sec43" w:id="43"/>
      <w:r>
        <w:rPr>
          <w:rFonts w:ascii="Arial" w:cs="Arial" w:eastAsia="Arial" w:hAnsi="Arial"/>
          <w:b/>
          <w:bCs/>
          <w:color w:val="2B5C8A"/>
          <w:sz w:val="23"/>
          <w:szCs w:val="23"/>
          <w:rtl/>
        </w:rPr>
        <w:t xml:space="preserve">محرك الطلبات ودورات العمل (م6)</w:t>
      </w:r>
      <w:bookmarkEnd w:id="43"/>
    </w:p>
    <w:p>
      <w:pPr>
        <w:keepNext/>
        <w:bidi/>
        <w:spacing w:after="60" w:before="160"/>
        <w:jc w:val="center"/>
      </w:pPr>
      <w:r>
        <w:drawing>
          <wp:inline distT="0" distB="0" distL="0" distR="0">
            <wp:extent cx="6096000" cy="7172325"/>
            <wp:effectExtent t="0" r="0" b="0" l="0"/>
            <wp:docPr id="1" name="diagrams/erd_m6_workflow.png" descr="م6: محرك الطلبات ودورات العمل" title="م6: محرك الطلبات ودورات العم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172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محرك الطلبات ودورات العمل</w:t>
      </w:r>
    </w:p>
    <w:p>
      <w:pPr>
        <w:pStyle w:val="Heading3"/>
        <w:bidi/>
      </w:pPr>
      <w:bookmarkStart w:name="_sec44" w:id="44"/>
      <w:r>
        <w:rPr>
          <w:rFonts w:ascii="Arial" w:cs="Arial" w:eastAsia="Arial" w:hAnsi="Arial"/>
          <w:b/>
          <w:bCs/>
          <w:color w:val="2B5C8A"/>
          <w:sz w:val="23"/>
          <w:szCs w:val="23"/>
          <w:rtl/>
        </w:rPr>
        <w:t xml:space="preserve">الإشعارات (م6)</w:t>
      </w:r>
      <w:bookmarkEnd w:id="44"/>
    </w:p>
    <w:p>
      <w:pPr>
        <w:keepNext/>
        <w:bidi/>
        <w:spacing w:after="60" w:before="160"/>
        <w:jc w:val="center"/>
      </w:pPr>
      <w:r>
        <w:drawing>
          <wp:inline distT="0" distB="0" distL="0" distR="0">
            <wp:extent cx="6096000" cy="4448175"/>
            <wp:effectExtent t="0" r="0" b="0" l="0"/>
            <wp:docPr id="1" name="diagrams/erd_m6_notifications.png" descr="م6: الإشعارات" title="م6: الإشعار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4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الإشعارات</w:t>
      </w:r>
    </w:p>
    <w:p>
      <w:pPr>
        <w:pStyle w:val="Heading3"/>
        <w:bidi/>
      </w:pPr>
      <w:bookmarkStart w:name="_sec45" w:id="45"/>
      <w:r>
        <w:rPr>
          <w:rFonts w:ascii="Arial" w:cs="Arial" w:eastAsia="Arial" w:hAnsi="Arial"/>
          <w:b/>
          <w:bCs/>
          <w:color w:val="2B5C8A"/>
          <w:sz w:val="23"/>
          <w:szCs w:val="23"/>
          <w:rtl/>
        </w:rPr>
        <w:t xml:space="preserve">الاعتمادات المستندية والبروفورما (م7/م8)</w:t>
      </w:r>
      <w:bookmarkEnd w:id="45"/>
    </w:p>
    <w:p>
      <w:pPr>
        <w:keepNext/>
        <w:bidi/>
        <w:spacing w:after="60" w:before="160"/>
        <w:jc w:val="center"/>
      </w:pPr>
      <w:r>
        <w:drawing>
          <wp:inline distT="0" distB="0" distL="0" distR="0">
            <wp:extent cx="6096000" cy="6781800"/>
            <wp:effectExtent t="0" r="0" b="0" l="0"/>
            <wp:docPr id="1" name="diagrams/erd_m7_8_lc.png" descr="م7/م8: الاعتمادات المستندية والبروفورما" title="م7/م8: الاعتمادات المستندية والبروفورم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781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الاعتمادات المستندية والبروفورما</w:t>
      </w:r>
    </w:p>
    <w:p>
      <w:pPr>
        <w:pStyle w:val="Heading1"/>
        <w:bidi/>
      </w:pPr>
      <w:bookmarkStart w:name="_sec46" w:id="46"/>
      <w:r>
        <w:rPr>
          <w:rFonts w:ascii="Arial" w:cs="Arial" w:eastAsia="Arial" w:hAnsi="Arial"/>
          <w:b/>
          <w:bCs/>
          <w:color w:val="1F3A5F"/>
          <w:sz w:val="32"/>
          <w:szCs w:val="32"/>
          <w:rtl/>
        </w:rPr>
        <w:t xml:space="preserve">11. أنماط التصميم للمجالات الرئيسية</w:t>
      </w:r>
      <w:bookmarkEnd w:id="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r>
              <w:rPr>
                <w:rFonts w:ascii="Arial" w:cs="Arial" w:eastAsia="Arial" w:hAnsi="Arial"/>
                <w:b w:val="false"/>
                <w:bCs w:val="false"/>
                <w:sz w:val="18"/>
                <w:szCs w:val="18"/>
                <w:rtl/>
              </w:rPr>
              <w:t xml:space="preserve">؛ ووحدة القوائم المالية (§11.4)</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11.1 إقفال دورة العمل بيد إدارة الخزينة (C-7)</w:t>
      </w:r>
      <w:bookmarkEnd w:id="47"/>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48" w:id="48"/>
      <w:r>
        <w:rPr>
          <w:rFonts w:ascii="Arial" w:cs="Arial" w:eastAsia="Arial" w:hAnsi="Arial"/>
          <w:b/>
          <w:bCs/>
          <w:color w:val="2B5C8A"/>
          <w:sz w:val="26"/>
          <w:szCs w:val="26"/>
          <w:rtl/>
        </w:rPr>
        <w:t xml:space="preserve">11.2 الملكية المتعددة والمراجع المركّبة (DR-04 · DR-06 · DR-09 · DR-10)</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49" w:id="49"/>
      <w:r>
        <w:rPr>
          <w:rFonts w:ascii="Arial" w:cs="Arial" w:eastAsia="Arial" w:hAnsi="Arial"/>
          <w:b/>
          <w:bCs/>
          <w:color w:val="2B5C8A"/>
          <w:sz w:val="26"/>
          <w:szCs w:val="26"/>
          <w:rtl/>
        </w:rPr>
        <w:t xml:space="preserve">11.3 الكتالوجات المملوكة للمشترك (DR-03 · DR-05 · DR-07)</w:t>
      </w:r>
      <w:bookmarkEnd w:id="49"/>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2"/>
        <w:bidi/>
      </w:pPr>
      <w:bookmarkStart w:name="_sec50" w:id="50"/>
      <w:r>
        <w:rPr>
          <w:rFonts w:ascii="Arial" w:cs="Arial" w:eastAsia="Arial" w:hAnsi="Arial"/>
          <w:b/>
          <w:bCs/>
          <w:color w:val="2B5C8A"/>
          <w:sz w:val="26"/>
          <w:szCs w:val="26"/>
          <w:rtl/>
        </w:rPr>
        <w:t xml:space="preserve">11.4 القوائم المالية والتعهدات (ADR 0016، </w:t>
      </w:r>
      <w:r>
        <w:rPr>
          <w:rFonts w:ascii="Courier New" w:cs="Courier New" w:eastAsia="Courier New" w:hAnsi="Courier New"/>
          <w:b/>
          <w:bCs/>
          <w:color w:val="1F2937"/>
          <w:sz w:val="22"/>
          <w:szCs w:val="22"/>
          <w:rtl/>
        </w:rPr>
        <w:t xml:space="preserve">‎045_financial_statements.sql‎</w:t>
      </w:r>
      <w:r>
        <w:rPr>
          <w:rFonts w:ascii="Arial" w:cs="Arial" w:eastAsia="Arial" w:hAnsi="Arial"/>
          <w:b/>
          <w:bCs/>
          <w:color w:val="2B5C8A"/>
          <w:sz w:val="26"/>
          <w:szCs w:val="26"/>
          <w:rtl/>
        </w:rPr>
        <w:t xml:space="preserve">)</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19"/>
        <w:gridCol w:w="3430"/>
        <w:gridCol w:w="1715"/>
      </w:tblGrid>
      <w:tr>
        <w:trPr>
          <w:cantSplit/>
          <w:tblHeader/>
        </w:trPr>
        <w:tc>
          <w:tcPr>
            <w:tcW w:type="dxa" w:w="4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مستقلة للشركة، وموحّدة للقابضة وحدها (</w:t>
            </w:r>
            <w:r>
              <w:rPr>
                <w:rFonts w:ascii="Courier New" w:cs="Courier New" w:eastAsia="Courier New" w:hAnsi="Courier New"/>
                <w:b w:val="false"/>
                <w:bCs w:val="false"/>
                <w:color w:val="1F2937"/>
                <w:sz w:val="16"/>
                <w:szCs w:val="16"/>
                <w:shd w:fill="F1F3F5" w:color="auto" w:val="clear"/>
                <w:rtl/>
              </w:rPr>
              <w:t xml:space="preserve">‎org.Company.IsHolding‎</w:t>
            </w:r>
            <w:r>
              <w:rPr>
                <w:rFonts w:ascii="Arial" w:cs="Arial" w:eastAsia="Arial" w:hAnsi="Arial"/>
                <w:b w:val="false"/>
                <w:bCs w:val="false"/>
                <w:sz w:val="18"/>
                <w:szCs w:val="18"/>
                <w:rtl/>
              </w:rPr>
              <w:t xml:space="preserve">)؛ تُكتب مسودة، ولا يتغير رأسها وبنودها ووحداتها إلا مسودة؛ الحالة </w:t>
            </w:r>
            <w:r>
              <w:rPr>
                <w:rFonts w:ascii="Courier New" w:cs="Courier New" w:eastAsia="Courier New" w:hAnsi="Courier New"/>
                <w:b w:val="false"/>
                <w:bCs w:val="false"/>
                <w:color w:val="1F2937"/>
                <w:sz w:val="16"/>
                <w:szCs w:val="16"/>
                <w:shd w:fill="F1F3F5" w:color="auto" w:val="clear"/>
                <w:rtl/>
              </w:rPr>
              <w:t xml:space="preserve">‎DRAFT → SUBMITTED → APPROVED → SUPERSEDED‎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‎SUBMITTED → REJECTED → DRAFT‎</w:t>
            </w:r>
            <w:r>
              <w:rPr>
                <w:rFonts w:ascii="Arial" w:cs="Arial" w:eastAsia="Arial" w:hAnsi="Arial"/>
                <w:b w:val="false"/>
                <w:bCs w:val="false"/>
                <w:sz w:val="18"/>
                <w:szCs w:val="18"/>
                <w:rtl/>
              </w:rPr>
              <w:t xml:space="preserve">؛ المدققة تسمّي مدققها ورأيه، ومعتمدها غير معدّها</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045 (50060، 50061) وقيود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القائمة الموحّدة: القابضة وحدة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واحدة، وكل تابعة وزميلة ومشروع مشترك بطريقته ونسبته وتاريخ دخوله أو خروجه وقائمتها المستقلة إن وُجدت</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مركّب على أساس القائمة؛ التقديم بلا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ووحدة أخرى يُرفض (50061)</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واحد لكل قائمة وصيغة (</w:t>
            </w:r>
            <w:r>
              <w:rPr>
                <w:rFonts w:ascii="Courier New" w:cs="Courier New" w:eastAsia="Courier New" w:hAnsi="Courier New"/>
                <w:b w:val="false"/>
                <w:bCs w:val="false"/>
                <w:color w:val="1F2937"/>
                <w:sz w:val="16"/>
                <w:szCs w:val="16"/>
                <w:shd w:fill="F1F3F5" w:color="auto" w:val="clear"/>
                <w:rtl/>
              </w:rPr>
              <w:t xml:space="preserve">‎MeasureFormula.Scope = ANALYSIS‎</w:t>
            </w:r>
            <w:r>
              <w:rPr>
                <w:rFonts w:ascii="Arial" w:cs="Arial" w:eastAsia="Arial" w:hAnsi="Arial"/>
                <w:b w:val="false"/>
                <w:bCs w:val="false"/>
                <w:sz w:val="18"/>
                <w:szCs w:val="18"/>
                <w:rtl/>
              </w:rPr>
              <w:t xml:space="preserve">، ووحدة </w:t>
            </w:r>
            <w:r>
              <w:rPr>
                <w:rFonts w:ascii="Courier New" w:cs="Courier New" w:eastAsia="Courier New" w:hAnsi="Courier New"/>
                <w:b w:val="false"/>
                <w:bCs w:val="false"/>
                <w:color w:val="1F2937"/>
                <w:sz w:val="16"/>
                <w:szCs w:val="16"/>
                <w:shd w:fill="F1F3F5" w:color="auto" w:val="clear"/>
                <w:rtl/>
              </w:rPr>
              <w:t xml:space="preserve">‎DAYS‎</w:t>
            </w:r>
            <w:r>
              <w:rPr>
                <w:rFonts w:ascii="Arial" w:cs="Arial" w:eastAsia="Arial" w:hAnsi="Arial"/>
                <w:b w:val="false"/>
                <w:bCs w:val="false"/>
                <w:sz w:val="18"/>
                <w:szCs w:val="18"/>
                <w:rtl/>
              </w:rPr>
              <w:t xml:space="preserve"> للتحليل وحده) بلقطته أو سبب تعذّر حسابه</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لقطة الاختبار عند </w:t>
            </w:r>
            <w:r>
              <w:rPr>
                <w:rFonts w:ascii="Courier New" w:cs="Courier New" w:eastAsia="Courier New" w:hAnsi="Courier New"/>
                <w:b w:val="false"/>
                <w:bCs w:val="false"/>
                <w:color w:val="1F2937"/>
                <w:sz w:val="16"/>
                <w:szCs w:val="16"/>
                <w:shd w:fill="F1F3F5" w:color="auto" w:val="clear"/>
                <w:rtl/>
              </w:rPr>
              <w:t xml:space="preserve">‎EVALUATED‎</w:t>
            </w:r>
            <w:r>
              <w:rPr>
                <w:rFonts w:ascii="Arial" w:cs="Arial" w:eastAsia="Arial" w:hAnsi="Arial"/>
                <w:b w:val="false"/>
                <w:bCs w:val="false"/>
                <w:sz w:val="18"/>
                <w:szCs w:val="18"/>
                <w:rtl/>
              </w:rPr>
              <w:t xml:space="preserve"> بقادح يعمل أخيرًا بعد فحوص 044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الاختبار المرتبط لا يُحذف</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الإيرادات المعتمد لسنة مالية، لتعهد حصة الإيرادات بلا قائمة سنوية (Q-FIN-05)</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نوعه من قائمة </w:t>
            </w:r>
            <w:r>
              <w:rPr>
                <w:rFonts w:ascii="Courier New" w:cs="Courier New" w:eastAsia="Courier New" w:hAnsi="Courier New"/>
                <w:b w:val="false"/>
                <w:bCs w:val="false"/>
                <w:color w:val="1F2937"/>
                <w:sz w:val="16"/>
                <w:szCs w:val="16"/>
                <w:shd w:fill="F1F3F5" w:color="auto" w:val="clear"/>
                <w:rtl/>
              </w:rPr>
              <w:t xml:space="preserve">‎FLOW_KIND‎</w:t>
            </w:r>
            <w:r>
              <w:rPr>
                <w:rFonts w:ascii="Arial" w:cs="Arial" w:eastAsia="Arial" w:hAnsi="Arial"/>
                <w:b w:val="false"/>
                <w:bCs w:val="false"/>
                <w:sz w:val="18"/>
                <w:szCs w:val="18"/>
                <w:rtl/>
              </w:rPr>
              <w:t xml:space="preserve"> بمفتاح مركّب، وحالته </w:t>
            </w:r>
            <w:r>
              <w:rPr>
                <w:rFonts w:ascii="Courier New" w:cs="Courier New" w:eastAsia="Courier New" w:hAnsi="Courier New"/>
                <w:b w:val="false"/>
                <w:bCs w:val="false"/>
                <w:color w:val="1F2937"/>
                <w:sz w:val="16"/>
                <w:szCs w:val="16"/>
                <w:shd w:fill="F1F3F5" w:color="auto" w:val="clear"/>
                <w:rtl/>
              </w:rPr>
              <w:t xml:space="preserve">‎DRAFT/CONFIRMED‎</w:t>
            </w:r>
            <w:r>
              <w:rPr>
                <w:rFonts w:ascii="Arial" w:cs="Arial" w:eastAsia="Arial" w:hAnsi="Arial"/>
                <w:b w:val="false"/>
                <w:bCs w:val="false"/>
                <w:sz w:val="18"/>
                <w:szCs w:val="18"/>
                <w:rtl/>
              </w:rPr>
              <w:t xml:space="preserve"> يؤكدها غير مُدخلها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ويُدخل للشهر على مستوى البنك أو لكل تسهيل لا الاثنين</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50062</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‎fin.v_StatementBreachReport‎</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مخالفة أو إنذار مبكر لآخر تقييم في كل فترة تعهد قرأ قوائم: القائمة وإصدارها وأساسها، والتعهد وبنده، والتسهيل وبنكه، وسجل المخالفة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يقرؤه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‎fin.fn_BankFlowPerformance(@AsOf)‎</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كل تعهد تدفق أو حصة إيرادات سارٍ في التاريخ: النافذة، والمؤكَّد والمنتظر، والباقي والمعدل الشهري اللازم، والإنجاز والحالة</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تحسب عند القراءة</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‎fin.v_ConsolidationUnits‎</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وحدة بقائمتها المعتمدة ونسبة الملكية المسجّلة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w:t>
            </w:r>
          </w:p>
        </w:tc>
      </w:tr>
    </w:tbl>
    <w:p>
      <w:pPr>
        <w:bidi/>
        <w:spacing w:after="120" w:before="0"/>
      </w:pPr>
    </w:p>
    <w:p>
      <w:pPr>
        <w:bidi/>
        <w:spacing w:after="110" w:before="0" w:line="312"/>
      </w:pPr>
      <w:r>
        <w:rPr>
          <w:rFonts w:ascii="Arial" w:cs="Arial" w:eastAsia="Arial" w:hAnsi="Arial"/>
          <w:b w:val="false"/>
          <w:bCs w:val="false"/>
          <w:sz w:val="21"/>
          <w:szCs w:val="21"/>
          <w:rtl/>
        </w:rPr>
        <w:t xml:space="preserve">الربط مع نظام التقييم الائتماني الخارجي مرحلة لاحقة لم تُبنَ (المواصفة 12 §11).</w:t>
      </w:r>
    </w:p>
    <w:p>
      <w:pPr>
        <w:pStyle w:val="Heading2"/>
        <w:bidi/>
      </w:pPr>
      <w:bookmarkStart w:name="_sec51" w:id="51"/>
      <w:r>
        <w:rPr>
          <w:rFonts w:ascii="Arial" w:cs="Arial" w:eastAsia="Arial" w:hAnsi="Arial"/>
          <w:b/>
          <w:bCs/>
          <w:color w:val="2B5C8A"/>
          <w:sz w:val="26"/>
          <w:szCs w:val="26"/>
          <w:rtl/>
        </w:rPr>
        <w:t xml:space="preserve">11.5 التقييم الائتماني على سلّم موديز (ADR 0017 إلى 0019، </w:t>
      </w:r>
      <w:r>
        <w:rPr>
          <w:rFonts w:ascii="Courier New" w:cs="Courier New" w:eastAsia="Courier New" w:hAnsi="Courier New"/>
          <w:b/>
          <w:bCs/>
          <w:color w:val="1F2937"/>
          <w:sz w:val="22"/>
          <w:szCs w:val="22"/>
          <w:rtl/>
        </w:rPr>
        <w:t xml:space="preserve">‎046_credit_assessment.sql‎</w:t>
      </w:r>
      <w:r>
        <w:rPr>
          <w:rFonts w:ascii="Arial" w:cs="Arial" w:eastAsia="Arial" w:hAnsi="Arial"/>
          <w:b/>
          <w:bCs/>
          <w:color w:val="2B5C8A"/>
          <w:sz w:val="26"/>
          <w:szCs w:val="26"/>
          <w:rtl/>
        </w:rPr>
        <w:t xml:space="preserve"> و</w:t>
      </w:r>
      <w:r>
        <w:rPr>
          <w:rFonts w:ascii="Courier New" w:cs="Courier New" w:eastAsia="Courier New" w:hAnsi="Courier New"/>
          <w:b/>
          <w:bCs/>
          <w:color w:val="1F2937"/>
          <w:sz w:val="22"/>
          <w:szCs w:val="22"/>
          <w:rtl/>
        </w:rPr>
        <w:t xml:space="preserve">‎047_credit_engine.sql‎</w:t>
      </w:r>
      <w:r>
        <w:rPr>
          <w:rFonts w:ascii="Arial" w:cs="Arial" w:eastAsia="Arial" w:hAnsi="Arial"/>
          <w:b/>
          <w:bCs/>
          <w:color w:val="2B5C8A"/>
          <w:sz w:val="26"/>
          <w:szCs w:val="26"/>
          <w:rtl/>
        </w:rPr>
        <w:t xml:space="preserve">، </w:t>
      </w:r>
      <w:r>
        <w:rPr>
          <w:rFonts w:ascii="Courier New" w:cs="Courier New" w:eastAsia="Courier New" w:hAnsi="Courier New"/>
          <w:b/>
          <w:bCs/>
          <w:color w:val="1F2937"/>
          <w:sz w:val="22"/>
          <w:szCs w:val="22"/>
          <w:rtl/>
        </w:rPr>
        <w:t xml:space="preserve">‎docs/35‎</w:t>
      </w:r>
      <w:r>
        <w:rPr>
          <w:rFonts w:ascii="Arial" w:cs="Arial" w:eastAsia="Arial" w:hAnsi="Arial"/>
          <w:b/>
          <w:bCs/>
          <w:color w:val="2B5C8A"/>
          <w:sz w:val="26"/>
          <w:szCs w:val="26"/>
          <w:rtl/>
        </w:rPr>
        <w:t xml:space="preserve">)</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4400"/>
        <w:gridCol w:w="27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2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المنهجية</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r>
              <w:rPr>
                <w:rFonts w:ascii="Arial" w:cs="Arial" w:eastAsia="Arial" w:hAnsi="Arial"/>
                <w:b w:val="false"/>
                <w:bCs w:val="false"/>
                <w:sz w:val="18"/>
                <w:szCs w:val="18"/>
                <w:rtl/>
              </w:rPr>
              <w:t xml:space="preserve"> (21 درجة) و</w:t>
            </w:r>
            <w:r>
              <w:rPr>
                <w:rFonts w:ascii="Courier New" w:cs="Courier New" w:eastAsia="Courier New" w:hAnsi="Courier New"/>
                <w:b w:val="false"/>
                <w:bCs w:val="false"/>
                <w:color w:val="1F2937"/>
                <w:sz w:val="16"/>
                <w:szCs w:val="16"/>
                <w:shd w:fill="F1F3F5" w:color="auto" w:val="clear"/>
                <w:rtl/>
              </w:rPr>
              <w:t xml:space="preserve">‎StandardLine‎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‎StandardLineTotal‎</w:t>
            </w:r>
            <w:r>
              <w:rPr>
                <w:rFonts w:ascii="Arial" w:cs="Arial" w:eastAsia="Arial" w:hAnsi="Arial"/>
                <w:b w:val="false"/>
                <w:bCs w:val="false"/>
                <w:sz w:val="18"/>
                <w:szCs w:val="18"/>
                <w:rtl/>
              </w:rPr>
              <w:t xml:space="preserve"> (157 بندًا معياريًا ومجاميعها) و</w:t>
            </w:r>
            <w:r>
              <w:rPr>
                <w:rFonts w:ascii="Courier New" w:cs="Courier New" w:eastAsia="Courier New" w:hAnsi="Courier New"/>
                <w:b w:val="false"/>
                <w:bCs w:val="false"/>
                <w:color w:val="1F2937"/>
                <w:sz w:val="16"/>
                <w:szCs w:val="16"/>
                <w:shd w:fill="F1F3F5" w:color="auto" w:val="clear"/>
                <w:rtl/>
              </w:rPr>
              <w:t xml:space="preserve">‎CreditMetric‎</w:t>
            </w:r>
            <w:r>
              <w:rPr>
                <w:rFonts w:ascii="Arial" w:cs="Arial" w:eastAsia="Arial" w:hAnsi="Arial"/>
                <w:b w:val="false"/>
                <w:bCs w:val="false"/>
                <w:sz w:val="18"/>
                <w:szCs w:val="18"/>
                <w:rtl/>
              </w:rPr>
              <w:t xml:space="preserve"> (112 مقياسًا بنمط حسابها وحالاتها الحدية) و</w:t>
            </w:r>
            <w:r>
              <w:rPr>
                <w:rFonts w:ascii="Courier New" w:cs="Courier New" w:eastAsia="Courier New" w:hAnsi="Courier New"/>
                <w:b w:val="false"/>
                <w:bCs w:val="false"/>
                <w:color w:val="1F2937"/>
                <w:sz w:val="16"/>
                <w:szCs w:val="16"/>
                <w:shd w:fill="F1F3F5" w:color="auto" w:val="clear"/>
                <w:rtl/>
              </w:rPr>
              <w:t xml:space="preserve">‎Scorecard‎</w:t>
            </w:r>
            <w:r>
              <w:rPr>
                <w:rFonts w:ascii="Arial" w:cs="Arial" w:eastAsia="Arial" w:hAnsi="Arial"/>
                <w:b w:val="false"/>
                <w:bCs w:val="false"/>
                <w:sz w:val="18"/>
                <w:szCs w:val="18"/>
                <w:rtl/>
              </w:rPr>
              <w:t xml:space="preserve"> بإصداراتها و</w:t>
            </w:r>
            <w:r>
              <w:rPr>
                <w:rFonts w:ascii="Courier New" w:cs="Courier New" w:eastAsia="Courier New" w:hAnsi="Courier New"/>
                <w:b w:val="false"/>
                <w:bCs w:val="false"/>
                <w:color w:val="1F2937"/>
                <w:sz w:val="16"/>
                <w:szCs w:val="16"/>
                <w:shd w:fill="F1F3F5" w:color="auto" w:val="clear"/>
                <w:rtl/>
              </w:rPr>
              <w:t xml:space="preserve">‎ScorecardMetric‎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‎ScorecardSubfactor‎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‎ScorecardParameter‎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‎ScorecardItemRule‎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‎ScorecardAdjustment‎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‎ref.Industry‎</w:t>
            </w:r>
            <w:r>
              <w:rPr>
                <w:rFonts w:ascii="Arial" w:cs="Arial" w:eastAsia="Arial" w:hAnsi="Arial"/>
                <w:b w:val="false"/>
                <w:bCs w:val="false"/>
                <w:sz w:val="18"/>
                <w:szCs w:val="18"/>
                <w:rtl/>
              </w:rPr>
              <w:t xml:space="preserve"> بالأقسام والفروع والأنشطة التفصيلية و</w:t>
            </w:r>
            <w:r>
              <w:rPr>
                <w:rFonts w:ascii="Courier New" w:cs="Courier New" w:eastAsia="Courier New" w:hAnsi="Courier New"/>
                <w:b w:val="false"/>
                <w:bCs w:val="false"/>
                <w:color w:val="1F2937"/>
                <w:sz w:val="16"/>
                <w:szCs w:val="16"/>
                <w:shd w:fill="F1F3F5" w:color="auto" w:val="clear"/>
                <w:rtl/>
              </w:rPr>
              <w:t xml:space="preserve">‎IndustryProfile‎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‎IndustrySensitivity‎</w:t>
            </w:r>
            <w:r>
              <w:rPr>
                <w:rFonts w:ascii="Arial" w:cs="Arial" w:eastAsia="Arial" w:hAnsi="Arial"/>
                <w:b w:val="false"/>
                <w:bCs w:val="false"/>
                <w:sz w:val="18"/>
                <w:szCs w:val="18"/>
                <w:rtl/>
              </w:rPr>
              <w:t xml:space="preserve"> (86 فرعًا و282 نشاطًا بمخاطرها وحساسيتها لسبعة محركات)، و</w:t>
            </w:r>
            <w:r>
              <w:rPr>
                <w:rFonts w:ascii="Courier New" w:cs="Courier New" w:eastAsia="Courier New" w:hAnsi="Courier New"/>
                <w:b w:val="false"/>
                <w:bCs w:val="false"/>
                <w:color w:val="1F2937"/>
                <w:sz w:val="16"/>
                <w:szCs w:val="16"/>
                <w:shd w:fill="F1F3F5" w:color="auto" w:val="clear"/>
                <w:rtl/>
              </w:rPr>
              <w:t xml:space="preserve">‎ShockDriver‎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‎MacroScenarioIntensity‎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‎MacroScenarioCountry‎</w:t>
            </w:r>
            <w:r>
              <w:rPr>
                <w:rFonts w:ascii="Arial" w:cs="Arial" w:eastAsia="Arial" w:hAnsi="Arial"/>
                <w:b w:val="false"/>
                <w:bCs w:val="false"/>
                <w:sz w:val="18"/>
                <w:szCs w:val="18"/>
                <w:rtl/>
              </w:rPr>
              <w:t xml:space="preserve"> (سبعة محركات وسبعة سيناريوهات ومضاعف كل بلد فيها)، و</w:t>
            </w:r>
            <w:r>
              <w:rPr>
                <w:rFonts w:ascii="Courier New" w:cs="Courier New" w:eastAsia="Courier New" w:hAnsi="Courier New"/>
                <w:b w:val="false"/>
                <w:bCs w:val="false"/>
                <w:color w:val="1F2937"/>
                <w:sz w:val="16"/>
                <w:szCs w:val="16"/>
                <w:shd w:fill="F1F3F5" w:color="auto" w:val="clear"/>
                <w:rtl/>
              </w:rPr>
              <w:t xml:space="preserve">‎CountryRiskProfile‎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‎RiskAnchor‎</w:t>
            </w:r>
            <w:r>
              <w:rPr>
                <w:rFonts w:ascii="Arial" w:cs="Arial" w:eastAsia="Arial" w:hAnsi="Arial"/>
                <w:b w:val="false"/>
                <w:bCs w:val="false"/>
                <w:sz w:val="18"/>
                <w:szCs w:val="18"/>
                <w:rtl/>
              </w:rPr>
              <w:t xml:space="preserve"> (22 بلدًا عربيًا وصف افتراضي بمخاطرها وتصنيفها السيادي وسقفها وتعرضها، و127 مدينة ومنطقة، ومرتكز المخاطر) و</w:t>
            </w:r>
            <w:r>
              <w:rPr>
                <w:rFonts w:ascii="Courier New" w:cs="Courier New" w:eastAsia="Courier New" w:hAnsi="Courier New"/>
                <w:b w:val="false"/>
                <w:bCs w:val="false"/>
                <w:color w:val="1F2937"/>
                <w:sz w:val="16"/>
                <w:szCs w:val="16"/>
                <w:shd w:fill="F1F3F5" w:color="auto" w:val="clear"/>
                <w:rtl/>
              </w:rPr>
              <w:t xml:space="preserve">‎ProductCategory‎</w:t>
            </w:r>
            <w:r>
              <w:rPr>
                <w:rFonts w:ascii="Arial" w:cs="Arial" w:eastAsia="Arial" w:hAnsi="Arial"/>
                <w:b w:val="false"/>
                <w:bCs w:val="false"/>
                <w:sz w:val="18"/>
                <w:szCs w:val="18"/>
                <w:rtl/>
              </w:rPr>
              <w:t xml:space="preserve"> (15 فئة)، و</w:t>
            </w:r>
            <w:r>
              <w:rPr>
                <w:rFonts w:ascii="Courier New" w:cs="Courier New" w:eastAsia="Courier New" w:hAnsi="Courier New"/>
                <w:b w:val="false"/>
                <w:bCs w:val="false"/>
                <w:color w:val="1F2937"/>
                <w:sz w:val="16"/>
                <w:szCs w:val="16"/>
                <w:shd w:fill="F1F3F5" w:color="auto" w:val="clear"/>
                <w:rtl/>
              </w:rPr>
              <w:t xml:space="preserve">‎CreditRemedy‎</w:t>
            </w:r>
            <w:r>
              <w:rPr>
                <w:rFonts w:ascii="Arial" w:cs="Arial" w:eastAsia="Arial" w:hAnsi="Arial"/>
                <w:b w:val="false"/>
                <w:bCs w:val="false"/>
                <w:sz w:val="18"/>
                <w:szCs w:val="18"/>
                <w:rtl/>
              </w:rPr>
              <w:t xml:space="preserve"> بمحفّزاتها وخطواتها (39 علاجًا)، و</w:t>
            </w:r>
            <w:r>
              <w:rPr>
                <w:rFonts w:ascii="Courier New" w:cs="Courier New" w:eastAsia="Courier New" w:hAnsi="Courier New"/>
                <w:b w:val="false"/>
                <w:bCs w:val="false"/>
                <w:color w:val="1F2937"/>
                <w:sz w:val="16"/>
                <w:szCs w:val="16"/>
                <w:shd w:fill="F1F3F5" w:color="auto" w:val="clear"/>
                <w:rtl/>
              </w:rPr>
              <w:t xml:space="preserve">‎StrengtheningPlan‎</w:t>
            </w:r>
            <w:r>
              <w:rPr>
                <w:rFonts w:ascii="Arial" w:cs="Arial" w:eastAsia="Arial" w:hAnsi="Arial"/>
                <w:b w:val="false"/>
                <w:bCs w:val="false"/>
                <w:sz w:val="18"/>
                <w:szCs w:val="18"/>
                <w:rtl/>
              </w:rPr>
              <w:t xml:space="preserve"> وأعضاؤها (10 خطط)، و</w:t>
            </w:r>
            <w:r>
              <w:rPr>
                <w:rFonts w:ascii="Courier New" w:cs="Courier New" w:eastAsia="Courier New" w:hAnsi="Courier New"/>
                <w:b w:val="false"/>
                <w:bCs w:val="false"/>
                <w:color w:val="1F2937"/>
                <w:sz w:val="16"/>
                <w:szCs w:val="16"/>
                <w:shd w:fill="F1F3F5" w:color="auto" w:val="clear"/>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عالمية تملكها المنصة</w:t>
            </w:r>
            <w:r>
              <w:rPr>
                <w:rFonts w:ascii="Arial" w:cs="Arial" w:eastAsia="Arial" w:hAnsi="Arial"/>
                <w:b w:val="false"/>
                <w:bCs w:val="false"/>
                <w:sz w:val="18"/>
                <w:szCs w:val="18"/>
                <w:rtl/>
              </w:rPr>
              <w:t xml:space="preserve">، تبذرها </w:t>
            </w:r>
            <w:r>
              <w:rPr>
                <w:rFonts w:ascii="Courier New" w:cs="Courier New" w:eastAsia="Courier New" w:hAnsi="Courier New"/>
                <w:b w:val="false"/>
                <w:bCs w:val="false"/>
                <w:color w:val="1F2937"/>
                <w:sz w:val="16"/>
                <w:szCs w:val="16"/>
                <w:shd w:fill="F1F3F5" w:color="auto" w:val="clear"/>
                <w:rtl/>
              </w:rPr>
              <w:t xml:space="preserve">‎seed/104‎</w:t>
            </w:r>
            <w:r>
              <w:rPr>
                <w:rFonts w:ascii="Arial" w:cs="Arial" w:eastAsia="Arial" w:hAnsi="Arial"/>
                <w:b w:val="false"/>
                <w:bCs w:val="false"/>
                <w:sz w:val="18"/>
                <w:szCs w:val="18"/>
                <w:rtl/>
              </w:rPr>
              <w:t xml:space="preserve"> المولَّدة من </w:t>
            </w:r>
            <w:r>
              <w:rPr>
                <w:rFonts w:ascii="Courier New" w:cs="Courier New" w:eastAsia="Courier New" w:hAnsi="Courier New"/>
                <w:b w:val="false"/>
                <w:bCs w:val="false"/>
                <w:color w:val="1F2937"/>
                <w:sz w:val="16"/>
                <w:szCs w:val="16"/>
                <w:shd w:fill="F1F3F5" w:color="auto" w:val="clear"/>
                <w:rtl/>
              </w:rPr>
              <w:t xml:space="preserve">‎tools/dbgen/credit_scorecard.json‎</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ثم لا تتغير، ولا ما تستعمله من درجات ومقاييس ومعاملات وعوامل فرعية (50066، 50065)</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قائمة معتمدة على بطاقة عائلة قطاعية: قائمة المقارنة والتاريخ والسعر وطلب خطط التقوية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وبلد السوق ومدينته (</w:t>
            </w:r>
            <w:r>
              <w:rPr>
                <w:rFonts w:ascii="Courier New" w:cs="Courier New" w:eastAsia="Courier New" w:hAnsi="Courier New"/>
                <w:b w:val="false"/>
                <w:bCs w:val="false"/>
                <w:color w:val="1F2937"/>
                <w:sz w:val="16"/>
                <w:szCs w:val="16"/>
                <w:shd w:fill="F1F3F5" w:color="auto" w:val="clear"/>
                <w:rtl/>
              </w:rPr>
              <w:t xml:space="preserve">‎MarketCountryId‎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‎MarketRegionCode‎</w:t>
            </w:r>
            <w:r>
              <w:rPr>
                <w:rFonts w:ascii="Arial" w:cs="Arial" w:eastAsia="Arial" w:hAnsi="Arial"/>
                <w:b w:val="false"/>
                <w:bCs w:val="false"/>
                <w:sz w:val="18"/>
                <w:szCs w:val="18"/>
                <w:rtl/>
              </w:rPr>
              <w:t xml:space="preserve">)، والنتائج (التغطية والاكتمال، والدرجات المالية والمؤشرة والمنفردة والنهائية ودرجة التسهيل، والسيولة، والصمود، ومخاطر البلد والنشاط ومرتكزهما وسقف البلد، والنظرة المستقبلية وقواعدها وهوامشها، والخلاصة، واللقطة، وبصمة المدخلات)</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يكتبها الإجراء وحده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المسودة تُحسب، وتُقدَّم محسوبة على ما تحمله، ويعتمدها غير مُعِدّها، وبعدها لا تتغير (50063)</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‎CreditAssessmentInput‎</w:t>
            </w:r>
            <w:r>
              <w:rPr>
                <w:rFonts w:ascii="Arial" w:cs="Arial" w:eastAsia="Arial" w:hAnsi="Arial"/>
                <w:b w:val="false"/>
                <w:bCs w:val="false"/>
                <w:sz w:val="18"/>
                <w:szCs w:val="18"/>
                <w:rtl/>
              </w:rPr>
              <w:t xml:space="preserve"> (النوعي والعوامل الفرعية والدعم والتجاوز والمستندات وحجم السوق)، و</w:t>
            </w:r>
            <w:r>
              <w:rPr>
                <w:rFonts w:ascii="Courier New" w:cs="Courier New" w:eastAsia="Courier New" w:hAnsi="Courier New"/>
                <w:b w:val="false"/>
                <w:bCs w:val="false"/>
                <w:color w:val="1F2937"/>
                <w:sz w:val="16"/>
                <w:szCs w:val="16"/>
                <w:shd w:fill="F1F3F5" w:color="auto" w:val="clear"/>
                <w:rtl/>
              </w:rPr>
              <w:t xml:space="preserve">‎CreditAssessmentGuarantor‎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‎CreditAssessmentBureau‎</w:t>
            </w:r>
            <w:r>
              <w:rPr>
                <w:rFonts w:ascii="Arial" w:cs="Arial" w:eastAsia="Arial" w:hAnsi="Arial"/>
                <w:b w:val="false"/>
                <w:bCs w:val="false"/>
                <w:sz w:val="18"/>
                <w:szCs w:val="18"/>
                <w:rtl/>
              </w:rPr>
              <w:t xml:space="preserve"> (تقرير سمة)، و</w:t>
            </w:r>
            <w:r>
              <w:rPr>
                <w:rFonts w:ascii="Courier New" w:cs="Courier New" w:eastAsia="Courier New" w:hAnsi="Courier New"/>
                <w:b w:val="false"/>
                <w:bCs w:val="false"/>
                <w:color w:val="1F2937"/>
                <w:sz w:val="16"/>
                <w:szCs w:val="16"/>
                <w:shd w:fill="F1F3F5" w:color="auto" w:val="clear"/>
                <w:rtl/>
              </w:rPr>
              <w:t xml:space="preserve">‎fin.CompanyProductLine‎</w:t>
            </w:r>
            <w:r>
              <w:rPr>
                <w:rFonts w:ascii="Arial" w:cs="Arial" w:eastAsia="Arial" w:hAnsi="Arial"/>
                <w:b w:val="false"/>
                <w:bCs w:val="false"/>
                <w:sz w:val="18"/>
                <w:szCs w:val="18"/>
                <w:rtl/>
              </w:rPr>
              <w:t xml:space="preserve"> (مزيج منتجات الشركة لسنتها)</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المسودة وحدها؛ والإخضاع أو قرار رأس المال أو التنازل لا يغيّر القراءة إلا بمستند (</w:t>
            </w:r>
            <w:r>
              <w:rPr>
                <w:rFonts w:ascii="Courier New" w:cs="Courier New" w:eastAsia="Courier New" w:hAnsi="Courier New"/>
                <w:b w:val="false"/>
                <w:bCs w:val="false"/>
                <w:color w:val="1F2937"/>
                <w:sz w:val="16"/>
                <w:szCs w:val="16"/>
                <w:shd w:fill="F1F3F5" w:color="auto" w:val="clear"/>
                <w:rtl/>
              </w:rPr>
              <w:t xml:space="preserve">‎EVIDENCE‎</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(إعادة التبويب بسببها) و</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(لقطة التسهيلات والضمانات على تاريخ التقييم) و</w:t>
            </w:r>
            <w:r>
              <w:rPr>
                <w:rFonts w:ascii="Courier New" w:cs="Courier New" w:eastAsia="Courier New" w:hAnsi="Courier New"/>
                <w:b w:val="false"/>
                <w:bCs w:val="false"/>
                <w:color w:val="1F2937"/>
                <w:sz w:val="16"/>
                <w:szCs w:val="16"/>
                <w:shd w:fill="F1F3F5" w:color="auto" w:val="clear"/>
                <w:rtl/>
              </w:rPr>
              <w:t xml:space="preserve">‎Remedy‎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‎PlanStep‎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ولا تتغير بعد المسودة (قوادح </w:t>
            </w:r>
            <w:r>
              <w:rPr>
                <w:rFonts w:ascii="Courier New" w:cs="Courier New" w:eastAsia="Courier New" w:hAnsi="Courier New"/>
                <w:b w:val="false"/>
                <w:bCs w:val="false"/>
                <w:color w:val="1F2937"/>
                <w:sz w:val="16"/>
                <w:szCs w:val="16"/>
                <w:shd w:fill="F1F3F5" w:color="auto" w:val="clear"/>
                <w:rtl/>
              </w:rPr>
              <w:t xml:space="preserve">‎TR_&lt;table&gt;_DraftOnly‎</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(047)</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‎fin.usp_CreditCore‎</w:t>
            </w:r>
            <w:r>
              <w:rPr>
                <w:rFonts w:ascii="Arial" w:cs="Arial" w:eastAsia="Arial" w:hAnsi="Arial"/>
                <w:b w:val="false"/>
                <w:bCs w:val="false"/>
                <w:sz w:val="18"/>
                <w:szCs w:val="18"/>
                <w:rtl/>
              </w:rPr>
              <w:t xml:space="preserve"> (تقييم واحد لقائمة في جداول مؤقتة) و</w:t>
            </w:r>
            <w:r>
              <w:rPr>
                <w:rFonts w:ascii="Courier New" w:cs="Courier New" w:eastAsia="Courier New" w:hAnsi="Courier New"/>
                <w:b w:val="false"/>
                <w:bCs w:val="false"/>
                <w:color w:val="1F2937"/>
                <w:sz w:val="16"/>
                <w:szCs w:val="16"/>
                <w:shd w:fill="F1F3F5" w:color="auto" w:val="clear"/>
                <w:rtl/>
              </w:rPr>
              <w:t xml:space="preserve">‎usp_CreditEvaluate‎</w:t>
            </w:r>
            <w:r>
              <w:rPr>
                <w:rFonts w:ascii="Arial" w:cs="Arial" w:eastAsia="Arial" w:hAnsi="Arial"/>
                <w:b w:val="false"/>
                <w:bCs w:val="false"/>
                <w:sz w:val="18"/>
                <w:szCs w:val="18"/>
                <w:rtl/>
              </w:rPr>
              <w:t xml:space="preserve"> (القائمة، والسيناريوهات الستة بضغطها من النشاط والبلد والمدينة، وكل علاج، وكل خطوة من خطط التقوية، ثم المحفّزات والنظرة) و</w:t>
            </w:r>
            <w:r>
              <w:rPr>
                <w:rFonts w:ascii="Courier New" w:cs="Courier New" w:eastAsia="Courier New" w:hAnsi="Courier New"/>
                <w:b w:val="false"/>
                <w:bCs w:val="false"/>
                <w:color w:val="1F2937"/>
                <w:sz w:val="16"/>
                <w:szCs w:val="16"/>
                <w:shd w:fill="F1F3F5" w:color="auto" w:val="clear"/>
                <w:rtl/>
              </w:rPr>
              <w:t xml:space="preserve">‎usp_ComputeCreditAssessment‎</w:t>
            </w:r>
            <w:r>
              <w:rPr>
                <w:rFonts w:ascii="Arial" w:cs="Arial" w:eastAsia="Arial" w:hAnsi="Arial"/>
                <w:b w:val="false"/>
                <w:bCs w:val="false"/>
                <w:sz w:val="18"/>
                <w:szCs w:val="18"/>
                <w:rtl/>
              </w:rPr>
              <w:t xml:space="preserve"> (يقرأ الجداول ويكتب النتائج)</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باسم المستدعي: مرشّحات الصفوف تحصره في المشترك، وسلسلة الملكية تكتب ما يُحجب عن التطبيق؛ ويطابقه </w:t>
            </w:r>
            <w:r>
              <w:rPr>
                <w:rFonts w:ascii="Courier New" w:cs="Courier New" w:eastAsia="Courier New" w:hAnsi="Courier New"/>
                <w:b w:val="false"/>
                <w:bCs w:val="false"/>
                <w:color w:val="1F2937"/>
                <w:sz w:val="16"/>
                <w:szCs w:val="16"/>
                <w:shd w:fill="F1F3F5" w:color="auto" w:val="clear"/>
                <w:rtl/>
              </w:rPr>
              <w:t xml:space="preserve">‎credit_reference.py‎</w:t>
            </w:r>
            <w:r>
              <w:rPr>
                <w:rFonts w:ascii="Arial" w:cs="Arial" w:eastAsia="Arial" w:hAnsi="Arial"/>
                <w:b w:val="false"/>
                <w:bCs w:val="false"/>
                <w:sz w:val="18"/>
                <w:szCs w:val="18"/>
                <w:rtl/>
              </w:rPr>
              <w:t xml:space="preserve"> في 138 حالة (الخطوة 19d)؛ وكل خطوة علاج أو خطة قيد مزدوج يُفحص بعده توازن الميزانية</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‎v_CreditAssessmentReport‎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‎Factors‎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‎ItemRegister‎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‎Items‎</w:t>
            </w:r>
            <w:r>
              <w:rPr>
                <w:rFonts w:ascii="Arial" w:cs="Arial" w:eastAsia="Arial" w:hAnsi="Arial"/>
                <w:b w:val="false"/>
                <w:bCs w:val="false"/>
                <w:sz w:val="18"/>
                <w:szCs w:val="18"/>
                <w:rtl/>
              </w:rPr>
              <w:t xml:space="preserve"> (والدالة </w:t>
            </w:r>
            <w:r>
              <w:rPr>
                <w:rFonts w:ascii="Courier New" w:cs="Courier New" w:eastAsia="Courier New" w:hAnsi="Courier New"/>
                <w:b w:val="false"/>
                <w:bCs w:val="false"/>
                <w:color w:val="1F2937"/>
                <w:sz w:val="16"/>
                <w:szCs w:val="16"/>
                <w:shd w:fill="F1F3F5" w:color="auto" w:val="clear"/>
                <w:rtl/>
              </w:rPr>
              <w:t xml:space="preserve">‎fn_StatementItemAnalysis‎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‎GroupUnits‎</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تقرؤها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جداولها</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12. النشر وإدارة التغيير</w:t>
      </w:r>
      <w:bookmarkEnd w:id="52"/>
    </w:p>
    <w:p>
      <w:pPr>
        <w:pStyle w:val="Heading2"/>
        <w:bidi/>
      </w:pPr>
      <w:bookmarkStart w:name="_sec53" w:id="53"/>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5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deploy.sh first runs db/ops/deploy_preflight.sql (ADR 0014, ADR 0015): not sa, no server role or server-wide right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(50140), the SQL Server build and Ubuntu release of versions.json (gate G4), BankFas present in its collation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holding only what prepare_database.sh leaves (50142), RECURSIVE_TRIGGERS OFF (50145); nothing runs otherwise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 Every tool refuses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and the administrator scripts refuse sa, unless CI's allowances are set (DQ-S11-6, ADR 0014).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deploy.sql does not run by hand: without the preflight's mark in the same session it stops at once (50146).</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ينشئ القاعدة: يتوقف (50146) ما لم يسبقه الفحص التمهيدي في الجلسة نفسها، و(50141) ما لم تكن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موجودة؛ ينشئها المدير بـ</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بـ</w:t>
      </w:r>
      <w:r>
        <w:rPr>
          <w:rFonts w:ascii="Courier New" w:cs="Courier New" w:eastAsia="Courier New" w:hAnsi="Courier New"/>
          <w:b w:val="false"/>
          <w:bCs w:val="false"/>
          <w:color w:val="1F2937"/>
          <w:sz w:val="18"/>
          <w:szCs w:val="18"/>
          <w:shd w:fill="F1F3F5" w:color="auto" w:val="clear"/>
          <w:rtl/>
        </w:rPr>
        <w:t xml:space="preserve">‎Arabic_100_CI_AS_SC‎</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 → </w:t>
      </w:r>
      <w:r>
        <w:rPr>
          <w:rFonts w:ascii="Courier New" w:cs="Courier New" w:eastAsia="Courier New" w:hAnsi="Courier New"/>
          <w:b w:val="false"/>
          <w:bCs w:val="false"/>
          <w:color w:val="1F2937"/>
          <w:sz w:val="18"/>
          <w:szCs w:val="18"/>
          <w:shd w:fill="F1F3F5" w:color="auto" w:val="clear"/>
          <w:rtl/>
        </w:rPr>
        <w:t xml:space="preserve">‎043_review_guards‎</w:t>
      </w:r>
      <w:r>
        <w:rPr>
          <w:rFonts w:ascii="Arial" w:cs="Arial" w:eastAsia="Arial" w:hAnsi="Arial"/>
          <w:b w:val="false"/>
          <w:bCs w:val="false"/>
          <w:sz w:val="21"/>
          <w:szCs w:val="21"/>
          <w:rtl/>
        </w:rPr>
        <w:t xml:space="preserve"> (حراس الدفعة أ، ADR 0011) → </w:t>
      </w:r>
      <w:r>
        <w:rPr>
          <w:rFonts w:ascii="Courier New" w:cs="Courier New" w:eastAsia="Courier New" w:hAnsi="Courier New"/>
          <w:b w:val="false"/>
          <w:bCs w:val="false"/>
          <w:color w:val="1F2937"/>
          <w:sz w:val="18"/>
          <w:szCs w:val="18"/>
          <w:shd w:fill="F1F3F5" w:color="auto" w:val="clear"/>
          <w:rtl/>
        </w:rPr>
        <w:t xml:space="preserve">‎044_entry_guards‎</w:t>
      </w:r>
      <w:r>
        <w:rPr>
          <w:rFonts w:ascii="Arial" w:cs="Arial" w:eastAsia="Arial" w:hAnsi="Arial"/>
          <w:b w:val="false"/>
          <w:bCs w:val="false"/>
          <w:sz w:val="21"/>
          <w:szCs w:val="21"/>
          <w:rtl/>
        </w:rPr>
        <w:t xml:space="preserve"> (شروط دخول الشرائح S1-ب إلى S4، ADR 0011، وحراس المراجعة الذاتية §7.2، ADR 0015) → </w:t>
      </w:r>
      <w:r>
        <w:rPr>
          <w:rFonts w:ascii="Courier New" w:cs="Courier New" w:eastAsia="Courier New" w:hAnsi="Courier New"/>
          <w:b w:val="false"/>
          <w:bCs w:val="false"/>
          <w:color w:val="1F2937"/>
          <w:sz w:val="18"/>
          <w:szCs w:val="18"/>
          <w:shd w:fill="F1F3F5" w:color="auto" w:val="clear"/>
          <w:rtl/>
        </w:rPr>
        <w:t xml:space="preserve">‎045_financial_statements‎</w:t>
      </w:r>
      <w:r>
        <w:rPr>
          <w:rFonts w:ascii="Arial" w:cs="Arial" w:eastAsia="Arial" w:hAnsi="Arial"/>
          <w:b w:val="false"/>
          <w:bCs w:val="false"/>
          <w:sz w:val="21"/>
          <w:szCs w:val="21"/>
          <w:rtl/>
        </w:rPr>
        <w:t xml:space="preserve"> (القوائم المالية، ADR 0016) → </w:t>
      </w:r>
      <w:r>
        <w:rPr>
          <w:rFonts w:ascii="Courier New" w:cs="Courier New" w:eastAsia="Courier New" w:hAnsi="Courier New"/>
          <w:b w:val="false"/>
          <w:bCs w:val="false"/>
          <w:color w:val="1F2937"/>
          <w:sz w:val="18"/>
          <w:szCs w:val="18"/>
          <w:shd w:fill="F1F3F5" w:color="auto" w:val="clear"/>
          <w:rtl/>
        </w:rPr>
        <w:t xml:space="preserve">‎046_credit_assessment‎</w:t>
      </w:r>
      <w:r>
        <w:rPr>
          <w:rFonts w:ascii="Arial" w:cs="Arial" w:eastAsia="Arial" w:hAnsi="Arial"/>
          <w:b w:val="false"/>
          <w:bCs w:val="false"/>
          <w:sz w:val="21"/>
          <w:szCs w:val="21"/>
          <w:rtl/>
        </w:rPr>
        <w:t xml:space="preserve"> (حراس التقييم الائتماني، ADR 0017) → </w:t>
      </w:r>
      <w:r>
        <w:rPr>
          <w:rFonts w:ascii="Courier New" w:cs="Courier New" w:eastAsia="Courier New" w:hAnsi="Courier New"/>
          <w:b w:val="false"/>
          <w:bCs w:val="false"/>
          <w:color w:val="1F2937"/>
          <w:sz w:val="18"/>
          <w:szCs w:val="18"/>
          <w:shd w:fill="F1F3F5" w:color="auto" w:val="clear"/>
          <w:rtl/>
        </w:rPr>
        <w:t xml:space="preserve">‎047_credit_engine‎</w:t>
      </w:r>
      <w:r>
        <w:rPr>
          <w:rFonts w:ascii="Arial" w:cs="Arial" w:eastAsia="Arial" w:hAnsi="Arial"/>
          <w:b w:val="false"/>
          <w:bCs w:val="false"/>
          <w:sz w:val="21"/>
          <w:szCs w:val="21"/>
          <w:rtl/>
        </w:rPr>
        <w:t xml:space="preserve"> (محرك التقييم وعروضه، ADR 0018)</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 → </w:t>
      </w:r>
      <w:r>
        <w:rPr>
          <w:rFonts w:ascii="Courier New" w:cs="Courier New" w:eastAsia="Courier New" w:hAnsi="Courier New"/>
          <w:b w:val="false"/>
          <w:bCs w:val="false"/>
          <w:color w:val="1F2937"/>
          <w:sz w:val="18"/>
          <w:szCs w:val="18"/>
          <w:shd w:fill="F1F3F5" w:color="auto" w:val="clear"/>
          <w:rtl/>
        </w:rPr>
        <w:t xml:space="preserve">‎090_readonly_denies‎</w:t>
      </w:r>
      <w:r>
        <w:rPr>
          <w:rFonts w:ascii="Arial" w:cs="Arial" w:eastAsia="Arial" w:hAnsi="Arial"/>
          <w:b w:val="false"/>
          <w:bCs w:val="false"/>
          <w:sz w:val="21"/>
          <w:szCs w:val="21"/>
          <w:rtl/>
        </w:rPr>
        <w:t xml:space="preserve"> (حجب الدوال الداخلية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آخر سكربت ثابت لأنه يحجب كل دالة أنشأها ما قبله،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 </w:t>
      </w:r>
      <w:r>
        <w:rPr>
          <w:rFonts w:ascii="Courier New" w:cs="Courier New" w:eastAsia="Courier New" w:hAnsi="Courier New"/>
          <w:b w:val="false"/>
          <w:bCs w:val="false"/>
          <w:color w:val="1F2937"/>
          <w:sz w:val="18"/>
          <w:szCs w:val="18"/>
          <w:shd w:fill="F1F3F5" w:color="auto" w:val="clear"/>
          <w:rtl/>
        </w:rPr>
        <w:t xml:space="preserve">‎seed/104_credit_scorecard‎</w:t>
      </w:r>
      <w:r>
        <w:rPr>
          <w:rFonts w:ascii="Arial" w:cs="Arial" w:eastAsia="Arial" w:hAnsi="Arial"/>
          <w:b w:val="false"/>
          <w:bCs w:val="false"/>
          <w:sz w:val="21"/>
          <w:szCs w:val="21"/>
          <w:rtl/>
        </w:rPr>
        <w:t xml:space="preserve"> (منهجية التقييم الائتماني، مولَّدة من </w:t>
      </w:r>
      <w:r>
        <w:rPr>
          <w:rFonts w:ascii="Courier New" w:cs="Courier New" w:eastAsia="Courier New" w:hAnsi="Courier New"/>
          <w:b w:val="false"/>
          <w:bCs w:val="false"/>
          <w:color w:val="1F2937"/>
          <w:sz w:val="18"/>
          <w:szCs w:val="18"/>
          <w:shd w:fill="F1F3F5" w:color="auto" w:val="clear"/>
          <w:rtl/>
        </w:rPr>
        <w:t xml:space="preserve">‎tools/dbgen/credit_scorecard.json‎</w:t>
      </w:r>
      <w:r>
        <w:rPr>
          <w:rFonts w:ascii="Arial" w:cs="Arial" w:eastAsia="Arial" w:hAnsi="Arial"/>
          <w:b w:val="false"/>
          <w:bCs w:val="false"/>
          <w:sz w:val="21"/>
          <w:szCs w:val="21"/>
          <w:rtl/>
        </w:rPr>
        <w:t xml:space="preserve">)؛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 ولا تُحسب النافذة إلا إذا فعّل معلنها حساب النشر خلال دقيقة، ولا يُسكت تنبيه AUDIT لحساب النشر أبدًا، وأُضيفت القاعدتان SERVER_CONFIG وLOGINS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ومسار الترحيل بين الإصدارات هو </w:t>
      </w:r>
      <w:r>
        <w:rPr>
          <w:rFonts w:ascii="Courier New" w:cs="Courier New" w:eastAsia="Courier New" w:hAnsi="Courier New"/>
          <w:b w:val="false"/>
          <w:bCs w:val="false"/>
          <w:color w:val="1F2937"/>
          <w:sz w:val="18"/>
          <w:szCs w:val="18"/>
          <w:shd w:fill="F1F3F5" w:color="auto" w:val="clear"/>
          <w:rtl/>
        </w:rPr>
        <w:t xml:space="preserve">‎tools/deploy/migrate.sh‎</w:t>
      </w:r>
      <w:r>
        <w:rPr>
          <w:rFonts w:ascii="Arial" w:cs="Arial" w:eastAsia="Arial" w:hAnsi="Arial"/>
          <w:b w:val="false"/>
          <w:bCs w:val="false"/>
          <w:sz w:val="21"/>
          <w:szCs w:val="21"/>
          <w:rtl/>
        </w:rPr>
        <w:t xml:space="preserve"> مع دفتر </w:t>
      </w:r>
      <w:r>
        <w:rPr>
          <w:rFonts w:ascii="Courier New" w:cs="Courier New" w:eastAsia="Courier New" w:hAnsi="Courier New"/>
          <w:b w:val="false"/>
          <w:bCs w:val="false"/>
          <w:color w:val="1F2937"/>
          <w:sz w:val="18"/>
          <w:szCs w:val="18"/>
          <w:shd w:fill="F1F3F5" w:color="auto" w:val="clear"/>
          <w:rtl/>
        </w:rPr>
        <w:t xml:space="preserve">‎plat.SchemaMigration‎</w:t>
      </w:r>
      <w:r>
        <w:rPr>
          <w:rFonts w:ascii="Arial" w:cs="Arial" w:eastAsia="Arial" w:hAnsi="Arial"/>
          <w:b w:val="false"/>
          <w:bCs w:val="false"/>
          <w:sz w:val="21"/>
          <w:szCs w:val="21"/>
          <w:rtl/>
        </w:rPr>
        <w:t xml:space="preserve"> وبصمة المخطط (O-2، ADR 0034).</w:t>
      </w:r>
    </w:p>
    <w:p>
      <w:pPr>
        <w:pStyle w:val="Heading2"/>
        <w:bidi/>
      </w:pPr>
      <w:bookmarkStart w:name="_sec54" w:id="54"/>
      <w:r>
        <w:rPr>
          <w:rFonts w:ascii="Arial" w:cs="Arial" w:eastAsia="Arial" w:hAnsi="Arial"/>
          <w:b/>
          <w:bCs/>
          <w:color w:val="2B5C8A"/>
          <w:sz w:val="26"/>
          <w:szCs w:val="26"/>
          <w:rtl/>
        </w:rPr>
        <w:t xml:space="preserve">12.2 تغيير النموذج</w:t>
      </w:r>
      <w:bookmarkEnd w:id="54"/>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(يطبع أرقام §1 و§4 لتُحدَّث منها) ← </w:t>
      </w:r>
      <w:r>
        <w:rPr>
          <w:rFonts w:ascii="Courier New" w:cs="Courier New" w:eastAsia="Courier New" w:hAnsi="Courier New"/>
          <w:b w:val="false"/>
          <w:bCs w:val="false"/>
          <w:color w:val="1F2937"/>
          <w:sz w:val="18"/>
          <w:szCs w:val="18"/>
          <w:shd w:fill="F1F3F5" w:color="auto" w:val="clear"/>
          <w:rtl/>
        </w:rPr>
        <w:t xml:space="preserve">‎python3 tools/dbgen/build_erd_doc.py‎</w:t>
      </w:r>
      <w:r>
        <w:rPr>
          <w:rFonts w:ascii="Arial" w:cs="Arial" w:eastAsia="Arial" w:hAnsi="Arial"/>
          <w:b w:val="false"/>
          <w:bCs w:val="false"/>
          <w:sz w:val="21"/>
          <w:szCs w:val="21"/>
          <w:rtl/>
        </w:rPr>
        <w:t xml:space="preserve"> لإعادة بناء </w:t>
      </w:r>
      <w:r>
        <w:rPr>
          <w:rFonts w:ascii="Courier New" w:cs="Courier New" w:eastAsia="Courier New" w:hAnsi="Courier New"/>
          <w:b w:val="false"/>
          <w:bCs w:val="false"/>
          <w:color w:val="1F2937"/>
          <w:sz w:val="18"/>
          <w:szCs w:val="18"/>
          <w:shd w:fill="F1F3F5" w:color="auto" w:val="clear"/>
          <w:rtl/>
        </w:rPr>
        <w:t xml:space="preserve">‎20-database-design-and-erd.md‎</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55" w:id="55"/>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55"/>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56" w:id="56"/>
      <w:r>
        <w:rPr>
          <w:rFonts w:ascii="Arial" w:cs="Arial" w:eastAsia="Arial" w:hAnsi="Arial"/>
          <w:b/>
          <w:bCs/>
          <w:color w:val="2B5C8A"/>
          <w:sz w:val="26"/>
          <w:szCs w:val="26"/>
          <w:rtl/>
        </w:rPr>
        <w:t xml:space="preserve">12.4 الأداء والحمل</w:t>
      </w:r>
      <w:bookmarkEnd w:id="56"/>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57" w:id="57"/>
      <w:r>
        <w:rPr>
          <w:rFonts w:ascii="Arial" w:cs="Arial" w:eastAsia="Arial" w:hAnsi="Arial"/>
          <w:b/>
          <w:bCs/>
          <w:color w:val="1F3A5F"/>
          <w:sz w:val="32"/>
          <w:szCs w:val="32"/>
          <w:rtl/>
        </w:rPr>
        <w:t xml:space="preserve">13. البذور وتهيئة المشترك</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(تسعة إعدادات: سبعة أمنية وبداية يوم العمل ونهايته؛ 32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(144 صلاحية منها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لتأكيد التدفقات، ADR 0016، و</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للتقييم الائتماني، ADR 0017؛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و</w:t>
            </w:r>
            <w:r>
              <w:rPr>
                <w:rFonts w:ascii="Courier New" w:cs="Courier New" w:eastAsia="Courier New" w:hAnsi="Courier New"/>
                <w:b w:val="false"/>
                <w:bCs w:val="false"/>
                <w:color w:val="1F2937"/>
                <w:sz w:val="16"/>
                <w:szCs w:val="16"/>
                <w:shd w:fill="F1F3F5" w:color="auto" w:val="clear"/>
                <w:rtl/>
              </w:rPr>
              <w:t xml:space="preserve">‎104‎</w:t>
            </w:r>
            <w:r>
              <w:rPr>
                <w:rFonts w:ascii="Arial" w:cs="Arial" w:eastAsia="Arial" w:hAnsi="Arial"/>
                <w:b w:val="false"/>
                <w:bCs w:val="false"/>
                <w:sz w:val="18"/>
                <w:szCs w:val="18"/>
                <w:rtl/>
              </w:rPr>
              <w:t xml:space="preserve"> (سلّم موديز بـ21 درجة، و157 بندًا معياريًا، و112 مقياسًا، و16 بطاقة عائلة قطاعية معتمدة بأوزانها وشبكاتها و134 قاعدة بنود لكل منها و45 تعديلًا، و86 فرعًا و282 نشاطًا تفصيليًا بحساسيتها لسبعة محركات، و22 بلدًا عربيًا بمدنها ومرتكز المخاطر، وستة سيناريوهات اقتصادية، و15 فئة منتجات، و39 علاجًا، و10 خطط تقوية، ADR 0017 إلى 0019).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58" w:id="58"/>
      <w:r>
        <w:rPr>
          <w:rFonts w:ascii="Arial" w:cs="Arial" w:eastAsia="Arial" w:hAnsi="Arial"/>
          <w:b/>
          <w:bCs/>
          <w:color w:val="1F3A5F"/>
          <w:sz w:val="32"/>
          <w:szCs w:val="32"/>
          <w:rtl/>
        </w:rPr>
        <w:t xml:space="preserve">14. أدلة التحقق وحدودها (بصراحة)</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5"/>
        <w:gridCol w:w="4799"/>
        <w:gridCol w:w="1820"/>
      </w:tblGrid>
      <w:tr>
        <w:trPr>
          <w:cantSplit/>
          <w:tblHeader/>
        </w:trPr>
        <w:tc>
          <w:tcPr>
            <w:tcW w:type="dxa" w:w="3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255 جدولًا / 4,200 عمود؛ لا مراجع معلّقة؛ لا مخالفة لقواعد النطاق</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تشغيل سابق</w:t>
            </w:r>
            <w:r>
              <w:rPr>
                <w:rFonts w:ascii="Arial" w:cs="Arial" w:eastAsia="Arial" w:hAnsi="Arial"/>
                <w:b w:val="false"/>
                <w:bCs w:val="false"/>
                <w:sz w:val="18"/>
                <w:szCs w:val="18"/>
                <w:rtl/>
              </w:rPr>
              <w:t xml:space="preserve"> — 194 جدولًا / 763 مفتاحًا أجنبيًا / 691 قيد فريد أو أساسي،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لم يُعَد على النموذج الحالي، ولا يدخل CI</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255 جدولًا، 338 منحة مولّدة، 151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75 من 75،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DR-50 موجود في DDL المولَّد أو في الحارس الثابت (043، 044)، لا في الوثيقة وحدها</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w:t>
            </w:r>
            <w:r>
              <w:rPr>
                <w:rFonts w:ascii="Courier New" w:cs="Courier New" w:eastAsia="Courier New" w:hAnsi="Courier New"/>
                <w:b w:val="false"/>
                <w:bCs w:val="false"/>
                <w:color w:val="1F2937"/>
                <w:sz w:val="16"/>
                <w:szCs w:val="16"/>
                <w:shd w:fill="F1F3F5" w:color="auto" w:val="clear"/>
                <w:rtl/>
              </w:rPr>
              <w:t xml:space="preserve">‎check_fk_indexes.py‎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578 مفهرسًا، 111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صفر بلا فهرس؛ الخطوة 3</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يطابق </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بحساب المراقبة 14 بندًا مع DDL المولَّد والسكربتات الثابتة: الجداول والمخططات والمفاتيح والقيود والفهارس والسياسات، والوحدات المنفّذة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و78 قادحًا بلا معطَّل، ولا دالة مفتوحة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وحساب النشر معطَّل، والترتيب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(الخطوة 5)؛ والخطوة 23 تشترط ألا يبقى بعد الاختبارات مفتاح أو قيد غير موثوق ولا قادح أو سياسة معطّلة ولا مستخدم اختبار ولا مشترك</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الحراس، التدفق المالي)</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بالخطوات 6 إلى 22 و19b من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7 فحوص (T1–T6 وT2b) · </w:t>
            </w:r>
            <w:r>
              <w:rPr>
                <w:rFonts w:ascii="Courier New" w:cs="Courier New" w:eastAsia="Courier New" w:hAnsi="Courier New"/>
                <w:b w:val="false"/>
                <w:bCs w:val="false"/>
                <w:color w:val="1F2937"/>
                <w:sz w:val="16"/>
                <w:szCs w:val="16"/>
                <w:shd w:fill="F1F3F5" w:color="auto" w:val="clear"/>
                <w:rtl/>
              </w:rPr>
              <w:t xml:space="preserve">‎tenant_isolation_tests.sql‎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‎auth_flow_tests.sql‎</w:t>
            </w:r>
            <w:r>
              <w:rPr>
                <w:rFonts w:ascii="Arial" w:cs="Arial" w:eastAsia="Arial" w:hAnsi="Arial"/>
                <w:b w:val="false"/>
                <w:bCs w:val="false"/>
                <w:sz w:val="18"/>
                <w:szCs w:val="18"/>
                <w:rtl/>
              </w:rPr>
              <w:t xml:space="preserve"> 20 (حسابات المستخدمين وإعدادات المشترك، ADR 0003 و0004) · </w:t>
            </w:r>
            <w:r>
              <w:rPr>
                <w:rFonts w:ascii="Courier New" w:cs="Courier New" w:eastAsia="Courier New" w:hAnsi="Courier New"/>
                <w:b w:val="false"/>
                <w:bCs w:val="false"/>
                <w:color w:val="1F2937"/>
                <w:sz w:val="16"/>
                <w:szCs w:val="16"/>
                <w:shd w:fill="F1F3F5" w:color="auto" w:val="clear"/>
                <w:rtl/>
              </w:rPr>
              <w:t xml:space="preserve">‎operator_support_tests.sql‎</w:t>
            </w:r>
            <w:r>
              <w:rPr>
                <w:rFonts w:ascii="Arial" w:cs="Arial" w:eastAsia="Arial" w:hAnsi="Arial"/>
                <w:b w:val="false"/>
                <w:bCs w:val="false"/>
                <w:sz w:val="18"/>
                <w:szCs w:val="18"/>
                <w:rtl/>
              </w:rPr>
              <w:t xml:space="preserve"> 11 · </w:t>
            </w:r>
            <w:r>
              <w:rPr>
                <w:rFonts w:ascii="Courier New" w:cs="Courier New" w:eastAsia="Courier New" w:hAnsi="Courier New"/>
                <w:b w:val="false"/>
                <w:bCs w:val="false"/>
                <w:color w:val="1F2937"/>
                <w:sz w:val="16"/>
                <w:szCs w:val="16"/>
                <w:shd w:fill="F1F3F5" w:color="auto" w:val="clear"/>
                <w:rtl/>
              </w:rPr>
              <w:t xml:space="preserve">‎job_context_tests.sql‎</w:t>
            </w:r>
            <w:r>
              <w:rPr>
                <w:rFonts w:ascii="Arial" w:cs="Arial" w:eastAsia="Arial" w:hAnsi="Arial"/>
                <w:b w:val="false"/>
                <w:bCs w:val="false"/>
                <w:sz w:val="18"/>
                <w:szCs w:val="18"/>
                <w:rtl/>
              </w:rPr>
              <w:t xml:space="preserve"> 7 · </w:t>
            </w:r>
            <w:r>
              <w:rPr>
                <w:rFonts w:ascii="Courier New" w:cs="Courier New" w:eastAsia="Courier New" w:hAnsi="Courier New"/>
                <w:b w:val="false"/>
                <w:bCs w:val="false"/>
                <w:color w:val="1F2937"/>
                <w:sz w:val="16"/>
                <w:szCs w:val="16"/>
                <w:shd w:fill="F1F3F5" w:color="auto" w:val="clear"/>
                <w:rtl/>
              </w:rPr>
              <w:t xml:space="preserve">‎tenant_onboarding_tests.sql‎</w:t>
            </w:r>
            <w:r>
              <w:rPr>
                <w:rFonts w:ascii="Arial" w:cs="Arial" w:eastAsia="Arial" w:hAnsi="Arial"/>
                <w:b w:val="false"/>
                <w:bCs w:val="false"/>
                <w:sz w:val="18"/>
                <w:szCs w:val="18"/>
                <w:rtl/>
              </w:rPr>
              <w:t xml:space="preserve"> 5 (ADR 0004) · </w:t>
            </w:r>
            <w:r>
              <w:rPr>
                <w:rFonts w:ascii="Courier New" w:cs="Courier New" w:eastAsia="Courier New" w:hAnsi="Courier New"/>
                <w:b w:val="false"/>
                <w:bCs w:val="false"/>
                <w:color w:val="1F2937"/>
                <w:sz w:val="16"/>
                <w:szCs w:val="16"/>
                <w:shd w:fill="F1F3F5" w:color="auto" w:val="clear"/>
                <w:rtl/>
              </w:rPr>
              <w:t xml:space="preserve">‎numbering_tests.sql‎</w:t>
            </w:r>
            <w:r>
              <w:rPr>
                <w:rFonts w:ascii="Arial" w:cs="Arial" w:eastAsia="Arial" w:hAnsi="Arial"/>
                <w:b w:val="false"/>
                <w:bCs w:val="false"/>
                <w:sz w:val="18"/>
                <w:szCs w:val="18"/>
                <w:rtl/>
              </w:rPr>
              <w:t xml:space="preserve"> 8 و</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2 (C1: ستة اتصالات متزامنة، 114 رقمًا من 1 إلى 114 بلا تكرار ولا فجوة بعد 36 تراجعًا؛ C2: خارج معاملة، ADR 0005) · </w:t>
            </w:r>
            <w:r>
              <w:rPr>
                <w:rFonts w:ascii="Courier New" w:cs="Courier New" w:eastAsia="Courier New" w:hAnsi="Courier New"/>
                <w:b w:val="false"/>
                <w:bCs w:val="false"/>
                <w:color w:val="1F2937"/>
                <w:sz w:val="16"/>
                <w:szCs w:val="16"/>
                <w:shd w:fill="F1F3F5" w:color="auto" w:val="clear"/>
                <w:rtl/>
              </w:rPr>
              <w:t xml:space="preserve">‎kyc_history_tests.sql‎</w:t>
            </w:r>
            <w:r>
              <w:rPr>
                <w:rFonts w:ascii="Arial" w:cs="Arial" w:eastAsia="Arial" w:hAnsi="Arial"/>
                <w:b w:val="false"/>
                <w:bCs w:val="false"/>
                <w:sz w:val="18"/>
                <w:szCs w:val="18"/>
                <w:rtl/>
              </w:rPr>
              <w:t xml:space="preserve"> 4 (ADR 0006) · </w:t>
            </w:r>
            <w:r>
              <w:rPr>
                <w:rFonts w:ascii="Courier New" w:cs="Courier New" w:eastAsia="Courier New" w:hAnsi="Courier New"/>
                <w:b w:val="false"/>
                <w:bCs w:val="false"/>
                <w:color w:val="1F2937"/>
                <w:sz w:val="16"/>
                <w:szCs w:val="16"/>
                <w:shd w:fill="F1F3F5" w:color="auto" w:val="clear"/>
                <w:rtl/>
              </w:rPr>
              <w:t xml:space="preserve">‎reference_data_tests.sql‎</w:t>
            </w:r>
            <w:r>
              <w:rPr>
                <w:rFonts w:ascii="Arial" w:cs="Arial" w:eastAsia="Arial" w:hAnsi="Arial"/>
                <w:b w:val="false"/>
                <w:bCs w:val="false"/>
                <w:sz w:val="18"/>
                <w:szCs w:val="18"/>
                <w:rtl/>
              </w:rPr>
              <w:t xml:space="preserve"> 4 · </w:t>
            </w:r>
            <w:r>
              <w:rPr>
                <w:rFonts w:ascii="Courier New" w:cs="Courier New" w:eastAsia="Courier New" w:hAnsi="Courier New"/>
                <w:b w:val="false"/>
                <w:bCs w:val="false"/>
                <w:color w:val="1F2937"/>
                <w:sz w:val="16"/>
                <w:szCs w:val="16"/>
                <w:shd w:fill="F1F3F5" w:color="auto" w:val="clear"/>
                <w:rtl/>
              </w:rPr>
              <w:t xml:space="preserve">‎audit_trail_tests.sql‎</w:t>
            </w:r>
            <w:r>
              <w:rPr>
                <w:rFonts w:ascii="Arial" w:cs="Arial" w:eastAsia="Arial" w:hAnsi="Arial"/>
                <w:b w:val="false"/>
                <w:bCs w:val="false"/>
                <w:sz w:val="18"/>
                <w:szCs w:val="18"/>
                <w:rtl/>
              </w:rPr>
              <w:t xml:space="preserve"> 7 (ADR 0007) · </w:t>
            </w:r>
            <w:r>
              <w:rPr>
                <w:rFonts w:ascii="Courier New" w:cs="Courier New" w:eastAsia="Courier New" w:hAnsi="Courier New"/>
                <w:b w:val="false"/>
                <w:bCs w:val="false"/>
                <w:color w:val="1F2937"/>
                <w:sz w:val="16"/>
                <w:szCs w:val="16"/>
                <w:shd w:fill="F1F3F5" w:color="auto" w:val="clear"/>
                <w:rtl/>
              </w:rPr>
              <w:t xml:space="preserve">‎data_export_tests.sql‎</w:t>
            </w:r>
            <w:r>
              <w:rPr>
                <w:rFonts w:ascii="Arial" w:cs="Arial" w:eastAsia="Arial" w:hAnsi="Arial"/>
                <w:b w:val="false"/>
                <w:bCs w:val="false"/>
                <w:sz w:val="18"/>
                <w:szCs w:val="18"/>
                <w:rtl/>
              </w:rPr>
              <w:t xml:space="preserve"> 7 (X1–X7، ADR 0008) · </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(ADR 0009) · </w:t>
            </w:r>
            <w:r>
              <w:rPr>
                <w:rFonts w:ascii="Courier New" w:cs="Courier New" w:eastAsia="Courier New" w:hAnsi="Courier New"/>
                <w:b w:val="false"/>
                <w:bCs w:val="false"/>
                <w:color w:val="1F2937"/>
                <w:sz w:val="16"/>
                <w:szCs w:val="16"/>
                <w:shd w:fill="F1F3F5" w:color="auto" w:val="clear"/>
                <w:rtl/>
              </w:rPr>
              <w:t xml:space="preserve">‎review_fixes_tests.sql‎</w:t>
            </w:r>
            <w:r>
              <w:rPr>
                <w:rFonts w:ascii="Arial" w:cs="Arial" w:eastAsia="Arial" w:hAnsi="Arial"/>
                <w:b w:val="false"/>
                <w:bCs w:val="false"/>
                <w:sz w:val="18"/>
                <w:szCs w:val="18"/>
                <w:rtl/>
              </w:rPr>
              <w:t xml:space="preserve"> 43 (RF1–RF34 لإصلاحات المراجعة وشروط دخول الشرائح، ADR 0011؛ وSR1–SR9 للمراجعة الذاتية، ADR 0015) · </w:t>
            </w:r>
            <w:r>
              <w:rPr>
                <w:rFonts w:ascii="Courier New" w:cs="Courier New" w:eastAsia="Courier New" w:hAnsi="Courier New"/>
                <w:b w:val="false"/>
                <w:bCs w:val="false"/>
                <w:color w:val="1F2937"/>
                <w:sz w:val="16"/>
                <w:szCs w:val="16"/>
                <w:shd w:fill="F1F3F5" w:color="auto" w:val="clear"/>
                <w:rtl/>
              </w:rPr>
              <w:t xml:space="preserve">‎financial_statements_tests.sql‎</w:t>
            </w:r>
            <w:r>
              <w:rPr>
                <w:rFonts w:ascii="Arial" w:cs="Arial" w:eastAsia="Arial" w:hAnsi="Arial"/>
                <w:b w:val="false"/>
                <w:bCs w:val="false"/>
                <w:sz w:val="18"/>
                <w:szCs w:val="18"/>
                <w:rtl/>
              </w:rPr>
              <w:t xml:space="preserve"> 11 (FS1–FS11، ADR 0016) · </w:t>
            </w:r>
            <w:r>
              <w:rPr>
                <w:rFonts w:ascii="Courier New" w:cs="Courier New" w:eastAsia="Courier New" w:hAnsi="Courier New"/>
                <w:b w:val="false"/>
                <w:bCs w:val="false"/>
                <w:color w:val="1F2937"/>
                <w:sz w:val="16"/>
                <w:szCs w:val="16"/>
                <w:shd w:fill="F1F3F5" w:color="auto" w:val="clear"/>
                <w:rtl/>
              </w:rPr>
              <w:t xml:space="preserve">‎credit_assessment_tests.sql‎</w:t>
            </w:r>
            <w:r>
              <w:rPr>
                <w:rFonts w:ascii="Arial" w:cs="Arial" w:eastAsia="Arial" w:hAnsi="Arial"/>
                <w:b w:val="false"/>
                <w:bCs w:val="false"/>
                <w:sz w:val="18"/>
                <w:szCs w:val="18"/>
                <w:rtl/>
              </w:rPr>
              <w:t xml:space="preserve"> 16 (CA1–CA16، ADR 0017 إلى 0019؛ ويمرر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 حالات الضغط الإحدى والخمسين في الخطوة 3) · </w:t>
            </w:r>
            <w:r>
              <w:rPr>
                <w:rFonts w:ascii="Courier New" w:cs="Courier New" w:eastAsia="Courier New" w:hAnsi="Courier New"/>
                <w:b w:val="false"/>
                <w:bCs w:val="false"/>
                <w:color w:val="1F2937"/>
                <w:sz w:val="16"/>
                <w:szCs w:val="16"/>
                <w:shd w:fill="F1F3F5" w:color="auto" w:val="clear"/>
                <w:rtl/>
              </w:rPr>
              <w:t xml:space="preserve">‎credit_engine_cases.sql‎</w:t>
            </w:r>
            <w:r>
              <w:rPr>
                <w:rFonts w:ascii="Arial" w:cs="Arial" w:eastAsia="Arial" w:hAnsi="Arial"/>
                <w:b w:val="false"/>
                <w:bCs w:val="false"/>
                <w:sz w:val="18"/>
                <w:szCs w:val="18"/>
                <w:rtl/>
              </w:rPr>
              <w:t xml:space="preserve"> 138 (69 حالة مولَّدة يطابق فيها محرك T-SQL مرجع Python رقمًا برقم، الخطوة 19d) · </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9 (SA1–SA9، ADR 0012 و0015) · </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(ADR 0013) · </w:t>
            </w:r>
            <w:r>
              <w:rPr>
                <w:rFonts w:ascii="Courier New" w:cs="Courier New" w:eastAsia="Courier New" w:hAnsi="Courier New"/>
                <w:b w:val="false"/>
                <w:bCs w:val="false"/>
                <w:color w:val="1F2937"/>
                <w:sz w:val="16"/>
                <w:szCs w:val="16"/>
                <w:shd w:fill="F1F3F5" w:color="auto" w:val="clear"/>
                <w:rtl/>
              </w:rPr>
              <w:t xml:space="preserve">‎tools/ci/deploy_preflight_check.sh‎</w:t>
            </w:r>
            <w:r>
              <w:rPr>
                <w:rFonts w:ascii="Arial" w:cs="Arial" w:eastAsia="Arial" w:hAnsi="Arial"/>
                <w:b w:val="false"/>
                <w:bCs w:val="false"/>
                <w:sz w:val="18"/>
                <w:szCs w:val="18"/>
                <w:rtl/>
              </w:rPr>
              <w:t xml:space="preserve"> 8 (PF1–PF8، ADR 0014 و0015)؛ وكلها تمر في CI، ويفشل البناء إن اختلف عدد أي منها عن المتوقع</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59" w:id="59"/>
      <w:r>
        <w:rPr>
          <w:rFonts w:ascii="Arial" w:cs="Arial" w:eastAsia="Arial" w:hAnsi="Arial"/>
          <w:b/>
          <w:bCs/>
          <w:color w:val="1F3A5F"/>
          <w:sz w:val="32"/>
          <w:szCs w:val="32"/>
          <w:rtl/>
        </w:rPr>
        <w:t xml:space="preserve">15. القرارات المتخذة (تُعتمد ما لم تعترض)</w:t>
      </w:r>
      <w:bookmarkEnd w:id="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القائمة الحالية في §3.3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60" w:id="60"/>
      <w:r>
        <w:rPr>
          <w:rFonts w:ascii="Arial" w:cs="Arial" w:eastAsia="Arial" w:hAnsi="Arial"/>
          <w:b/>
          <w:bCs/>
          <w:color w:val="1F3A5F"/>
          <w:sz w:val="32"/>
          <w:szCs w:val="32"/>
          <w:rtl/>
        </w:rPr>
        <w:t xml:space="preserve">16. حدود معروفة ونقاط مفتوحة</w:t>
      </w:r>
      <w:bookmarkEnd w:id="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523"/>
        <w:gridCol w:w="2374"/>
        <w:gridCol w:w="3029"/>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بخطواته من 0 إلى 23 مع 4b و19b و19c و19d، واختباراته كلها (§14)</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محلول (2026-10-21، ADR 0034):</w:t>
            </w:r>
            <w:r>
              <w:rPr>
                <w:rFonts w:ascii="Arial" w:cs="Arial" w:eastAsia="Arial" w:hAnsi="Arial"/>
                <w:b w:val="false"/>
                <w:bCs w:val="false"/>
                <w:sz w:val="18"/>
                <w:szCs w:val="18"/>
                <w:rtl/>
              </w:rPr>
              <w:t xml:space="preserve"> دفتر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وبصمة المخطط (056)، و</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بسكربتات مرقّمة في </w:t>
            </w:r>
            <w:r>
              <w:rPr>
                <w:rFonts w:ascii="Courier New" w:cs="Courier New" w:eastAsia="Courier New" w:hAnsi="Courier New"/>
                <w:b w:val="false"/>
                <w:bCs w:val="false"/>
                <w:color w:val="1F2937"/>
                <w:sz w:val="16"/>
                <w:szCs w:val="16"/>
                <w:shd w:fill="F1F3F5" w:color="auto" w:val="clear"/>
                <w:rtl/>
              </w:rPr>
              <w:t xml:space="preserve">‎db/migrations‎</w:t>
            </w:r>
            <w:r>
              <w:rPr>
                <w:rFonts w:ascii="Arial" w:cs="Arial" w:eastAsia="Arial" w:hAnsi="Arial"/>
                <w:b w:val="false"/>
                <w:bCs w:val="false"/>
                <w:sz w:val="18"/>
                <w:szCs w:val="18"/>
                <w:rtl/>
              </w:rPr>
              <w:t xml:space="preserve"> وسكربتات متكررة تُعاد بلا تغيير في البصمة (MG1 إلى MG7). بقي فحص التكافؤ بين النشر الجديد والقاعدة المرقّاة، ويدخل مع أول سكربت مرقّم</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(21 مخزّنة، أغلبها للمفاتيح والفرادة: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للعقد المراجَعة، و</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وأمثاله)</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محلول في القاعدة (2026-10-21، ADR 0033):</w:t>
            </w:r>
            <w:r>
              <w:rPr>
                <w:rFonts w:ascii="Arial" w:cs="Arial" w:eastAsia="Arial" w:hAnsi="Arial"/>
                <w:b w:val="false"/>
                <w:bCs w:val="false"/>
                <w:sz w:val="18"/>
                <w:szCs w:val="18"/>
                <w:rtl/>
              </w:rPr>
              <w:t xml:space="preserve"> السلسلة والمراسي والتحقق (AC1 إلى AC6، AA1 إلى AA3)؛ ويبقى اختيار المخزن نفسه قرارًا تشغيليًا (DQ-S12-2)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والدفعة (ب)، شروط دخول الشرائح S1 إلى S4، منفّذة كلها في اليوم نفسه (النموذج و</w:t>
            </w:r>
            <w:r>
              <w:rPr>
                <w:rFonts w:ascii="Courier New" w:cs="Courier New" w:eastAsia="Courier New" w:hAnsi="Courier New"/>
                <w:b w:val="false"/>
                <w:bCs w:val="false"/>
                <w:color w:val="1F2937"/>
                <w:sz w:val="16"/>
                <w:szCs w:val="16"/>
                <w:shd w:fill="F1F3F5" w:color="auto" w:val="clear"/>
                <w:rtl/>
              </w:rPr>
              <w:t xml:space="preserve">‎044_entry_guards.sql‎</w:t>
            </w:r>
            <w:r>
              <w:rPr>
                <w:rFonts w:ascii="Arial" w:cs="Arial" w:eastAsia="Arial" w:hAnsi="Arial"/>
                <w:b w:val="false"/>
                <w:bCs w:val="false"/>
                <w:sz w:val="18"/>
                <w:szCs w:val="18"/>
                <w:rtl/>
              </w:rPr>
              <w:t xml:space="preserve">، الاختبارات RF19 إلى RF34؛ 75 إصلاحًا يفحصها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وDR-20 محلولة بـ DR-02، وأُغلق المؤجَّلان في 2026-10-21: مرساة البصمة الخارجية (O-13، ADR 0033) وفحص المفاتيح المتقاعدة (DR-20، ADR 0032)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ما بقي من المراجعة الذاتية ووحدة القوائم المالية</w:t>
            </w:r>
            <w:r>
              <w:rPr>
                <w:rFonts w:ascii="Arial" w:cs="Arial" w:eastAsia="Arial" w:hAnsi="Arial"/>
                <w:b w:val="false"/>
                <w:bCs w:val="false"/>
                <w:sz w:val="18"/>
                <w:szCs w:val="18"/>
                <w:rtl/>
              </w:rPr>
              <w:t xml:space="preserve"> (ADR 0015، ADR 0016)</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يعتمدان التوقيت، وسماحات CI يضبطها أي مشغّل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§7)؛ وفي القوائم: التدفق المخصّص لتسهيل يُحسب له وحده، والتدفق على مستوى البنك يُحسب لكل تعهدات تسهيلاته (BR-FIN-016، اعتمده المالك 2026-10-18)، والأداء يُحسب عند القراءة بلا لقطة يومية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اليومية مع مهام S2-ب؛ والربط بالتقييم الائتماني مرحلة لاحقة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معايرة التقييم الائتماني</w:t>
            </w:r>
            <w:r>
              <w:rPr>
                <w:rFonts w:ascii="Arial" w:cs="Arial" w:eastAsia="Arial" w:hAnsi="Arial"/>
                <w:b w:val="false"/>
                <w:bCs w:val="false"/>
                <w:sz w:val="18"/>
                <w:szCs w:val="18"/>
                <w:rtl/>
              </w:rPr>
              <w:t xml:space="preserve"> (ADR 0017 إلى 0019،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والأوزان وقواعد البنود ومخاطر الأنشطة والبلدان والسيناريوهات معايرة بالخبرة صاغها وراجعها وكلاء ذكاء اصطناعي في دور محللين أوائل، لا محللون بشريون، بلا بيانات تعثر؛ ولم يُنقل شيء من وثائق موديز التي أرفقها المالك لأنها تمنع استعمالها في بناء نموذج أو قاعدة بيانات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وحدود 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المالك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وتتحقق إدارة الخزينة في الشركة (إدارة المخاطر، قرار المالك 2026-10-19) من المعايرة قبل استعمال الدرجة في قرار، ويتحقق مشغّل المنصة من التصنيفات السيادية؛ واستعمال أرقام موديز نفسها يحتاج ترخيصًا</w:t>
            </w:r>
          </w:p>
        </w:tc>
      </w:tr>
    </w:tbl>
    <w:p>
      <w:pPr>
        <w:bidi/>
        <w:spacing w:after="120" w:before="0"/>
      </w:pPr>
    </w:p>
    <w:p>
      <w:pPr>
        <w:pStyle w:val="Heading1"/>
        <w:bidi/>
      </w:pPr>
      <w:bookmarkStart w:name="_sec61" w:id="61"/>
      <w:r>
        <w:rPr>
          <w:rFonts w:ascii="Arial" w:cs="Arial" w:eastAsia="Arial" w:hAnsi="Arial"/>
          <w:b/>
          <w:bCs/>
          <w:color w:val="1F3A5F"/>
          <w:sz w:val="32"/>
          <w:szCs w:val="32"/>
          <w:rtl/>
        </w:rPr>
        <w:t xml:space="preserve">17. الخطوة التالية</w:t>
      </w:r>
      <w:bookmarkEnd w:id="61"/>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 وكذلك إصلاحات المراجعة الذاتية (ADR 0015) ووحدة القوائم المالية (ADR 0016)، وما بقي منهما في O-16، والتقييم الائتماني (ADR 0017 و0018) وما بقي منه في O-17.</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BankFas — وثيقة تصميم قاعدة البيانات · v0.3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988af6865f0d8cf2e9e96d496f916764c8da0985.png"/><Relationship Id="rId11" Type="http://schemas.openxmlformats.org/officeDocument/2006/relationships/image" Target="media/b75998481ab0ef1db4e242cf4d90e3edd0b0a4e1.png"/><Relationship Id="rId12" Type="http://schemas.openxmlformats.org/officeDocument/2006/relationships/image" Target="media/4ad4f4f04db814c06fe09eb83de4ee1a8a575f35.png"/><Relationship Id="rId13" Type="http://schemas.openxmlformats.org/officeDocument/2006/relationships/image" Target="media/be83d5234ab436c775cf8073134d6ec6de67b4dd.png"/><Relationship Id="rId14" Type="http://schemas.openxmlformats.org/officeDocument/2006/relationships/image" Target="media/ccd74172f3ed1cd5cb100816c861ebc827158a09.png"/><Relationship Id="rId15" Type="http://schemas.openxmlformats.org/officeDocument/2006/relationships/image" Target="media/7705d20367e1f51f25d506de34fff10fa4d825b8.png"/><Relationship Id="rId16" Type="http://schemas.openxmlformats.org/officeDocument/2006/relationships/image" Target="media/453ceb65db8dbdc4611e880fb6528b3b89ed7a7f.png"/><Relationship Id="rId17" Type="http://schemas.openxmlformats.org/officeDocument/2006/relationships/image" Target="media/c4bc73c93b3f1feffb83dd8ef904e0b7ed38b8b5.png"/><Relationship Id="rId18" Type="http://schemas.openxmlformats.org/officeDocument/2006/relationships/image" Target="media/7cd68bdf1359be093e117453c4a4db2130cd0dde.png"/><Relationship Id="rId19" Type="http://schemas.openxmlformats.org/officeDocument/2006/relationships/image" Target="media/8ac7062f750d3d62e7b0b1b14dc6978ff8d85341.png"/><Relationship Id="rId20" Type="http://schemas.openxmlformats.org/officeDocument/2006/relationships/image" Target="media/60c57410e6b8d60c8d80de1c5586d72eda4f3b5e.png"/><Relationship Id="rId21" Type="http://schemas.openxmlformats.org/officeDocument/2006/relationships/image" Target="media/1ce3ec9db093e8fb89c08e1ada07c16feb954b86.png"/><Relationship Id="rId22" Type="http://schemas.openxmlformats.org/officeDocument/2006/relationships/image" Target="media/5302c6bfb0a2969ad09067f0426cbc703ecca30e.png"/><Relationship Id="rId23" Type="http://schemas.openxmlformats.org/officeDocument/2006/relationships/image" Target="media/47ddc3bbb6df68b60ebd689eddfdc422747f73f4.png"/><Relationship Id="rId24" Type="http://schemas.openxmlformats.org/officeDocument/2006/relationships/image" Target="media/7008bc244f86ea28562c3e07ecd466b89506f6b3.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تصميم قاعدة البيانات — BankFas</dc:title>
  <dc:creator>Claude</dc:creator>
  <dc:description>BankFas database design document</dc:description>
  <cp:lastModifiedBy>Un-named</cp:lastModifiedBy>
  <cp:revision>1</cp:revision>
  <dcterms:created xsi:type="dcterms:W3CDTF">2026-10-21T07:20:24.177Z</dcterms:created>
  <dcterms:modified xsi:type="dcterms:W3CDTF">2026-10-21T07:20:24.177Z</dcterms:modified>
</cp:coreProperties>
</file>

<file path=docProps/custom.xml><?xml version="1.0" encoding="utf-8"?>
<Properties xmlns="http://schemas.openxmlformats.org/officeDocument/2006/custom-properties" xmlns:vt="http://schemas.openxmlformats.org/officeDocument/2006/docPropsVTypes"/>
</file>