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bidi/>
      </w:pPr>
      <w:r>
        <w:rPr>
          <w:rFonts w:ascii="Arial" w:cs="Arial" w:eastAsia="Arial" w:hAnsi="Arial"/>
          <w:b/>
          <w:bCs/>
          <w:color w:val="1F3A5F"/>
          <w:sz w:val="48"/>
          <w:szCs w:val="48"/>
          <w:rtl/>
        </w:rPr>
        <w:t xml:space="preserve">DOC-F03 — تسلسل الدخول وMFA والاسترداد</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160"/>
        <w:gridCol w:w="8704"/>
      </w:tblGrid>
      <w:tr>
        <w:trPr>
          <w:cantSplit/>
          <w:tblHeader/>
        </w:trPr>
        <w:tc>
          <w:tcPr>
            <w:tcW w:type="dxa" w:w="116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870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القيمة</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المعرّف</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DOC-F03 (docs/30-readiness-documents.md)</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الإصدار</w:t>
            </w:r>
          </w:p>
        </w:tc>
        <w:tc>
          <w:tcPr>
            <w:tcW w:type="dxa" w:w="87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0.1 — مسودة للمراجعة — 2026-10-12</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المالك المقترح</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مسؤول الهوية والأمن مع معماري قاعدة البيانات</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الأولوية</w:t>
            </w:r>
          </w:p>
        </w:tc>
        <w:tc>
          <w:tcPr>
            <w:tcW w:type="dxa" w:w="87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P0 قبل S0</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يغطي</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FR-PLT-010 إلى FR-PLT-014، FR-PLT-046، BR-PLT-004 إلى BR-PLT-006، AC-PLT-2، O-9 (20-database-design)، O-24 (erd_open_items)</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يعتمد على</w:t>
            </w:r>
          </w:p>
        </w:tc>
        <w:tc>
          <w:tcPr>
            <w:tcW w:type="dxa" w:w="87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DOC-S03 (شكل الرمز والكوكي)، DOC-S04 (قيم السياسة)، DOC-F04 (ربط الاتصال ومصفوفة حالة المشترك)، DOC-F06 (حالات المستخدم)، DOC-S02 (المفاتيح)</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المصادر</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docs/adr/0002-login-and-session-bound-context.md، db/static/030_session_context.sql، db/static/010_rls.sql، db/static/020_roles_and_grants.sql، db/model/10-platform.model، db/generated/tsql/007_table_grants.sql، db/tests/tenant_isolation_tests.sql، docs/10-detailed-analysis/10-m0-m1-platform-organization.md، docs/20-database-design.md</w:t>
            </w:r>
          </w:p>
        </w:tc>
      </w:tr>
    </w:tbl>
    <w:p>
      <w:pPr>
        <w:bidi/>
        <w:spacing w:after="120" w:before="0"/>
      </w:pPr>
    </w:p>
    <w:p>
      <w:pPr>
        <w:pBdr>
          <w:bottom w:val="single" w:color="1F3A5F" w:sz="8" w:space="4"/>
        </w:pBdr>
        <w:bidi/>
        <w:spacing w:after="100" w:before="280"/>
      </w:pPr>
      <w:r>
        <w:rPr>
          <w:rFonts w:ascii="Arial" w:cs="Arial" w:eastAsia="Arial" w:hAnsi="Arial"/>
          <w:b/>
          <w:bCs/>
          <w:color w:val="1F3A5F"/>
          <w:sz w:val="32"/>
          <w:szCs w:val="32"/>
          <w:rtl/>
        </w:rPr>
        <w:t xml:space="preserve">المحتويات</w:t>
      </w:r>
    </w:p>
    <w:p>
      <w:pPr>
        <w:bidi/>
        <w:spacing w:after="50" w:before="0"/>
        <w:ind w:left="0"/>
      </w:pPr>
      <w:hyperlink w:history="1" w:anchor="_sec1">
        <w:r>
          <w:rPr>
            <w:rFonts w:ascii="Arial" w:cs="Arial" w:eastAsia="Arial" w:hAnsi="Arial"/>
            <w:b/>
            <w:bCs/>
            <w:color w:val="1F3A5F"/>
            <w:sz w:val="20"/>
            <w:szCs w:val="20"/>
            <w:rtl/>
          </w:rPr>
          <w:t xml:space="preserve">1. الغرض والنطاق</w:t>
        </w:r>
      </w:hyperlink>
    </w:p>
    <w:p>
      <w:pPr>
        <w:bidi/>
        <w:spacing w:after="50" w:before="0"/>
        <w:ind w:left="0"/>
      </w:pPr>
      <w:hyperlink w:history="1" w:anchor="_sec2">
        <w:r>
          <w:rPr>
            <w:rFonts w:ascii="Arial" w:cs="Arial" w:eastAsia="Arial" w:hAnsi="Arial"/>
            <w:b/>
            <w:bCs/>
            <w:color w:val="1F3A5F"/>
            <w:sz w:val="20"/>
            <w:szCs w:val="20"/>
            <w:rtl/>
          </w:rPr>
          <w:t xml:space="preserve">2. الفاعلون والمكوّنات</w:t>
        </w:r>
      </w:hyperlink>
    </w:p>
    <w:p>
      <w:pPr>
        <w:bidi/>
        <w:spacing w:after="50" w:before="0"/>
        <w:ind w:left="0"/>
      </w:pPr>
      <w:hyperlink w:history="1" w:anchor="_sec3">
        <w:r>
          <w:rPr>
            <w:rFonts w:ascii="Arial" w:cs="Arial" w:eastAsia="Arial" w:hAnsi="Arial"/>
            <w:b/>
            <w:bCs/>
            <w:color w:val="1F3A5F"/>
            <w:sz w:val="20"/>
            <w:szCs w:val="20"/>
            <w:rtl/>
          </w:rPr>
          <w:t xml:space="preserve">3. ما هو موجود وما هو مقترح</w:t>
        </w:r>
      </w:hyperlink>
    </w:p>
    <w:p>
      <w:pPr>
        <w:bidi/>
        <w:spacing w:after="50" w:before="0"/>
        <w:ind w:left="0"/>
      </w:pPr>
      <w:hyperlink w:history="1" w:anchor="_sec4">
        <w:r>
          <w:rPr>
            <w:rFonts w:ascii="Arial" w:cs="Arial" w:eastAsia="Arial" w:hAnsi="Arial"/>
            <w:b/>
            <w:bCs/>
            <w:color w:val="1F3A5F"/>
            <w:sz w:val="20"/>
            <w:szCs w:val="20"/>
            <w:rtl/>
          </w:rPr>
          <w:t xml:space="preserve">4. حل التعارض مع O-9 (20-database-design)</w:t>
        </w:r>
      </w:hyperlink>
    </w:p>
    <w:p>
      <w:pPr>
        <w:bidi/>
        <w:spacing w:after="50" w:before="0"/>
        <w:ind w:left="0"/>
      </w:pPr>
      <w:hyperlink w:history="1" w:anchor="_sec5">
        <w:r>
          <w:rPr>
            <w:rFonts w:ascii="Arial" w:cs="Arial" w:eastAsia="Arial" w:hAnsi="Arial"/>
            <w:b/>
            <w:bCs/>
            <w:color w:val="1F3A5F"/>
            <w:sz w:val="20"/>
            <w:szCs w:val="20"/>
            <w:rtl/>
          </w:rPr>
          <w:t xml:space="preserve">5. تحديد المشترك والدخول بكلمة المرور</w:t>
        </w:r>
      </w:hyperlink>
    </w:p>
    <w:p>
      <w:pPr>
        <w:bidi/>
        <w:spacing w:after="50" w:before="0"/>
        <w:ind w:left="0"/>
      </w:pPr>
      <w:hyperlink w:history="1" w:anchor="_sec9">
        <w:r>
          <w:rPr>
            <w:rFonts w:ascii="Arial" w:cs="Arial" w:eastAsia="Arial" w:hAnsi="Arial"/>
            <w:b/>
            <w:bCs/>
            <w:color w:val="1F3A5F"/>
            <w:sz w:val="20"/>
            <w:szCs w:val="20"/>
            <w:rtl/>
          </w:rPr>
          <w:t xml:space="preserve">6. خطوة MFA وإصدار الجلسة</w:t>
        </w:r>
      </w:hyperlink>
    </w:p>
    <w:p>
      <w:pPr>
        <w:bidi/>
        <w:spacing w:after="50" w:before="0"/>
        <w:ind w:left="0"/>
      </w:pPr>
      <w:hyperlink w:history="1" w:anchor="_sec13">
        <w:r>
          <w:rPr>
            <w:rFonts w:ascii="Arial" w:cs="Arial" w:eastAsia="Arial" w:hAnsi="Arial"/>
            <w:b/>
            <w:bCs/>
            <w:color w:val="1F3A5F"/>
            <w:sz w:val="20"/>
            <w:szCs w:val="20"/>
            <w:rtl/>
          </w:rPr>
          <w:t xml:space="preserve">7. الخروج وانتهاء الجلسة</w:t>
        </w:r>
      </w:hyperlink>
    </w:p>
    <w:p>
      <w:pPr>
        <w:bidi/>
        <w:spacing w:after="50" w:before="0"/>
        <w:ind w:left="0"/>
      </w:pPr>
      <w:hyperlink w:history="1" w:anchor="_sec14">
        <w:r>
          <w:rPr>
            <w:rFonts w:ascii="Arial" w:cs="Arial" w:eastAsia="Arial" w:hAnsi="Arial"/>
            <w:b/>
            <w:bCs/>
            <w:color w:val="1F3A5F"/>
            <w:sz w:val="20"/>
            <w:szCs w:val="20"/>
            <w:rtl/>
          </w:rPr>
          <w:t xml:space="preserve">8. الدعوة (48 ساعة)</w:t>
        </w:r>
      </w:hyperlink>
    </w:p>
    <w:p>
      <w:pPr>
        <w:bidi/>
        <w:spacing w:after="50" w:before="0"/>
        <w:ind w:left="0"/>
      </w:pPr>
      <w:hyperlink w:history="1" w:anchor="_sec15">
        <w:r>
          <w:rPr>
            <w:rFonts w:ascii="Arial" w:cs="Arial" w:eastAsia="Arial" w:hAnsi="Arial"/>
            <w:b/>
            <w:bCs/>
            <w:color w:val="1F3A5F"/>
            <w:sz w:val="20"/>
            <w:szCs w:val="20"/>
            <w:rtl/>
          </w:rPr>
          <w:t xml:space="preserve">9. إعادة تعيين كلمة المرور (30 دقيقة)</w:t>
        </w:r>
      </w:hyperlink>
    </w:p>
    <w:p>
      <w:pPr>
        <w:bidi/>
        <w:spacing w:after="50" w:before="0"/>
        <w:ind w:left="0"/>
      </w:pPr>
      <w:hyperlink w:history="1" w:anchor="_sec16">
        <w:r>
          <w:rPr>
            <w:rFonts w:ascii="Arial" w:cs="Arial" w:eastAsia="Arial" w:hAnsi="Arial"/>
            <w:b/>
            <w:bCs/>
            <w:color w:val="1F3A5F"/>
            <w:sz w:val="20"/>
            <w:szCs w:val="20"/>
            <w:rtl/>
          </w:rPr>
          <w:t xml:space="preserve">10. فقدان جهاز MFA وإعادة التسجيل</w:t>
        </w:r>
      </w:hyperlink>
    </w:p>
    <w:p>
      <w:pPr>
        <w:bidi/>
        <w:spacing w:after="50" w:before="0"/>
        <w:ind w:left="0"/>
      </w:pPr>
      <w:hyperlink w:history="1" w:anchor="_sec17">
        <w:r>
          <w:rPr>
            <w:rFonts w:ascii="Arial" w:cs="Arial" w:eastAsia="Arial" w:hAnsi="Arial"/>
            <w:b/>
            <w:bCs/>
            <w:color w:val="1F3A5F"/>
            <w:sz w:val="20"/>
            <w:szCs w:val="20"/>
            <w:rtl/>
          </w:rPr>
          <w:t xml:space="preserve">11. إعادة المصادقة قبل التصدير الحساس</w:t>
        </w:r>
      </w:hyperlink>
    </w:p>
    <w:p>
      <w:pPr>
        <w:bidi/>
        <w:spacing w:after="50" w:before="0"/>
        <w:ind w:left="0"/>
      </w:pPr>
      <w:hyperlink w:history="1" w:anchor="_sec18">
        <w:r>
          <w:rPr>
            <w:rFonts w:ascii="Arial" w:cs="Arial" w:eastAsia="Arial" w:hAnsi="Arial"/>
            <w:b/>
            <w:bCs/>
            <w:color w:val="1F3A5F"/>
            <w:sz w:val="20"/>
            <w:szCs w:val="20"/>
            <w:rtl/>
          </w:rPr>
          <w:t xml:space="preserve">12. ما يُسمح به قبل المصادقة</w:t>
        </w:r>
      </w:hyperlink>
    </w:p>
    <w:p>
      <w:pPr>
        <w:bidi/>
        <w:spacing w:after="50" w:before="0"/>
        <w:ind w:left="0"/>
      </w:pPr>
      <w:hyperlink w:history="1" w:anchor="_sec19">
        <w:r>
          <w:rPr>
            <w:rFonts w:ascii="Arial" w:cs="Arial" w:eastAsia="Arial" w:hAnsi="Arial"/>
            <w:b/>
            <w:bCs/>
            <w:color w:val="1F3A5F"/>
            <w:sz w:val="20"/>
            <w:szCs w:val="20"/>
            <w:rtl/>
          </w:rPr>
          <w:t xml:space="preserve">13. القرارات المطلوبة</w:t>
        </w:r>
      </w:hyperlink>
    </w:p>
    <w:p>
      <w:pPr>
        <w:bidi/>
        <w:spacing w:after="50" w:before="0"/>
        <w:ind w:left="0"/>
      </w:pPr>
      <w:hyperlink w:history="1" w:anchor="_sec20">
        <w:r>
          <w:rPr>
            <w:rFonts w:ascii="Arial" w:cs="Arial" w:eastAsia="Arial" w:hAnsi="Arial"/>
            <w:b/>
            <w:bCs/>
            <w:color w:val="1F3A5F"/>
            <w:sz w:val="20"/>
            <w:szCs w:val="20"/>
            <w:rtl/>
          </w:rPr>
          <w:t xml:space="preserve">14. تعارضات وفجوات في المصادر</w:t>
        </w:r>
      </w:hyperlink>
    </w:p>
    <w:p>
      <w:pPr>
        <w:bidi/>
        <w:spacing w:after="50" w:before="0"/>
        <w:ind w:left="0"/>
      </w:pPr>
      <w:hyperlink w:history="1" w:anchor="_sec21">
        <w:r>
          <w:rPr>
            <w:rFonts w:ascii="Arial" w:cs="Arial" w:eastAsia="Arial" w:hAnsi="Arial"/>
            <w:b/>
            <w:bCs/>
            <w:color w:val="1F3A5F"/>
            <w:sz w:val="20"/>
            <w:szCs w:val="20"/>
            <w:rtl/>
          </w:rPr>
          <w:t xml:space="preserve">15. التتبع</w:t>
        </w:r>
      </w:hyperlink>
    </w:p>
    <w:p>
      <w:r>
        <w:br w:type="page"/>
      </w:r>
    </w:p>
    <w:p>
      <w:pPr>
        <w:pBdr>
          <w:top w:val="single" w:color="E8C766" w:sz="6" w:space="6"/>
          <w:left w:val="single" w:color="E8C766" w:sz="6" w:space="6"/>
          <w:bottom w:val="single" w:color="E8C766" w:sz="6" w:space="6"/>
          <w:right w:val="single" w:color="E8C766" w:sz="6" w:space="6"/>
        </w:pBdr>
        <w:shd w:fill="FFF8E1" w:color="auto" w:val="clear"/>
        <w:bidi/>
        <w:spacing w:after="160" w:before="60" w:line="300"/>
        <w:ind w:left="140" w:right="140"/>
      </w:pPr>
      <w:r>
        <w:rPr>
          <w:rFonts w:ascii="Arial" w:cs="Arial" w:eastAsia="Arial" w:hAnsi="Arial"/>
          <w:b/>
          <w:bCs/>
          <w:sz w:val="20"/>
          <w:szCs w:val="20"/>
          <w:rtl/>
        </w:rPr>
        <w:t xml:space="preserve">تحديث التنفيذ (2026-10-12):</w:t>
      </w:r>
      <w:r>
        <w:rPr>
          <w:rFonts w:ascii="Arial" w:cs="Arial" w:eastAsia="Arial" w:hAnsi="Arial"/>
          <w:b w:val="false"/>
          <w:bCs w:val="false"/>
          <w:sz w:val="20"/>
          <w:szCs w:val="20"/>
          <w:rtl/>
        </w:rPr>
        <w:t xml:space="preserve"> نُفّذت قرارات المالك لبوابة S0 في القاعدة (docs/adr/0003-account-security-in-the-database.md، db/static/030_session_context.sql، db/static/035_account_security.sql) وتمر في CI (48 حالة عزل و14 حالة حسابات في db/tests/auth_flow_tests.sql). أرقام الأسطر المذكورة لملف 030 في هذه الوثيقة تسبق هذا التحديث.</w:t>
      </w:r>
    </w:p>
    <w:p>
      <w:pPr>
        <w:pBdr>
          <w:top w:val="single" w:color="E8C766" w:sz="6" w:space="6"/>
          <w:left w:val="single" w:color="E8C766" w:sz="6" w:space="6"/>
          <w:bottom w:val="single" w:color="E8C766" w:sz="6" w:space="6"/>
          <w:right w:val="single" w:color="E8C766" w:sz="6" w:space="6"/>
        </w:pBdr>
        <w:shd w:fill="FFF8E1" w:color="auto" w:val="clear"/>
        <w:bidi/>
        <w:spacing w:after="160" w:before="60" w:line="300"/>
        <w:ind w:left="140" w:right="140"/>
      </w:pPr>
      <w:r>
        <w:rPr>
          <w:rFonts w:ascii="Arial" w:cs="Arial" w:eastAsia="Arial" w:hAnsi="Arial"/>
          <w:b w:val="false"/>
          <w:bCs w:val="false"/>
          <w:sz w:val="20"/>
          <w:szCs w:val="20"/>
          <w:rtl/>
        </w:rPr>
        <w:t xml:space="preserve">ما يخص هذه الوثيقة: MFA إلزامي ولا ربط قبله (DQ-F03-4)؛ مسار ما قبل الدخول بإجراءات ضيقة (DQ-F03-1): </w:t>
      </w:r>
      <w:r>
        <w:rPr>
          <w:rFonts w:ascii="Courier New" w:cs="Courier New" w:eastAsia="Courier New" w:hAnsi="Courier New"/>
          <w:b w:val="false"/>
          <w:bCs w:val="false"/>
          <w:color w:val="1F2937"/>
          <w:sz w:val="18"/>
          <w:szCs w:val="18"/>
          <w:shd w:fill="F1F3F5" w:color="auto" w:val="clear"/>
          <w:rtl/>
        </w:rPr>
        <w:t xml:space="preserve">‎usp_ResolveTenant‎</w:t>
      </w:r>
      <w:r>
        <w:rPr>
          <w:rFonts w:ascii="Arial" w:cs="Arial" w:eastAsia="Arial" w:hAnsi="Arial"/>
          <w:b w:val="false"/>
          <w:bCs w:val="false"/>
          <w:sz w:val="20"/>
          <w:szCs w:val="20"/>
          <w:rtl/>
        </w:rPr>
        <w:t xml:space="preserve"> و</w:t>
      </w:r>
      <w:r>
        <w:rPr>
          <w:rFonts w:ascii="Courier New" w:cs="Courier New" w:eastAsia="Courier New" w:hAnsi="Courier New"/>
          <w:b w:val="false"/>
          <w:bCs w:val="false"/>
          <w:color w:val="1F2937"/>
          <w:sz w:val="18"/>
          <w:szCs w:val="18"/>
          <w:shd w:fill="F1F3F5" w:color="auto" w:val="clear"/>
          <w:rtl/>
        </w:rPr>
        <w:t xml:space="preserve">‎usp_GetMfaChallenge‎</w:t>
      </w:r>
      <w:r>
        <w:rPr>
          <w:rFonts w:ascii="Arial" w:cs="Arial" w:eastAsia="Arial" w:hAnsi="Arial"/>
          <w:b w:val="false"/>
          <w:bCs w:val="false"/>
          <w:sz w:val="20"/>
          <w:szCs w:val="20"/>
          <w:rtl/>
        </w:rPr>
        <w:t xml:space="preserve"> و</w:t>
      </w:r>
      <w:r>
        <w:rPr>
          <w:rFonts w:ascii="Courier New" w:cs="Courier New" w:eastAsia="Courier New" w:hAnsi="Courier New"/>
          <w:b w:val="false"/>
          <w:bCs w:val="false"/>
          <w:color w:val="1F2937"/>
          <w:sz w:val="18"/>
          <w:szCs w:val="18"/>
          <w:shd w:fill="F1F3F5" w:color="auto" w:val="clear"/>
          <w:rtl/>
        </w:rPr>
        <w:t xml:space="preserve">‎usp_CompleteMfaEnrolment‎</w:t>
      </w:r>
      <w:r>
        <w:rPr>
          <w:rFonts w:ascii="Arial" w:cs="Arial" w:eastAsia="Arial" w:hAnsi="Arial"/>
          <w:b w:val="false"/>
          <w:bCs w:val="false"/>
          <w:sz w:val="20"/>
          <w:szCs w:val="20"/>
          <w:rtl/>
        </w:rPr>
        <w:t xml:space="preserve"> و</w:t>
      </w:r>
      <w:r>
        <w:rPr>
          <w:rFonts w:ascii="Courier New" w:cs="Courier New" w:eastAsia="Courier New" w:hAnsi="Courier New"/>
          <w:b w:val="false"/>
          <w:bCs w:val="false"/>
          <w:color w:val="1F2937"/>
          <w:sz w:val="18"/>
          <w:szCs w:val="18"/>
          <w:shd w:fill="F1F3F5" w:color="auto" w:val="clear"/>
          <w:rtl/>
        </w:rPr>
        <w:t xml:space="preserve">‎usp_UseRecoveryCode‎</w:t>
      </w:r>
      <w:r>
        <w:rPr>
          <w:rFonts w:ascii="Arial" w:cs="Arial" w:eastAsia="Arial" w:hAnsi="Arial"/>
          <w:b w:val="false"/>
          <w:bCs w:val="false"/>
          <w:sz w:val="20"/>
          <w:szCs w:val="20"/>
          <w:rtl/>
        </w:rPr>
        <w:t xml:space="preserve"> و</w:t>
      </w:r>
      <w:r>
        <w:rPr>
          <w:rFonts w:ascii="Courier New" w:cs="Courier New" w:eastAsia="Courier New" w:hAnsi="Courier New"/>
          <w:b w:val="false"/>
          <w:bCs w:val="false"/>
          <w:color w:val="1F2937"/>
          <w:sz w:val="18"/>
          <w:szCs w:val="18"/>
          <w:shd w:fill="F1F3F5" w:color="auto" w:val="clear"/>
          <w:rtl/>
        </w:rPr>
        <w:t xml:space="preserve">‎usp_CompleteInvitation‎</w:t>
      </w:r>
      <w:r>
        <w:rPr>
          <w:rFonts w:ascii="Arial" w:cs="Arial" w:eastAsia="Arial" w:hAnsi="Arial"/>
          <w:b w:val="false"/>
          <w:bCs w:val="false"/>
          <w:sz w:val="20"/>
          <w:szCs w:val="20"/>
          <w:rtl/>
        </w:rPr>
        <w:t xml:space="preserve"> و</w:t>
      </w:r>
      <w:r>
        <w:rPr>
          <w:rFonts w:ascii="Courier New" w:cs="Courier New" w:eastAsia="Courier New" w:hAnsi="Courier New"/>
          <w:b w:val="false"/>
          <w:bCs w:val="false"/>
          <w:color w:val="1F2937"/>
          <w:sz w:val="18"/>
          <w:szCs w:val="18"/>
          <w:shd w:fill="F1F3F5" w:color="auto" w:val="clear"/>
          <w:rtl/>
        </w:rPr>
        <w:t xml:space="preserve">‎usp_RequestPasswordReset‎</w:t>
      </w:r>
      <w:r>
        <w:rPr>
          <w:rFonts w:ascii="Arial" w:cs="Arial" w:eastAsia="Arial" w:hAnsi="Arial"/>
          <w:b w:val="false"/>
          <w:bCs w:val="false"/>
          <w:sz w:val="20"/>
          <w:szCs w:val="20"/>
          <w:rtl/>
        </w:rPr>
        <w:t xml:space="preserve"> و</w:t>
      </w:r>
      <w:r>
        <w:rPr>
          <w:rFonts w:ascii="Courier New" w:cs="Courier New" w:eastAsia="Courier New" w:hAnsi="Courier New"/>
          <w:b w:val="false"/>
          <w:bCs w:val="false"/>
          <w:color w:val="1F2937"/>
          <w:sz w:val="18"/>
          <w:szCs w:val="18"/>
          <w:shd w:fill="F1F3F5" w:color="auto" w:val="clear"/>
          <w:rtl/>
        </w:rPr>
        <w:t xml:space="preserve">‎usp_ResetPassword‎</w:t>
      </w:r>
      <w:r>
        <w:rPr>
          <w:rFonts w:ascii="Arial" w:cs="Arial" w:eastAsia="Arial" w:hAnsi="Arial"/>
          <w:b w:val="false"/>
          <w:bCs w:val="false"/>
          <w:sz w:val="20"/>
          <w:szCs w:val="20"/>
          <w:rtl/>
        </w:rPr>
        <w:t xml:space="preserve"> و</w:t>
      </w:r>
      <w:r>
        <w:rPr>
          <w:rFonts w:ascii="Courier New" w:cs="Courier New" w:eastAsia="Courier New" w:hAnsi="Courier New"/>
          <w:b w:val="false"/>
          <w:bCs w:val="false"/>
          <w:color w:val="1F2937"/>
          <w:sz w:val="18"/>
          <w:szCs w:val="18"/>
          <w:shd w:fill="F1F3F5" w:color="auto" w:val="clear"/>
          <w:rtl/>
        </w:rPr>
        <w:t xml:space="preserve">‎usp_ChangePassword‎</w:t>
      </w:r>
      <w:r>
        <w:rPr>
          <w:rFonts w:ascii="Arial" w:cs="Arial" w:eastAsia="Arial" w:hAnsi="Arial"/>
          <w:b w:val="false"/>
          <w:bCs w:val="false"/>
          <w:sz w:val="20"/>
          <w:szCs w:val="20"/>
          <w:rtl/>
        </w:rPr>
        <w:t xml:space="preserve"> و</w:t>
      </w:r>
      <w:r>
        <w:rPr>
          <w:rFonts w:ascii="Courier New" w:cs="Courier New" w:eastAsia="Courier New" w:hAnsi="Courier New"/>
          <w:b w:val="false"/>
          <w:bCs w:val="false"/>
          <w:color w:val="1F2937"/>
          <w:sz w:val="18"/>
          <w:szCs w:val="18"/>
          <w:shd w:fill="F1F3F5" w:color="auto" w:val="clear"/>
          <w:rtl/>
        </w:rPr>
        <w:t xml:space="preserve">‎usp_EndSession‎</w:t>
      </w:r>
      <w:r>
        <w:rPr>
          <w:rFonts w:ascii="Arial" w:cs="Arial" w:eastAsia="Arial" w:hAnsi="Arial"/>
          <w:b w:val="false"/>
          <w:bCs w:val="false"/>
          <w:sz w:val="20"/>
          <w:szCs w:val="20"/>
          <w:rtl/>
        </w:rPr>
        <w:t xml:space="preserve">؛ رابط إعادة تسجيل MFA لمدة 24 ساعة (DQ-F03-8)؛ الخطأ 50006 بعد إثبات كلمة المرور فقط (DQ-F03-11). لم يُبنَ بعد: </w:t>
      </w:r>
      <w:r>
        <w:rPr>
          <w:rFonts w:ascii="Courier New" w:cs="Courier New" w:eastAsia="Courier New" w:hAnsi="Courier New"/>
          <w:b w:val="false"/>
          <w:bCs w:val="false"/>
          <w:color w:val="1F2937"/>
          <w:sz w:val="18"/>
          <w:szCs w:val="18"/>
          <w:shd w:fill="F1F3F5" w:color="auto" w:val="clear"/>
          <w:rtl/>
        </w:rPr>
        <w:t xml:space="preserve">‎usp_CheckUserToken‎</w:t>
      </w:r>
      <w:r>
        <w:rPr>
          <w:rFonts w:ascii="Arial" w:cs="Arial" w:eastAsia="Arial" w:hAnsi="Arial"/>
          <w:b w:val="false"/>
          <w:bCs w:val="false"/>
          <w:sz w:val="20"/>
          <w:szCs w:val="20"/>
          <w:rtl/>
        </w:rPr>
        <w:t xml:space="preserve"> (DQ-F03-5) وحد الدقائق الخمس للجلسة المنتظرة MFA (DQ-F03-2) والتدقيق في aud.AuditLog لمحاولات الدخول (DQ-F03-10).</w:t>
      </w:r>
    </w:p>
    <w:p>
      <w:pPr>
        <w:pStyle w:val="Heading1"/>
        <w:bidi/>
      </w:pPr>
      <w:bookmarkStart w:name="_sec1" w:id="1"/>
      <w:r>
        <w:rPr>
          <w:rFonts w:ascii="Arial" w:cs="Arial" w:eastAsia="Arial" w:hAnsi="Arial"/>
          <w:b/>
          <w:bCs/>
          <w:color w:val="1F3A5F"/>
          <w:sz w:val="32"/>
          <w:szCs w:val="32"/>
          <w:rtl/>
        </w:rPr>
        <w:t xml:space="preserve">1. الغرض والنطاق</w:t>
      </w:r>
      <w:bookmarkEnd w:id="1"/>
    </w:p>
    <w:p>
      <w:pPr>
        <w:bidi/>
        <w:spacing w:after="110" w:before="0" w:line="312"/>
      </w:pPr>
      <w:r>
        <w:rPr>
          <w:rFonts w:ascii="Arial" w:cs="Arial" w:eastAsia="Arial" w:hAnsi="Arial"/>
          <w:b w:val="false"/>
          <w:bCs w:val="false"/>
          <w:sz w:val="21"/>
          <w:szCs w:val="21"/>
          <w:rtl/>
        </w:rPr>
        <w:t xml:space="preserve">تصف الوثيقة كل خطوة من فتح عنوان المشترك الفرعي حتى إصدار رمز جلسة صالح للربط، ثم الخروج. وتغطي الدعوة وإعادة تعيين كلمة المرور وفقدان جهاز MFA وإعادة المصادقة قبل التصدير الحساس.</w:t>
      </w:r>
    </w:p>
    <w:p>
      <w:pPr>
        <w:pStyle w:val="ListParagraph"/>
        <w:numPr>
          <w:ilvl w:val="0"/>
          <w:numId w:val="2"/>
        </w:numPr>
        <w:bidi/>
        <w:spacing w:after="70" w:before="0" w:line="300"/>
      </w:pPr>
      <w:r>
        <w:rPr>
          <w:rFonts w:ascii="Arial" w:cs="Arial" w:eastAsia="Arial" w:hAnsi="Arial"/>
          <w:b/>
          <w:bCs/>
          <w:sz w:val="21"/>
          <w:szCs w:val="21"/>
          <w:rtl/>
        </w:rPr>
        <w:t xml:space="preserve">داخل النطاق:</w:t>
      </w:r>
      <w:r>
        <w:rPr>
          <w:rFonts w:ascii="Arial" w:cs="Arial" w:eastAsia="Arial" w:hAnsi="Arial"/>
          <w:b w:val="false"/>
          <w:bCs w:val="false"/>
          <w:sz w:val="21"/>
          <w:szCs w:val="21"/>
          <w:rtl/>
        </w:rPr>
        <w:t xml:space="preserve"> ما يجري قبل المصادقة، ومن ينفّذ كل خطوة (التطبيق أم إجراء في القاعدة)، وما هو موجود اليوم وما هو مقترح.</w:t>
      </w:r>
    </w:p>
    <w:p>
      <w:pPr>
        <w:pStyle w:val="ListParagraph"/>
        <w:numPr>
          <w:ilvl w:val="0"/>
          <w:numId w:val="2"/>
        </w:numPr>
        <w:bidi/>
        <w:spacing w:after="70" w:before="0" w:line="300"/>
      </w:pPr>
      <w:r>
        <w:rPr>
          <w:rFonts w:ascii="Arial" w:cs="Arial" w:eastAsia="Arial" w:hAnsi="Arial"/>
          <w:b/>
          <w:bCs/>
          <w:sz w:val="21"/>
          <w:szCs w:val="21"/>
          <w:rtl/>
        </w:rPr>
        <w:t xml:space="preserve">خارج النطاق:</w:t>
      </w:r>
      <w:r>
        <w:rPr>
          <w:rFonts w:ascii="Arial" w:cs="Arial" w:eastAsia="Arial" w:hAnsi="Arial"/>
          <w:b w:val="false"/>
          <w:bCs w:val="false"/>
          <w:sz w:val="21"/>
          <w:szCs w:val="21"/>
          <w:rtl/>
        </w:rPr>
        <w:t xml:space="preserve"> ربط الاتصال لكل طلب بعد الدخول ومصفوفة حالة المشترك والدور (DOC-F04)، وشكل الكوكي وCSRF وCSP (DOC-S03)، وقيم السياسة الرقمية (DOC-S04)، وانتقالات حالة المستخدم (DOC-F06)، وتهيئة المدير الأول للمشترك (DOC-F05).</w:t>
      </w:r>
    </w:p>
    <w:p>
      <w:pPr>
        <w:bidi/>
        <w:spacing w:after="60" w:before="0"/>
      </w:pPr>
    </w:p>
    <w:p>
      <w:pPr>
        <w:bidi/>
        <w:spacing w:after="110" w:before="0" w:line="312"/>
      </w:pPr>
      <w:r>
        <w:rPr>
          <w:rFonts w:ascii="Arial" w:cs="Arial" w:eastAsia="Arial" w:hAnsi="Arial"/>
          <w:b/>
          <w:bCs/>
          <w:sz w:val="21"/>
          <w:szCs w:val="21"/>
          <w:rtl/>
        </w:rPr>
        <w:t xml:space="preserve">مفتاح الوسوم:</w:t>
      </w:r>
      <w:r>
        <w:rPr>
          <w:rFonts w:ascii="Arial" w:cs="Arial" w:eastAsia="Arial" w:hAnsi="Arial"/>
          <w:b w:val="false"/>
          <w:bCs w:val="false"/>
          <w:sz w:val="21"/>
          <w:szCs w:val="21"/>
          <w:rtl/>
        </w:rPr>
        <w:t xml:space="preserve">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موجود في المستودع أو مقرر في الوثائق، مع الملف والسطر.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اقتراح لم يُصمَّم بعد. داخل المخططات يُكتب الاقتراح «[مقترح]».</w:t>
      </w:r>
    </w:p>
    <w:p>
      <w:pPr>
        <w:bidi/>
        <w:spacing w:after="110" w:before="0" w:line="312"/>
      </w:pPr>
      <w:r>
        <w:rPr>
          <w:rFonts w:ascii="Arial" w:cs="Arial" w:eastAsia="Arial" w:hAnsi="Arial"/>
          <w:b/>
          <w:bCs/>
          <w:sz w:val="21"/>
          <w:szCs w:val="21"/>
          <w:rtl/>
        </w:rPr>
        <w:t xml:space="preserve">اختصارات المراجع:</w:t>
      </w:r>
      <w:r>
        <w:rPr>
          <w:rFonts w:ascii="Arial" w:cs="Arial" w:eastAsia="Arial" w:hAnsi="Arial"/>
          <w:b w:val="false"/>
          <w:bCs w:val="false"/>
          <w:sz w:val="21"/>
          <w:szCs w:val="21"/>
          <w:rtl/>
        </w:rPr>
        <w:t xml:space="preserve"> «030» هو db/static/030_session_context.sql، و«007_table_grants.sql» في db/generated/tsql، و«010_rls.sql» و«025_tenant_views.sql» في db/static، و«10-m0-m1-platform-organization.md» في docs/10-detailed-analysis. أرقام T هي حالات db/tests/tenant_isolation_tests.sql.</w:t>
      </w:r>
    </w:p>
    <w:p>
      <w:pPr>
        <w:pStyle w:val="Heading1"/>
        <w:bidi/>
      </w:pPr>
      <w:bookmarkStart w:name="_sec2" w:id="2"/>
      <w:r>
        <w:rPr>
          <w:rFonts w:ascii="Arial" w:cs="Arial" w:eastAsia="Arial" w:hAnsi="Arial"/>
          <w:b/>
          <w:bCs/>
          <w:color w:val="1F3A5F"/>
          <w:sz w:val="32"/>
          <w:szCs w:val="32"/>
          <w:rtl/>
        </w:rPr>
        <w:t xml:space="preserve">2. الفاعلون والمكوّنات</w:t>
      </w:r>
      <w:bookmarkEnd w:id="2"/>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95"/>
        <w:gridCol w:w="1773"/>
        <w:gridCol w:w="1064"/>
        <w:gridCol w:w="6032"/>
      </w:tblGrid>
      <w:tr>
        <w:trPr>
          <w:cantSplit/>
          <w:tblHeader/>
        </w:trPr>
        <w:tc>
          <w:tcPr>
            <w:tcW w:type="dxa" w:w="99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المكوّن</w:t>
            </w:r>
          </w:p>
        </w:tc>
        <w:tc>
          <w:tcPr>
            <w:tcW w:type="dxa" w:w="177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دوره في هذا التسلسل</w:t>
            </w:r>
          </w:p>
        </w:tc>
        <w:tc>
          <w:tcPr>
            <w:tcW w:type="dxa" w:w="106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حد الثقة (DOC-F01)</w:t>
            </w:r>
          </w:p>
        </w:tc>
        <w:tc>
          <w:tcPr>
            <w:tcW w:type="dxa" w:w="603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المرجع</w:t>
            </w:r>
          </w:p>
        </w:tc>
      </w:tr>
      <w:tr>
        <w:trPr>
          <w:cantSplit/>
        </w:trPr>
        <w:tc>
          <w:tcPr>
            <w:tcW w:type="dxa" w:w="9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المتصفح</w:t>
            </w:r>
          </w:p>
        </w:tc>
        <w:tc>
          <w:tcPr>
            <w:tcW w:type="dxa" w:w="17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يحمل كوكي الجلسة فقط، ولا يحسب أي تجزئة</w:t>
            </w:r>
          </w:p>
        </w:tc>
        <w:tc>
          <w:tcPr>
            <w:tcW w:type="dxa" w:w="10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TB-1</w:t>
            </w:r>
          </w:p>
        </w:tc>
        <w:tc>
          <w:tcPr>
            <w:tcW w:type="dxa" w:w="60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DOC-S03</w:t>
            </w:r>
          </w:p>
        </w:tc>
      </w:tr>
      <w:tr>
        <w:trPr>
          <w:cantSplit/>
        </w:trPr>
        <w:tc>
          <w:tcPr>
            <w:tcW w:type="dxa" w:w="9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الوكيل العكسي</w:t>
            </w:r>
          </w:p>
        </w:tc>
        <w:tc>
          <w:tcPr>
            <w:tcW w:type="dxa" w:w="17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ينهي TLS ويضيف X-Forwarded-For</w:t>
            </w:r>
          </w:p>
        </w:tc>
        <w:tc>
          <w:tcPr>
            <w:tcW w:type="dxa" w:w="10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TB-1</w:t>
            </w:r>
          </w:p>
        </w:tc>
        <w:tc>
          <w:tcPr>
            <w:tcW w:type="dxa" w:w="60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DOC-S03، DOC-S05</w:t>
            </w:r>
          </w:p>
        </w:tc>
      </w:tr>
      <w:tr>
        <w:trPr>
          <w:cantSplit/>
        </w:trPr>
        <w:tc>
          <w:tcPr>
            <w:tcW w:type="dxa" w:w="9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التطبيق (ASP.NET Core)</w:t>
            </w:r>
          </w:p>
        </w:tc>
        <w:tc>
          <w:tcPr>
            <w:tcW w:type="dxa" w:w="17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يحسب Argon2id، ويتحقق من TOTP، ويولّد رمز الجلسة، ويرسل البريد المعاملاتي</w:t>
            </w:r>
          </w:p>
        </w:tc>
        <w:tc>
          <w:tcPr>
            <w:tcW w:type="dxa" w:w="10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TB-1، TB-3، TB-9</w:t>
            </w:r>
          </w:p>
        </w:tc>
        <w:tc>
          <w:tcPr>
            <w:tcW w:type="dxa" w:w="60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docs/adr/0002-login-and-session-bound-context.md:19 و:21</w:t>
            </w:r>
          </w:p>
        </w:tc>
      </w:tr>
      <w:tr>
        <w:trPr>
          <w:cantSplit/>
        </w:trPr>
        <w:tc>
          <w:tcPr>
            <w:tcW w:type="dxa" w:w="9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إجراءات القاعدة</w:t>
            </w:r>
          </w:p>
        </w:tc>
        <w:tc>
          <w:tcPr>
            <w:tcW w:type="dxa" w:w="17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تعمل بصفة tp_auth_exec فترى صفوف المشترك قبل الربط</w:t>
            </w:r>
          </w:p>
        </w:tc>
        <w:tc>
          <w:tcPr>
            <w:tcW w:type="dxa" w:w="10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TB-4</w:t>
            </w:r>
          </w:p>
        </w:tc>
        <w:tc>
          <w:tcPr>
            <w:tcW w:type="dxa" w:w="60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db/static/030_session_context.sql:4-14</w:t>
            </w:r>
          </w:p>
        </w:tc>
      </w:tr>
      <w:tr>
        <w:trPr>
          <w:cantSplit/>
        </w:trPr>
        <w:tc>
          <w:tcPr>
            <w:tcW w:type="dxa" w:w="9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مرحّل البريد</w:t>
            </w:r>
          </w:p>
        </w:tc>
        <w:tc>
          <w:tcPr>
            <w:tcW w:type="dxa" w:w="17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يرسل رسالتي الدعوة وإعادة التعيين فقط</w:t>
            </w:r>
          </w:p>
        </w:tc>
        <w:tc>
          <w:tcPr>
            <w:tcW w:type="dxa" w:w="10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TB-10</w:t>
            </w:r>
          </w:p>
        </w:tc>
        <w:tc>
          <w:tcPr>
            <w:tcW w:type="dxa" w:w="60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FR-PLT-013 (10-m0-m1-platform-organization.md:115)</w:t>
            </w:r>
          </w:p>
        </w:tc>
      </w:tr>
    </w:tbl>
    <w:p>
      <w:pPr>
        <w:bidi/>
        <w:spacing w:after="120" w:before="0"/>
      </w:pPr>
    </w:p>
    <w:p>
      <w:pPr>
        <w:bidi/>
        <w:spacing w:after="110" w:before="0" w:line="312"/>
      </w:pPr>
      <w:r>
        <w:rPr>
          <w:rFonts w:ascii="Arial" w:cs="Arial" w:eastAsia="Arial" w:hAnsi="Arial"/>
          <w:b w:val="false"/>
          <w:bCs w:val="false"/>
          <w:sz w:val="21"/>
          <w:szCs w:val="21"/>
          <w:rtl/>
        </w:rPr>
        <w:t xml:space="preserve">تعريف الحدود في DOC-F01، وتهديداتها في DOC-S01.</w:t>
      </w:r>
    </w:p>
    <w:p>
      <w:pPr>
        <w:pStyle w:val="Heading1"/>
        <w:bidi/>
      </w:pPr>
      <w:bookmarkStart w:name="_sec3" w:id="3"/>
      <w:r>
        <w:rPr>
          <w:rFonts w:ascii="Arial" w:cs="Arial" w:eastAsia="Arial" w:hAnsi="Arial"/>
          <w:b/>
          <w:bCs/>
          <w:color w:val="1F3A5F"/>
          <w:sz w:val="32"/>
          <w:szCs w:val="32"/>
          <w:rtl/>
        </w:rPr>
        <w:t xml:space="preserve">3. ما هو موجود وما هو مقترح</w:t>
      </w:r>
      <w:bookmarkEnd w:id="3"/>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195"/>
        <w:gridCol w:w="1046"/>
        <w:gridCol w:w="7623"/>
      </w:tblGrid>
      <w:tr>
        <w:trPr>
          <w:cantSplit/>
          <w:tblHeader/>
        </w:trPr>
        <w:tc>
          <w:tcPr>
            <w:tcW w:type="dxa" w:w="119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الخطوة</w:t>
            </w:r>
          </w:p>
        </w:tc>
        <w:tc>
          <w:tcPr>
            <w:tcW w:type="dxa" w:w="104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الحالة</w:t>
            </w:r>
          </w:p>
        </w:tc>
        <w:tc>
          <w:tcPr>
            <w:tcW w:type="dxa" w:w="762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المرجع أو الاقتراح</w:t>
            </w:r>
          </w:p>
        </w:tc>
      </w:tr>
      <w:tr>
        <w:trPr>
          <w:cantSplit/>
        </w:trPr>
        <w:tc>
          <w:tcPr>
            <w:tcW w:type="dxa" w:w="11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تحديد المشترك من العنوان الفرعي</w:t>
            </w:r>
          </w:p>
        </w:tc>
        <w:tc>
          <w:tcPr>
            <w:tcW w:type="dxa" w:w="10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غير مصمم</w:t>
            </w:r>
          </w:p>
        </w:tc>
        <w:tc>
          <w:tcPr>
            <w:tcW w:type="dxa" w:w="76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tp_app لا يقرأ plat.Tenant (noapp، db/model/10-platform.model:31) والعرض plat.v_CurrentTenant يشترط ربطًا (db/static/025_tenant_views.sql:14). المقترح sec.usp_ResolveTenant</w:t>
            </w:r>
          </w:p>
        </w:tc>
      </w:tr>
      <w:tr>
        <w:trPr>
          <w:cantSplit/>
        </w:trPr>
        <w:tc>
          <w:tcPr>
            <w:tcW w:type="dxa" w:w="11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فحص حالة المشترك عند الدخول</w:t>
            </w:r>
          </w:p>
        </w:tc>
        <w:tc>
          <w:tcPr>
            <w:tcW w:type="dxa" w:w="10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موجود</w:t>
            </w:r>
          </w:p>
        </w:tc>
        <w:tc>
          <w:tcPr>
            <w:tcW w:type="dxa" w:w="76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db/static/030_session_context.sql:67-69</w:t>
            </w:r>
          </w:p>
        </w:tc>
      </w:tr>
      <w:tr>
        <w:trPr>
          <w:cantSplit/>
        </w:trPr>
        <w:tc>
          <w:tcPr>
            <w:tcW w:type="dxa" w:w="11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جلب معاملات كلمة المرور</w:t>
            </w:r>
          </w:p>
        </w:tc>
        <w:tc>
          <w:tcPr>
            <w:tcW w:type="dxa" w:w="10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موجود</w:t>
            </w:r>
          </w:p>
        </w:tc>
        <w:tc>
          <w:tcPr>
            <w:tcW w:type="dxa" w:w="76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sec.usp_GetPasswordParams، db/static/030_session_context.sql:23-37</w:t>
            </w:r>
          </w:p>
        </w:tc>
      </w:tr>
      <w:tr>
        <w:trPr>
          <w:cantSplit/>
        </w:trPr>
        <w:tc>
          <w:tcPr>
            <w:tcW w:type="dxa" w:w="11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حساب Argon2id</w:t>
            </w:r>
          </w:p>
        </w:tc>
        <w:tc>
          <w:tcPr>
            <w:tcW w:type="dxa" w:w="10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في التطبيق</w:t>
            </w:r>
          </w:p>
        </w:tc>
        <w:tc>
          <w:tcPr>
            <w:tcW w:type="dxa" w:w="76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docs/adr/0002-login-and-session-bound-context.md:19</w:t>
            </w:r>
          </w:p>
        </w:tc>
      </w:tr>
      <w:tr>
        <w:trPr>
          <w:cantSplit/>
        </w:trPr>
        <w:tc>
          <w:tcPr>
            <w:tcW w:type="dxa" w:w="11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المقارنة والقفل وإنشاء الجلسة والخطأ 50005</w:t>
            </w:r>
          </w:p>
        </w:tc>
        <w:tc>
          <w:tcPr>
            <w:tcW w:type="dxa" w:w="10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موجود ومختبر</w:t>
            </w:r>
          </w:p>
        </w:tc>
        <w:tc>
          <w:tcPr>
            <w:tcW w:type="dxa" w:w="76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db/static/030_session_context.sql:39-141، T33 وT34</w:t>
            </w:r>
          </w:p>
        </w:tc>
      </w:tr>
      <w:tr>
        <w:trPr>
          <w:cantSplit/>
        </w:trPr>
        <w:tc>
          <w:tcPr>
            <w:tcW w:type="dxa" w:w="11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جلب سر TOTP قبل الربط</w:t>
            </w:r>
          </w:p>
        </w:tc>
        <w:tc>
          <w:tcPr>
            <w:tcW w:type="dxa" w:w="10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غير مصمم</w:t>
            </w:r>
          </w:p>
        </w:tc>
        <w:tc>
          <w:tcPr>
            <w:tcW w:type="dxa" w:w="76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sec.AppUser محمي بالتصفية حتى الربط (db/static/010_rls.sql:51-57)، والربط يشترط MFA (030:198). المقترح sec.usp_GetMfaChallenge</w:t>
            </w:r>
          </w:p>
        </w:tc>
      </w:tr>
      <w:tr>
        <w:trPr>
          <w:cantSplit/>
        </w:trPr>
        <w:tc>
          <w:tcPr>
            <w:tcW w:type="dxa" w:w="11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تسجيل نتيجة TOTP</w:t>
            </w:r>
          </w:p>
        </w:tc>
        <w:tc>
          <w:tcPr>
            <w:tcW w:type="dxa" w:w="10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موجود ومختبر</w:t>
            </w:r>
          </w:p>
        </w:tc>
        <w:tc>
          <w:tcPr>
            <w:tcW w:type="dxa" w:w="76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sec.usp_ConfirmMfa، 030:143-163، T36</w:t>
            </w:r>
          </w:p>
        </w:tc>
      </w:tr>
      <w:tr>
        <w:trPr>
          <w:cantSplit/>
        </w:trPr>
        <w:tc>
          <w:tcPr>
            <w:tcW w:type="dxa" w:w="11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استهلاك رمز استرداد</w:t>
            </w:r>
          </w:p>
        </w:tc>
        <w:tc>
          <w:tcPr>
            <w:tcW w:type="dxa" w:w="10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غير مصمم</w:t>
            </w:r>
          </w:p>
        </w:tc>
        <w:tc>
          <w:tcPr>
            <w:tcW w:type="dxa" w:w="76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sec.MfaRecoveryCode محمي بالتصفية قبل الربط. المقترح sec.usp_UseRecoveryCode</w:t>
            </w:r>
          </w:p>
        </w:tc>
      </w:tr>
      <w:tr>
        <w:trPr>
          <w:cantSplit/>
        </w:trPr>
        <w:tc>
          <w:tcPr>
            <w:tcW w:type="dxa" w:w="11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ربط الاتصال بعد MFA</w:t>
            </w:r>
          </w:p>
        </w:tc>
        <w:tc>
          <w:tcPr>
            <w:tcW w:type="dxa" w:w="10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موجود</w:t>
            </w:r>
          </w:p>
        </w:tc>
        <w:tc>
          <w:tcPr>
            <w:tcW w:type="dxa" w:w="76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sec.usp_SetSessionContext، 030:165-227 (التفصيل في DOC-F04)</w:t>
            </w:r>
          </w:p>
        </w:tc>
      </w:tr>
      <w:tr>
        <w:trPr>
          <w:cantSplit/>
        </w:trPr>
        <w:tc>
          <w:tcPr>
            <w:tcW w:type="dxa" w:w="11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الخروج</w:t>
            </w:r>
          </w:p>
        </w:tc>
        <w:tc>
          <w:tcPr>
            <w:tcW w:type="dxa" w:w="10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جزئي</w:t>
            </w:r>
          </w:p>
        </w:tc>
        <w:tc>
          <w:tcPr>
            <w:tcW w:type="dxa" w:w="76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تحديث EndedAt مسموح لـ tp_app (007_table_grants.sql:40) والمحفّز يسحب الربط (030:269-283، T37). يرفضه fn_BoundWrite في مشترك SUSPENDED (010_rls.sql:40)</w:t>
            </w:r>
          </w:p>
        </w:tc>
      </w:tr>
      <w:tr>
        <w:trPr>
          <w:cantSplit/>
        </w:trPr>
        <w:tc>
          <w:tcPr>
            <w:tcW w:type="dxa" w:w="11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الدعوة: الإصدار</w:t>
            </w:r>
          </w:p>
        </w:tc>
        <w:tc>
          <w:tcPr>
            <w:tcW w:type="dxa" w:w="10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ممكن بالمنح</w:t>
            </w:r>
          </w:p>
        </w:tc>
        <w:tc>
          <w:tcPr>
            <w:tcW w:type="dxa" w:w="76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INSERT على sec.AppUser وsec.UserToken (007_table_grants.sql:24 و44)</w:t>
            </w:r>
          </w:p>
        </w:tc>
      </w:tr>
      <w:tr>
        <w:trPr>
          <w:cantSplit/>
        </w:trPr>
        <w:tc>
          <w:tcPr>
            <w:tcW w:type="dxa" w:w="11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الدعوة: القبول</w:t>
            </w:r>
          </w:p>
        </w:tc>
        <w:tc>
          <w:tcPr>
            <w:tcW w:type="dxa" w:w="10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غير مصمم</w:t>
            </w:r>
          </w:p>
        </w:tc>
        <w:tc>
          <w:tcPr>
            <w:tcW w:type="dxa" w:w="76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المدعو بلا جلسة، فلا يكتب التطبيق صفه. المقترح sec.usp_CheckUserToken وsec.usp_CompleteInvitation</w:t>
            </w:r>
          </w:p>
        </w:tc>
      </w:tr>
      <w:tr>
        <w:trPr>
          <w:cantSplit/>
        </w:trPr>
        <w:tc>
          <w:tcPr>
            <w:tcW w:type="dxa" w:w="11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إعادة تعيين كلمة المرور</w:t>
            </w:r>
          </w:p>
        </w:tc>
        <w:tc>
          <w:tcPr>
            <w:tcW w:type="dxa" w:w="10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غير مصمم</w:t>
            </w:r>
          </w:p>
        </w:tc>
        <w:tc>
          <w:tcPr>
            <w:tcW w:type="dxa" w:w="76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المقترح sec.usp_RequestPasswordReset وsec.usp_ResetPassword</w:t>
            </w:r>
          </w:p>
        </w:tc>
      </w:tr>
      <w:tr>
        <w:trPr>
          <w:cantSplit/>
        </w:trPr>
        <w:tc>
          <w:tcPr>
            <w:tcW w:type="dxa" w:w="11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فقدان جهاز MFA</w:t>
            </w:r>
          </w:p>
        </w:tc>
        <w:tc>
          <w:tcPr>
            <w:tcW w:type="dxa" w:w="10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غير مصمم</w:t>
            </w:r>
          </w:p>
        </w:tc>
        <w:tc>
          <w:tcPr>
            <w:tcW w:type="dxa" w:w="76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التصفير ممكن بالمنح لمدير الحساب، وإعادة التسجيل غير مصممة</w:t>
            </w:r>
          </w:p>
        </w:tc>
      </w:tr>
      <w:tr>
        <w:trPr>
          <w:cantSplit/>
        </w:trPr>
        <w:tc>
          <w:tcPr>
            <w:tcW w:type="dxa" w:w="11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إعادة المصادقة قبل التصدير</w:t>
            </w:r>
          </w:p>
        </w:tc>
        <w:tc>
          <w:tcPr>
            <w:tcW w:type="dxa" w:w="10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غير مصمم</w:t>
            </w:r>
          </w:p>
        </w:tc>
        <w:tc>
          <w:tcPr>
            <w:tcW w:type="dxa" w:w="76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تُبنى على MfaVerifiedAt دون تغيير في المخطط</w:t>
            </w:r>
          </w:p>
        </w:tc>
      </w:tr>
    </w:tbl>
    <w:p>
      <w:pPr>
        <w:bidi/>
        <w:spacing w:after="120" w:before="0"/>
      </w:pPr>
    </w:p>
    <w:p>
      <w:pPr>
        <w:pStyle w:val="Heading1"/>
        <w:bidi/>
      </w:pPr>
      <w:bookmarkStart w:name="_sec4" w:id="4"/>
      <w:r>
        <w:rPr>
          <w:rFonts w:ascii="Arial" w:cs="Arial" w:eastAsia="Arial" w:hAnsi="Arial"/>
          <w:b/>
          <w:bCs/>
          <w:color w:val="1F3A5F"/>
          <w:sz w:val="32"/>
          <w:szCs w:val="32"/>
          <w:rtl/>
        </w:rPr>
        <w:t xml:space="preserve">4. حل التعارض مع O-9 (20-database-design)</w:t>
      </w:r>
      <w:bookmarkEnd w:id="4"/>
    </w:p>
    <w:p>
      <w:pPr>
        <w:bidi/>
        <w:spacing w:after="110" w:before="0" w:line="312"/>
      </w:pPr>
      <w:r>
        <w:rPr>
          <w:rFonts w:ascii="Arial" w:cs="Arial" w:eastAsia="Arial" w:hAnsi="Arial"/>
          <w:b/>
          <w:bCs/>
          <w:sz w:val="21"/>
          <w:szCs w:val="21"/>
          <w:rtl/>
        </w:rPr>
        <w:t xml:space="preserve">التعارض.</w:t>
      </w:r>
      <w:r>
        <w:rPr>
          <w:rFonts w:ascii="Arial" w:cs="Arial" w:eastAsia="Arial" w:hAnsi="Arial"/>
          <w:b w:val="false"/>
          <w:bCs w:val="false"/>
          <w:sz w:val="21"/>
          <w:szCs w:val="21"/>
          <w:rtl/>
        </w:rPr>
        <w:t xml:space="preserve"> docs/20-database-design.md:41 يستثني «مسار ما قبل المصادقة» من وثيقة القاعدة، وdocs/20-database-design.md:537 يؤجل O-9 إلى S1 باقتراح sec.usp_SetAuthContext(@TenantId). لكن الدخول وMFA من مخرجات S0 (docs/10-detailed-analysis/00-overview-and-cross-cutting.md:194).</w:t>
      </w:r>
    </w:p>
    <w:p>
      <w:pPr>
        <w:bidi/>
        <w:spacing w:after="110" w:before="0" w:line="312"/>
      </w:pPr>
      <w:r>
        <w:rPr>
          <w:rFonts w:ascii="Arial" w:cs="Arial" w:eastAsia="Arial" w:hAnsi="Arial"/>
          <w:b/>
          <w:bCs/>
          <w:sz w:val="21"/>
          <w:szCs w:val="21"/>
          <w:rtl/>
        </w:rPr>
        <w:t xml:space="preserve">ما تغيّر.</w:t>
      </w:r>
      <w:r>
        <w:rPr>
          <w:rFonts w:ascii="Arial" w:cs="Arial" w:eastAsia="Arial" w:hAnsi="Arial"/>
          <w:b w:val="false"/>
          <w:bCs w:val="false"/>
          <w:sz w:val="21"/>
          <w:szCs w:val="21"/>
          <w:rtl/>
        </w:rPr>
        <w:t xml:space="preserve"> ADR 0002 (مقبول 2026-10-12، docs/adr/0002-login-and-session-bound-context.md:3) نفّذ مسار الدخول بإجراءات تعمل بصفة tp_auth_exec دون سياق مشترك جزئي (db/static/030_session_context.sql:23-163). فجزء الدخول من O-9 محلول فعلًا.</w:t>
      </w:r>
    </w:p>
    <w:p>
      <w:pPr>
        <w:bidi/>
        <w:spacing w:after="110" w:before="0" w:line="312"/>
      </w:pPr>
      <w:r>
        <w:rPr>
          <w:rFonts w:ascii="Arial" w:cs="Arial" w:eastAsia="Arial" w:hAnsi="Arial"/>
          <w:b/>
          <w:bCs/>
          <w:sz w:val="21"/>
          <w:szCs w:val="21"/>
          <w:rtl/>
        </w:rPr>
        <w:t xml:space="preserve">القرار المقترح </w:t>
      </w:r>
      <w:r>
        <w:rPr>
          <w:rFonts w:ascii="Arial" w:cs="Arial" w:eastAsia="Arial" w:hAnsi="Arial"/>
          <w:color w:val="E0A800"/>
          <w:sz w:val="21"/>
          <w:szCs w:val="21"/>
          <w:rtl/>
        </w:rPr>
        <w:t xml:space="preserve">●</w:t>
      </w:r>
      <w:r>
        <w:rPr>
          <w:rFonts w:ascii="Arial" w:cs="Arial" w:eastAsia="Arial" w:hAnsi="Arial"/>
          <w:b/>
          <w:bCs/>
          <w:sz w:val="21"/>
          <w:szCs w:val="21"/>
          <w:rtl/>
        </w:rPr>
        <w:t xml:space="preserve"> (DQ-F03-1):</w:t>
      </w:r>
    </w:p>
    <w:p>
      <w:pPr>
        <w:pStyle w:val="ListParagraph"/>
        <w:numPr>
          <w:ilvl w:val="0"/>
          <w:numId w:val="3"/>
        </w:numPr>
        <w:bidi/>
        <w:spacing w:after="70" w:before="0" w:line="300"/>
      </w:pPr>
      <w:r>
        <w:rPr>
          <w:rFonts w:ascii="Arial" w:cs="Arial" w:eastAsia="Arial" w:hAnsi="Arial"/>
          <w:b w:val="false"/>
          <w:bCs w:val="false"/>
          <w:sz w:val="21"/>
          <w:szCs w:val="21"/>
          <w:rtl/>
        </w:rPr>
        <w:t xml:space="preserve">يدخل O-9 (20-database-design) في نطاق S0 لا S1.</w:t>
      </w:r>
    </w:p>
    <w:p>
      <w:pPr>
        <w:pStyle w:val="ListParagraph"/>
        <w:numPr>
          <w:ilvl w:val="0"/>
          <w:numId w:val="3"/>
        </w:numPr>
        <w:bidi/>
        <w:spacing w:after="70" w:before="0" w:line="300"/>
      </w:pPr>
      <w:r>
        <w:rPr>
          <w:rFonts w:ascii="Arial" w:cs="Arial" w:eastAsia="Arial" w:hAnsi="Arial"/>
          <w:b w:val="false"/>
          <w:bCs w:val="false"/>
          <w:sz w:val="21"/>
          <w:szCs w:val="21"/>
          <w:rtl/>
        </w:rPr>
        <w:t xml:space="preserve">لا يُنشأ sec.usp_SetAuthContext. السياق المقتصر على المشترك يعرض صفوف sec كلها لاتصال غير مصدَّق، ولا يتسق مع الربط الذي يشترط مستخدمًا (BoundUserId إلزامي، db/model/10-platform.model:215).</w:t>
      </w:r>
    </w:p>
    <w:p>
      <w:pPr>
        <w:pStyle w:val="ListParagraph"/>
        <w:numPr>
          <w:ilvl w:val="0"/>
          <w:numId w:val="3"/>
        </w:numPr>
        <w:bidi/>
        <w:spacing w:after="70" w:before="0" w:line="300"/>
      </w:pPr>
      <w:r>
        <w:rPr>
          <w:rFonts w:ascii="Arial" w:cs="Arial" w:eastAsia="Arial" w:hAnsi="Arial"/>
          <w:b w:val="false"/>
          <w:bCs w:val="false"/>
          <w:sz w:val="21"/>
          <w:szCs w:val="21"/>
          <w:rtl/>
        </w:rPr>
        <w:t xml:space="preserve">كل خطوة قبل المصادقة إجراء ضيق بصفة tp_auth_exec على نمط ADR 0002، يأخذ رمزًا لا معرّف مستخدم، ويعيد أقل ما يلزم.</w:t>
      </w:r>
    </w:p>
    <w:p>
      <w:pPr>
        <w:pStyle w:val="ListParagraph"/>
        <w:numPr>
          <w:ilvl w:val="0"/>
          <w:numId w:val="3"/>
        </w:numPr>
        <w:bidi/>
        <w:spacing w:after="70" w:before="0" w:line="300"/>
      </w:pPr>
      <w:r>
        <w:rPr>
          <w:rFonts w:ascii="Arial" w:cs="Arial" w:eastAsia="Arial" w:hAnsi="Arial"/>
          <w:b w:val="false"/>
          <w:bCs w:val="false"/>
          <w:sz w:val="21"/>
          <w:szCs w:val="21"/>
          <w:rtl/>
        </w:rPr>
        <w:t xml:space="preserve">الإجراءات المقترحة في هذه الوثيقة هي القائمة الكاملة لإغلاق O-9. تُسجَّل في ADR جديد، وتُحدَّث docs/20-database-design.md:41 و:537 و:551.</w:t>
      </w:r>
    </w:p>
    <w:p>
      <w:pPr>
        <w:pStyle w:val="ListParagraph"/>
        <w:numPr>
          <w:ilvl w:val="0"/>
          <w:numId w:val="3"/>
        </w:numPr>
        <w:bidi/>
        <w:spacing w:after="70" w:before="0" w:line="300"/>
      </w:pPr>
      <w:r>
        <w:rPr>
          <w:rFonts w:ascii="Arial" w:cs="Arial" w:eastAsia="Arial" w:hAnsi="Arial"/>
          <w:b w:val="false"/>
          <w:bCs w:val="false"/>
          <w:sz w:val="21"/>
          <w:szCs w:val="21"/>
          <w:rtl/>
        </w:rPr>
        <w:t xml:space="preserve">هذه الإجراءات تحتاج منح tp_auth على sec.UserToken وsec.MfaRecoveryCode وsec.UserPasswordHistory وsec.TenantKey وaud.AuditLog. القاعدة R6 تحصر منحه اليوم في خمسة جداول (tools/dbgen/check_grants.py:81-85)، فتُوسَّع بالقائمة نفسها مع منح db/static/020_roles_and_grants.sql:66-69.</w:t>
      </w:r>
    </w:p>
    <w:p>
      <w:pPr>
        <w:bidi/>
        <w:spacing w:after="60" w:before="0"/>
      </w:pPr>
    </w:p>
    <w:p>
      <w:pPr>
        <w:pStyle w:val="Heading1"/>
        <w:bidi/>
      </w:pPr>
      <w:bookmarkStart w:name="_sec5" w:id="5"/>
      <w:r>
        <w:rPr>
          <w:rFonts w:ascii="Arial" w:cs="Arial" w:eastAsia="Arial" w:hAnsi="Arial"/>
          <w:b/>
          <w:bCs/>
          <w:color w:val="1F3A5F"/>
          <w:sz w:val="32"/>
          <w:szCs w:val="32"/>
          <w:rtl/>
        </w:rPr>
        <w:t xml:space="preserve">5. تحديد المشترك والدخول بكلمة المرور</w:t>
      </w:r>
      <w:bookmarkEnd w:id="5"/>
    </w:p>
    <w:p>
      <w:pPr>
        <w:pStyle w:val="Heading2"/>
        <w:bidi/>
      </w:pPr>
      <w:bookmarkStart w:name="_sec6" w:id="6"/>
      <w:r>
        <w:rPr>
          <w:rFonts w:ascii="Arial" w:cs="Arial" w:eastAsia="Arial" w:hAnsi="Arial"/>
          <w:b/>
          <w:bCs/>
          <w:color w:val="2B5C8A"/>
          <w:sz w:val="26"/>
          <w:szCs w:val="26"/>
          <w:rtl/>
        </w:rPr>
        <w:t xml:space="preserve">5.1 التسلسل</w:t>
      </w:r>
      <w:bookmarkEnd w:id="6"/>
    </w:p>
    <w:p>
      <w:pPr>
        <w:keepNext/>
        <w:bidi/>
        <w:spacing w:after="60" w:before="160"/>
        <w:jc w:val="center"/>
      </w:pPr>
      <w:r>
        <w:drawing>
          <wp:inline distT="0" distB="0" distL="0" distR="0">
            <wp:extent cx="6096000" cy="5867400"/>
            <wp:effectExtent t="0" r="0" b="0" l="0"/>
            <wp:docPr id="1" name="diagram-1.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5867400"/>
                    </a:xfrm>
                    <a:prstGeom prst="rect">
                      <a:avLst/>
                    </a:prstGeom>
                  </pic:spPr>
                </pic:pic>
              </a:graphicData>
            </a:graphic>
          </wp:inline>
        </w:drawing>
      </w:r>
    </w:p>
    <w:p>
      <w:pPr>
        <w:pStyle w:val="Heading2"/>
        <w:bidi/>
      </w:pPr>
      <w:bookmarkStart w:name="_sec7" w:id="7"/>
      <w:r>
        <w:rPr>
          <w:rFonts w:ascii="Arial" w:cs="Arial" w:eastAsia="Arial" w:hAnsi="Arial"/>
          <w:b/>
          <w:bCs/>
          <w:color w:val="2B5C8A"/>
          <w:sz w:val="26"/>
          <w:szCs w:val="26"/>
          <w:rtl/>
        </w:rPr>
        <w:t xml:space="preserve">5.2 قواعد الخطوات</w:t>
      </w:r>
      <w:bookmarkEnd w:id="7"/>
    </w:p>
    <w:p>
      <w:pPr>
        <w:pStyle w:val="ListParagraph"/>
        <w:numPr>
          <w:ilvl w:val="0"/>
          <w:numId w:val="4"/>
        </w:numPr>
        <w:bidi/>
        <w:spacing w:after="70" w:before="0" w:line="300"/>
      </w:pPr>
      <w:r>
        <w:rPr>
          <w:rFonts w:ascii="Arial" w:cs="Arial" w:eastAsia="Arial" w:hAnsi="Arial"/>
          <w:b/>
          <w:bCs/>
          <w:sz w:val="21"/>
          <w:szCs w:val="21"/>
          <w:rtl/>
        </w:rPr>
        <w:t xml:space="preserve">تحديد المشترك </w:t>
      </w:r>
      <w:r>
        <w:rPr>
          <w:rFonts w:ascii="Arial" w:cs="Arial" w:eastAsia="Arial" w:hAnsi="Arial"/>
          <w:color w:val="E0A800"/>
          <w:sz w:val="21"/>
          <w:szCs w:val="21"/>
          <w:rtl/>
        </w:rPr>
        <w:t xml:space="preserve">●</w:t>
      </w:r>
      <w:r>
        <w:rPr>
          <w:rFonts w:ascii="Arial" w:cs="Arial" w:eastAsia="Arial" w:hAnsi="Arial"/>
          <w:b/>
          <w:bCs/>
          <w:sz w:val="21"/>
          <w:szCs w:val="21"/>
          <w:rtl/>
        </w:rPr>
        <w:t xml:space="preserve">.</w:t>
      </w:r>
      <w:r>
        <w:rPr>
          <w:rFonts w:ascii="Arial" w:cs="Arial" w:eastAsia="Arial" w:hAnsi="Arial"/>
          <w:b w:val="false"/>
          <w:bCs w:val="false"/>
          <w:sz w:val="21"/>
          <w:szCs w:val="21"/>
          <w:rtl/>
        </w:rPr>
        <w:t xml:space="preserve"> يأخذ التطبيق رمز المشترك من اسم المضيف فقط، لا من معامل في الطلب (FR-PLT-046). يعيد sec.usp_ResolveTenant المقترح TenantId للحالات التي تقبل الدخول، ولا شيء لغيرها. القرار نفسه مسجّل في DOC-F04 (DQ-F04-5) ولا يتكرر هنا. العنوان غير المعروف والمحجوز والمغلق يعطي الصفحة المحايدة نفسها (10-m0-m1-platform-organization.md:148). أي حالة تقبل الدخول ولأي دور يحددها DOC-F04 (O-18 (erd_open_items)).</w:t>
      </w:r>
    </w:p>
    <w:p>
      <w:pPr>
        <w:pStyle w:val="ListParagraph"/>
        <w:numPr>
          <w:ilvl w:val="0"/>
          <w:numId w:val="4"/>
        </w:numPr>
        <w:bidi/>
        <w:spacing w:after="70" w:before="0" w:line="300"/>
      </w:pPr>
      <w:r>
        <w:rPr>
          <w:rFonts w:ascii="Arial" w:cs="Arial" w:eastAsia="Arial" w:hAnsi="Arial"/>
          <w:b/>
          <w:bCs/>
          <w:sz w:val="21"/>
          <w:szCs w:val="21"/>
          <w:rtl/>
        </w:rPr>
        <w:t xml:space="preserve">المعاملات </w:t>
      </w:r>
      <w:r>
        <w:rPr>
          <w:rFonts w:ascii="Arial" w:cs="Arial" w:eastAsia="Arial" w:hAnsi="Arial"/>
          <w:color w:val="2E9E44"/>
          <w:sz w:val="21"/>
          <w:szCs w:val="21"/>
          <w:rtl/>
        </w:rPr>
        <w:t xml:space="preserve">●</w:t>
      </w:r>
      <w:r>
        <w:rPr>
          <w:rFonts w:ascii="Arial" w:cs="Arial" w:eastAsia="Arial" w:hAnsi="Arial"/>
          <w:b/>
          <w:bCs/>
          <w:sz w:val="21"/>
          <w:szCs w:val="21"/>
          <w:rtl/>
        </w:rPr>
        <w:t xml:space="preserve">.</w:t>
      </w:r>
      <w:r>
        <w:rPr>
          <w:rFonts w:ascii="Arial" w:cs="Arial" w:eastAsia="Arial" w:hAnsi="Arial"/>
          <w:b w:val="false"/>
          <w:bCs w:val="false"/>
          <w:sz w:val="21"/>
          <w:szCs w:val="21"/>
          <w:rtl/>
        </w:rPr>
        <w:t xml:space="preserve"> يعيد sec.usp_GetPasswordParams سلسلة PHC بلا الجزء الأخير (030:32-36)، وNULL لبريد غير موجود أو لمستخدم بلا كلمة مرور.</w:t>
      </w:r>
    </w:p>
    <w:p>
      <w:pPr>
        <w:pStyle w:val="ListParagraph"/>
        <w:numPr>
          <w:ilvl w:val="0"/>
          <w:numId w:val="4"/>
        </w:numPr>
        <w:bidi/>
        <w:spacing w:after="70" w:before="0" w:line="300"/>
      </w:pPr>
      <w:r>
        <w:rPr>
          <w:rFonts w:ascii="Arial" w:cs="Arial" w:eastAsia="Arial" w:hAnsi="Arial"/>
          <w:b/>
          <w:bCs/>
          <w:sz w:val="21"/>
          <w:szCs w:val="21"/>
          <w:rtl/>
        </w:rPr>
        <w:t xml:space="preserve">التجزئة </w:t>
      </w:r>
      <w:r>
        <w:rPr>
          <w:rFonts w:ascii="Arial" w:cs="Arial" w:eastAsia="Arial" w:hAnsi="Arial"/>
          <w:color w:val="2E9E44"/>
          <w:sz w:val="21"/>
          <w:szCs w:val="21"/>
          <w:rtl/>
        </w:rPr>
        <w:t xml:space="preserve">●</w:t>
      </w:r>
      <w:r>
        <w:rPr>
          <w:rFonts w:ascii="Arial" w:cs="Arial" w:eastAsia="Arial" w:hAnsi="Arial"/>
          <w:b/>
          <w:bCs/>
          <w:sz w:val="21"/>
          <w:szCs w:val="21"/>
          <w:rtl/>
        </w:rPr>
        <w:t xml:space="preserve"> مع شرط </w:t>
      </w:r>
      <w:r>
        <w:rPr>
          <w:rFonts w:ascii="Arial" w:cs="Arial" w:eastAsia="Arial" w:hAnsi="Arial"/>
          <w:color w:val="E0A800"/>
          <w:sz w:val="21"/>
          <w:szCs w:val="21"/>
          <w:rtl/>
        </w:rPr>
        <w:t xml:space="preserve">●</w:t>
      </w:r>
      <w:r>
        <w:rPr>
          <w:rFonts w:ascii="Arial" w:cs="Arial" w:eastAsia="Arial" w:hAnsi="Arial"/>
          <w:b/>
          <w:bCs/>
          <w:sz w:val="21"/>
          <w:szCs w:val="21"/>
          <w:rtl/>
        </w:rPr>
        <w:t xml:space="preserve">.</w:t>
      </w:r>
      <w:r>
        <w:rPr>
          <w:rFonts w:ascii="Arial" w:cs="Arial" w:eastAsia="Arial" w:hAnsi="Arial"/>
          <w:b w:val="false"/>
          <w:bCs w:val="false"/>
          <w:sz w:val="21"/>
          <w:szCs w:val="21"/>
          <w:rtl/>
        </w:rPr>
        <w:t xml:space="preserve"> يحسب التطبيق Argon2id (docs/adr/0002-login-and-session-bound-context.md:19)، ويكون ذلك في الخادم لا في المتصفح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عند NULL يحسب تجزئة بمعاملات وملح وهميين بالكلفة نفسها، ثم يستدعي usp_StartSession كالمعتاد. بذلك يتساوى زمن الاستجابة ولا يُكشف وجود البريد (FR-PLT-012).</w:t>
      </w:r>
    </w:p>
    <w:p>
      <w:pPr>
        <w:pStyle w:val="ListParagraph"/>
        <w:numPr>
          <w:ilvl w:val="0"/>
          <w:numId w:val="4"/>
        </w:numPr>
        <w:bidi/>
        <w:spacing w:after="70" w:before="0" w:line="300"/>
      </w:pPr>
      <w:r>
        <w:rPr>
          <w:rFonts w:ascii="Arial" w:cs="Arial" w:eastAsia="Arial" w:hAnsi="Arial"/>
          <w:b/>
          <w:bCs/>
          <w:sz w:val="21"/>
          <w:szCs w:val="21"/>
          <w:rtl/>
        </w:rPr>
        <w:t xml:space="preserve">رمز الجلسة </w:t>
      </w:r>
      <w:r>
        <w:rPr>
          <w:rFonts w:ascii="Arial" w:cs="Arial" w:eastAsia="Arial" w:hAnsi="Arial"/>
          <w:color w:val="2E9E44"/>
          <w:sz w:val="21"/>
          <w:szCs w:val="21"/>
          <w:rtl/>
        </w:rPr>
        <w:t xml:space="preserve">●</w:t>
      </w:r>
      <w:r>
        <w:rPr>
          <w:rFonts w:ascii="Arial" w:cs="Arial" w:eastAsia="Arial" w:hAnsi="Arial"/>
          <w:b/>
          <w:bCs/>
          <w:sz w:val="21"/>
          <w:szCs w:val="21"/>
          <w:rtl/>
        </w:rPr>
        <w:t xml:space="preserve">.</w:t>
      </w:r>
      <w:r>
        <w:rPr>
          <w:rFonts w:ascii="Arial" w:cs="Arial" w:eastAsia="Arial" w:hAnsi="Arial"/>
          <w:b w:val="false"/>
          <w:bCs w:val="false"/>
          <w:sz w:val="21"/>
          <w:szCs w:val="21"/>
          <w:rtl/>
        </w:rPr>
        <w:t xml:space="preserve"> يولّد التطبيق 32 بايتًا عشوائية على الأقل لكل محاولة (030:43 و53-54). لا يقبل رمزًا من المتصفح أبدًا، فلا يمكن تثبيت الجلسة مسبقًا. الشكل والكوكي في DOC-S03.</w:t>
      </w:r>
    </w:p>
    <w:p>
      <w:pPr>
        <w:pStyle w:val="ListParagraph"/>
        <w:numPr>
          <w:ilvl w:val="0"/>
          <w:numId w:val="4"/>
        </w:numPr>
        <w:bidi/>
        <w:spacing w:after="70" w:before="0" w:line="300"/>
      </w:pPr>
      <w:r>
        <w:rPr>
          <w:rFonts w:ascii="Arial" w:cs="Arial" w:eastAsia="Arial" w:hAnsi="Arial"/>
          <w:b/>
          <w:bCs/>
          <w:sz w:val="21"/>
          <w:szCs w:val="21"/>
          <w:rtl/>
        </w:rPr>
        <w:t xml:space="preserve">المقارنة والقفل </w:t>
      </w:r>
      <w:r>
        <w:rPr>
          <w:rFonts w:ascii="Arial" w:cs="Arial" w:eastAsia="Arial" w:hAnsi="Arial"/>
          <w:color w:val="2E9E44"/>
          <w:sz w:val="21"/>
          <w:szCs w:val="21"/>
          <w:rtl/>
        </w:rPr>
        <w:t xml:space="preserve">●</w:t>
      </w:r>
      <w:r>
        <w:rPr>
          <w:rFonts w:ascii="Arial" w:cs="Arial" w:eastAsia="Arial" w:hAnsi="Arial"/>
          <w:b/>
          <w:bCs/>
          <w:sz w:val="21"/>
          <w:szCs w:val="21"/>
          <w:rtl/>
        </w:rPr>
        <w:t xml:space="preserve">.</w:t>
      </w:r>
      <w:r>
        <w:rPr>
          <w:rFonts w:ascii="Arial" w:cs="Arial" w:eastAsia="Arial" w:hAnsi="Arial"/>
          <w:b w:val="false"/>
          <w:bCs w:val="false"/>
          <w:sz w:val="21"/>
          <w:szCs w:val="21"/>
          <w:rtl/>
        </w:rPr>
        <w:t xml:space="preserve"> يقارن الإجراء التجزئتين ثنائيًا (030:84-86) ويطبق القفل (030:88-109) ويسجّل كل محاولة (030:123-129) ثم يرفع 50005 بعد الالتزام (030:138-140). المنطق في الشكل 5.3.</w:t>
      </w:r>
    </w:p>
    <w:p>
      <w:pPr>
        <w:pStyle w:val="ListParagraph"/>
        <w:numPr>
          <w:ilvl w:val="0"/>
          <w:numId w:val="4"/>
        </w:numPr>
        <w:bidi/>
        <w:spacing w:after="70" w:before="0" w:line="300"/>
      </w:pPr>
      <w:r>
        <w:rPr>
          <w:rFonts w:ascii="Arial" w:cs="Arial" w:eastAsia="Arial" w:hAnsi="Arial"/>
          <w:b/>
          <w:bCs/>
          <w:sz w:val="21"/>
          <w:szCs w:val="21"/>
          <w:rtl/>
        </w:rPr>
        <w:t xml:space="preserve">إنشاء الجلسة </w:t>
      </w:r>
      <w:r>
        <w:rPr>
          <w:rFonts w:ascii="Arial" w:cs="Arial" w:eastAsia="Arial" w:hAnsi="Arial"/>
          <w:color w:val="2E9E44"/>
          <w:sz w:val="21"/>
          <w:szCs w:val="21"/>
          <w:rtl/>
        </w:rPr>
        <w:t xml:space="preserve">●</w:t>
      </w:r>
      <w:r>
        <w:rPr>
          <w:rFonts w:ascii="Arial" w:cs="Arial" w:eastAsia="Arial" w:hAnsi="Arial"/>
          <w:b/>
          <w:bCs/>
          <w:sz w:val="21"/>
          <w:szCs w:val="21"/>
          <w:rtl/>
        </w:rPr>
        <w:t xml:space="preserve">.</w:t>
      </w:r>
      <w:r>
        <w:rPr>
          <w:rFonts w:ascii="Arial" w:cs="Arial" w:eastAsia="Arial" w:hAnsi="Arial"/>
          <w:b w:val="false"/>
          <w:bCs w:val="false"/>
          <w:sz w:val="21"/>
          <w:szCs w:val="21"/>
          <w:rtl/>
        </w:rPr>
        <w:t xml:space="preserve"> عند النجاح يعيد المستخدم إلى ACTIVE ويصفّر العداد (030:113-115)، ويدرج الجلسة بتجزئة SHA-256 للرمز وخمول 30 دقيقة ومطلقة 12 ساعة (030:116-118). لا تُربط الجلسة قبل MFA (030:198).</w:t>
      </w:r>
    </w:p>
    <w:p>
      <w:pPr>
        <w:pStyle w:val="ListParagraph"/>
        <w:numPr>
          <w:ilvl w:val="0"/>
          <w:numId w:val="4"/>
        </w:numPr>
        <w:bidi/>
        <w:spacing w:after="70" w:before="0" w:line="300"/>
      </w:pPr>
      <w:r>
        <w:rPr>
          <w:rFonts w:ascii="Arial" w:cs="Arial" w:eastAsia="Arial" w:hAnsi="Arial"/>
          <w:b/>
          <w:bCs/>
          <w:sz w:val="21"/>
          <w:szCs w:val="21"/>
          <w:rtl/>
        </w:rPr>
        <w:t xml:space="preserve">بعد النجاح </w:t>
      </w:r>
      <w:r>
        <w:rPr>
          <w:rFonts w:ascii="Arial" w:cs="Arial" w:eastAsia="Arial" w:hAnsi="Arial"/>
          <w:color w:val="E0A800"/>
          <w:sz w:val="21"/>
          <w:szCs w:val="21"/>
          <w:rtl/>
        </w:rPr>
        <w:t xml:space="preserve">●</w:t>
      </w:r>
      <w:r>
        <w:rPr>
          <w:rFonts w:ascii="Arial" w:cs="Arial" w:eastAsia="Arial" w:hAnsi="Arial"/>
          <w:b/>
          <w:bCs/>
          <w:sz w:val="21"/>
          <w:szCs w:val="21"/>
          <w:rtl/>
        </w:rPr>
        <w:t xml:space="preserve">.</w:t>
      </w:r>
      <w:r>
        <w:rPr>
          <w:rFonts w:ascii="Arial" w:cs="Arial" w:eastAsia="Arial" w:hAnsi="Arial"/>
          <w:b w:val="false"/>
          <w:bCs w:val="false"/>
          <w:sz w:val="21"/>
          <w:szCs w:val="21"/>
          <w:rtl/>
        </w:rPr>
        <w:t xml:space="preserve"> إن كانت معاملات Argon2id المخزنة أضعف من السياسة الحالية تُعاد التجزئة في الطلب نفسه (DOC-S04 §3).</w:t>
      </w:r>
    </w:p>
    <w:p>
      <w:pPr>
        <w:bidi/>
        <w:spacing w:after="60" w:before="0"/>
      </w:pPr>
    </w:p>
    <w:p>
      <w:pPr>
        <w:pStyle w:val="Heading2"/>
        <w:bidi/>
      </w:pPr>
      <w:bookmarkStart w:name="_sec8" w:id="8"/>
      <w:r>
        <w:rPr>
          <w:rFonts w:ascii="Arial" w:cs="Arial" w:eastAsia="Arial" w:hAnsi="Arial"/>
          <w:b/>
          <w:bCs/>
          <w:color w:val="2B5C8A"/>
          <w:sz w:val="26"/>
          <w:szCs w:val="26"/>
          <w:rtl/>
        </w:rPr>
        <w:t xml:space="preserve">5.3 منطق sec.usp_StartSession كما هو منفّذ</w:t>
      </w:r>
      <w:bookmarkEnd w:id="8"/>
    </w:p>
    <w:p>
      <w:pPr>
        <w:keepNext/>
        <w:bidi/>
        <w:spacing w:after="60" w:before="160"/>
        <w:jc w:val="center"/>
      </w:pPr>
      <w:r>
        <w:drawing>
          <wp:inline distT="0" distB="0" distL="0" distR="0">
            <wp:extent cx="4600575" cy="8191500"/>
            <wp:effectExtent t="0" r="0" b="0" l="0"/>
            <wp:docPr id="1" name="diagram-2.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600575" cy="8191500"/>
                    </a:xfrm>
                    <a:prstGeom prst="rect">
                      <a:avLst/>
                    </a:prstGeom>
                  </pic:spPr>
                </pic:pic>
              </a:graphicData>
            </a:graphic>
          </wp:inline>
        </w:drawing>
      </w:r>
    </w:p>
    <w:p>
      <w:pPr>
        <w:bidi/>
        <w:spacing w:after="110" w:before="0" w:line="312"/>
      </w:pPr>
      <w:r>
        <w:rPr>
          <w:rFonts w:ascii="Arial" w:cs="Arial" w:eastAsia="Arial" w:hAnsi="Arial"/>
          <w:b w:val="false"/>
          <w:bCs w:val="false"/>
          <w:sz w:val="21"/>
          <w:szCs w:val="21"/>
          <w:rtl/>
        </w:rPr>
        <w:t xml:space="preserve">ملاحظتان على المنفَّذ:</w:t>
      </w:r>
    </w:p>
    <w:p>
      <w:pPr>
        <w:pStyle w:val="ListParagraph"/>
        <w:numPr>
          <w:ilvl w:val="0"/>
          <w:numId w:val="2"/>
        </w:numPr>
        <w:bidi/>
        <w:spacing w:after="70" w:before="0" w:line="300"/>
      </w:pPr>
      <w:r>
        <w:rPr>
          <w:rFonts w:ascii="Arial" w:cs="Arial" w:eastAsia="Arial" w:hAnsi="Arial"/>
          <w:b w:val="false"/>
          <w:bCs w:val="false"/>
          <w:sz w:val="21"/>
          <w:szCs w:val="21"/>
          <w:rtl/>
        </w:rPr>
        <w:t xml:space="preserve">محاولة على مشترك غير مقبول لا تُسجَّل في sec.LoginAttempt لأن الإدراج داخل فرع المشترك الموجود (030:67-69 و123-129).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يسجّلها التطبيق في سجل التطبيق مع عنوان IP لتقييد المعدل.</w:t>
      </w:r>
    </w:p>
    <w:p>
      <w:pPr>
        <w:pStyle w:val="ListParagraph"/>
        <w:numPr>
          <w:ilvl w:val="0"/>
          <w:numId w:val="2"/>
        </w:numPr>
        <w:bidi/>
        <w:spacing w:after="70" w:before="0" w:line="300"/>
      </w:pPr>
      <w:r>
        <w:rPr>
          <w:rFonts w:ascii="Arial" w:cs="Arial" w:eastAsia="Arial" w:hAnsi="Arial"/>
          <w:b w:val="false"/>
          <w:bCs w:val="false"/>
          <w:sz w:val="21"/>
          <w:szCs w:val="21"/>
          <w:rtl/>
        </w:rPr>
        <w:t xml:space="preserve">حساب الخدمة (IsSystemUser) بلا كلمة مرور، فيدخل فرع العدّ عند 030:85 ويُقفل بعد خمس محاولات.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يُعامَل كحالة لا تدخل بلا عدّ (DQ-F03-9، DOC-F06).</w:t>
      </w:r>
    </w:p>
    <w:p>
      <w:pPr>
        <w:bidi/>
        <w:spacing w:after="60" w:before="0"/>
      </w:pPr>
    </w:p>
    <w:p>
      <w:pPr>
        <w:pStyle w:val="Heading1"/>
        <w:bidi/>
      </w:pPr>
      <w:bookmarkStart w:name="_sec9" w:id="9"/>
      <w:r>
        <w:rPr>
          <w:rFonts w:ascii="Arial" w:cs="Arial" w:eastAsia="Arial" w:hAnsi="Arial"/>
          <w:b/>
          <w:bCs/>
          <w:color w:val="1F3A5F"/>
          <w:sz w:val="32"/>
          <w:szCs w:val="32"/>
          <w:rtl/>
        </w:rPr>
        <w:t xml:space="preserve">6. خطوة MFA وإصدار الجلسة</w:t>
      </w:r>
      <w:bookmarkEnd w:id="9"/>
    </w:p>
    <w:p>
      <w:pPr>
        <w:pStyle w:val="Heading2"/>
        <w:bidi/>
      </w:pPr>
      <w:bookmarkStart w:name="_sec10" w:id="10"/>
      <w:r>
        <w:rPr>
          <w:rFonts w:ascii="Arial" w:cs="Arial" w:eastAsia="Arial" w:hAnsi="Arial"/>
          <w:b/>
          <w:bCs/>
          <w:color w:val="2B5C8A"/>
          <w:sz w:val="26"/>
          <w:szCs w:val="26"/>
          <w:rtl/>
        </w:rPr>
        <w:t xml:space="preserve">6.1 التسلسل</w:t>
      </w:r>
      <w:bookmarkEnd w:id="10"/>
    </w:p>
    <w:p>
      <w:pPr>
        <w:keepNext/>
        <w:bidi/>
        <w:spacing w:after="60" w:before="160"/>
        <w:jc w:val="center"/>
      </w:pPr>
      <w:r>
        <w:drawing>
          <wp:inline distT="0" distB="0" distL="0" distR="0">
            <wp:extent cx="6096000" cy="5934075"/>
            <wp:effectExtent t="0" r="0" b="0" l="0"/>
            <wp:docPr id="1" name="diagram-3.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5934075"/>
                    </a:xfrm>
                    <a:prstGeom prst="rect">
                      <a:avLst/>
                    </a:prstGeom>
                  </pic:spPr>
                </pic:pic>
              </a:graphicData>
            </a:graphic>
          </wp:inline>
        </w:drawing>
      </w:r>
    </w:p>
    <w:p>
      <w:pPr>
        <w:pStyle w:val="Heading2"/>
        <w:bidi/>
      </w:pPr>
      <w:bookmarkStart w:name="_sec11" w:id="11"/>
      <w:r>
        <w:rPr>
          <w:rFonts w:ascii="Arial" w:cs="Arial" w:eastAsia="Arial" w:hAnsi="Arial"/>
          <w:b/>
          <w:bCs/>
          <w:color w:val="2B5C8A"/>
          <w:sz w:val="26"/>
          <w:szCs w:val="26"/>
          <w:rtl/>
        </w:rPr>
        <w:t xml:space="preserve">6.2 قواعد الخطوة</w:t>
      </w:r>
      <w:bookmarkEnd w:id="11"/>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689"/>
        <w:gridCol w:w="1795"/>
        <w:gridCol w:w="5380"/>
      </w:tblGrid>
      <w:tr>
        <w:trPr>
          <w:cantSplit/>
          <w:tblHeader/>
        </w:trPr>
        <w:tc>
          <w:tcPr>
            <w:tcW w:type="dxa" w:w="268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القاعدة</w:t>
            </w:r>
          </w:p>
        </w:tc>
        <w:tc>
          <w:tcPr>
            <w:tcW w:type="dxa" w:w="179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الحالة</w:t>
            </w:r>
          </w:p>
        </w:tc>
        <w:tc>
          <w:tcPr>
            <w:tcW w:type="dxa" w:w="538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المرجع</w:t>
            </w:r>
          </w:p>
        </w:tc>
      </w:tr>
      <w:tr>
        <w:trPr>
          <w:cantSplit/>
        </w:trPr>
        <w:tc>
          <w:tcPr>
            <w:tcW w:type="dxa" w:w="2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الجلسة موجودة لكنها لا تُربط حتى يُسجَّل MFA</w:t>
            </w:r>
          </w:p>
        </w:tc>
        <w:tc>
          <w:tcPr>
            <w:tcW w:type="dxa" w:w="17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p>
        </w:tc>
        <w:tc>
          <w:tcPr>
            <w:tcW w:type="dxa" w:w="538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030:198، T36</w:t>
            </w:r>
          </w:p>
        </w:tc>
      </w:tr>
      <w:tr>
        <w:trPr>
          <w:cantSplit/>
        </w:trPr>
        <w:tc>
          <w:tcPr>
            <w:tcW w:type="dxa" w:w="2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التطبيق يتحقق من TOTP ويسجّل النتيجة فقط</w:t>
            </w:r>
          </w:p>
        </w:tc>
        <w:tc>
          <w:tcPr>
            <w:tcW w:type="dxa" w:w="17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مخاطرة متبقية مقبولة، ومعها اليوم فحص تكرار الخطوة وحد الإخفاقات في القاعدة</w:t>
            </w:r>
          </w:p>
        </w:tc>
        <w:tc>
          <w:tcPr>
            <w:tcW w:type="dxa" w:w="538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ADR 0003، الاختباران A5 وA6</w:t>
            </w:r>
          </w:p>
        </w:tc>
      </w:tr>
      <w:tr>
        <w:trPr>
          <w:cantSplit/>
        </w:trPr>
        <w:tc>
          <w:tcPr>
            <w:tcW w:type="dxa" w:w="2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جلب السر قبل الربط بإجراء يقبل جلسة غير متحقَّقة عمرها 5 دقائق على الأكثر</w:t>
            </w:r>
          </w:p>
        </w:tc>
        <w:tc>
          <w:tcPr>
            <w:tcW w:type="dxa" w:w="17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p>
        </w:tc>
        <w:tc>
          <w:tcPr>
            <w:tcW w:type="dxa" w:w="538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DQ-F03-2</w:t>
            </w:r>
          </w:p>
        </w:tc>
      </w:tr>
      <w:tr>
        <w:trPr>
          <w:cantSplit/>
        </w:trPr>
        <w:tc>
          <w:tcPr>
            <w:tcW w:type="dxa" w:w="2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منع إعادة استعمال خطوة TOTP بمقارنة MfaLastUsedStep داخل الإجراء</w:t>
            </w:r>
          </w:p>
        </w:tc>
        <w:tc>
          <w:tcPr>
            <w:tcW w:type="dxa" w:w="17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p>
        </w:tc>
        <w:tc>
          <w:tcPr>
            <w:tcW w:type="dxa" w:w="538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العمود في db/model/10-platform.model:131</w:t>
            </w:r>
          </w:p>
        </w:tc>
      </w:tr>
      <w:tr>
        <w:trPr>
          <w:cantSplit/>
        </w:trPr>
        <w:tc>
          <w:tcPr>
            <w:tcW w:type="dxa" w:w="2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رمز الاسترداد يُقارن ويُستهلك داخل القاعدة ويُعاد عدد الباقي</w:t>
            </w:r>
          </w:p>
        </w:tc>
        <w:tc>
          <w:tcPr>
            <w:tcW w:type="dxa" w:w="17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p>
        </w:tc>
        <w:tc>
          <w:tcPr>
            <w:tcW w:type="dxa" w:w="538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DQ-F03-3، BR-PLT-006</w:t>
            </w:r>
          </w:p>
        </w:tc>
      </w:tr>
      <w:tr>
        <w:trPr>
          <w:cantSplit/>
        </w:trPr>
        <w:tc>
          <w:tcPr>
            <w:tcW w:type="dxa" w:w="2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خمس رموز خاطئة في الجلسة الواحدة تنهيها</w:t>
            </w:r>
          </w:p>
        </w:tc>
        <w:tc>
          <w:tcPr>
            <w:tcW w:type="dxa" w:w="17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p>
        </w:tc>
        <w:tc>
          <w:tcPr>
            <w:tcW w:type="dxa" w:w="538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DOC-S04 §8</w:t>
            </w:r>
          </w:p>
        </w:tc>
      </w:tr>
      <w:tr>
        <w:trPr>
          <w:cantSplit/>
        </w:trPr>
        <w:tc>
          <w:tcPr>
            <w:tcW w:type="dxa" w:w="2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مستخدم MfaEnabled = 0 تُربط جلسته بلا MFA</w:t>
            </w:r>
          </w:p>
        </w:tc>
        <w:tc>
          <w:tcPr>
            <w:tcW w:type="dxa" w:w="17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أُغلقت (ADR 0003)</w:t>
            </w:r>
          </w:p>
        </w:tc>
        <w:tc>
          <w:tcPr>
            <w:tcW w:type="dxa" w:w="538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الربط يشترط MfaVerifiedAt؛ الاختباران T43 وA14</w:t>
            </w:r>
          </w:p>
        </w:tc>
      </w:tr>
    </w:tbl>
    <w:p>
      <w:pPr>
        <w:bidi/>
        <w:spacing w:after="120" w:before="0"/>
      </w:pPr>
    </w:p>
    <w:p>
      <w:pPr>
        <w:bidi/>
        <w:spacing w:after="110" w:before="0" w:line="312"/>
      </w:pPr>
      <w:r>
        <w:rPr>
          <w:rFonts w:ascii="Arial" w:cs="Arial" w:eastAsia="Arial" w:hAnsi="Arial"/>
          <w:b/>
          <w:bCs/>
          <w:sz w:val="21"/>
          <w:szCs w:val="21"/>
          <w:rtl/>
        </w:rPr>
        <w:t xml:space="preserve">سجل الدخول.</w:t>
      </w:r>
      <w:r>
        <w:rPr>
          <w:rFonts w:ascii="Arial" w:cs="Arial" w:eastAsia="Arial" w:hAnsi="Arial"/>
          <w:b w:val="false"/>
          <w:bCs w:val="false"/>
          <w:sz w:val="21"/>
          <w:szCs w:val="21"/>
          <w:rtl/>
        </w:rPr>
        <w:t xml:space="preserve"> يسجّل usp_StartSession الحدث LOGIN_SUCCESS عند قبول كلمة المرور، أي قبل MFA (030:119 و124-126). هذا يطابق عدّ الأحداث التسعة في AC-PLT-2 (10-m0-m1-platform-organization.md:655).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يضاف حدث MFA_VERIFIED في aud.AuditLog عند اكتمال الدخول.</w:t>
      </w:r>
    </w:p>
    <w:p>
      <w:pPr>
        <w:pStyle w:val="Heading2"/>
        <w:bidi/>
      </w:pPr>
      <w:bookmarkStart w:name="_sec12" w:id="12"/>
      <w:r>
        <w:rPr>
          <w:rFonts w:ascii="Arial" w:cs="Arial" w:eastAsia="Arial" w:hAnsi="Arial"/>
          <w:b/>
          <w:bCs/>
          <w:color w:val="2B5C8A"/>
          <w:sz w:val="26"/>
          <w:szCs w:val="26"/>
          <w:rtl/>
        </w:rPr>
        <w:t xml:space="preserve">6.3 الجلسة المصدرة</w:t>
      </w:r>
      <w:bookmarkEnd w:id="12"/>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252"/>
        <w:gridCol w:w="3914"/>
        <w:gridCol w:w="4698"/>
      </w:tblGrid>
      <w:tr>
        <w:trPr>
          <w:cantSplit/>
          <w:tblHeader/>
        </w:trPr>
        <w:tc>
          <w:tcPr>
            <w:tcW w:type="dxa" w:w="125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الخاصية</w:t>
            </w:r>
          </w:p>
        </w:tc>
        <w:tc>
          <w:tcPr>
            <w:tcW w:type="dxa" w:w="391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القيمة</w:t>
            </w:r>
          </w:p>
        </w:tc>
        <w:tc>
          <w:tcPr>
            <w:tcW w:type="dxa" w:w="469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الحالة والمرجع</w:t>
            </w:r>
          </w:p>
        </w:tc>
      </w:tr>
      <w:tr>
        <w:trPr>
          <w:cantSplit/>
        </w:trPr>
        <w:tc>
          <w:tcPr>
            <w:tcW w:type="dxa" w:w="12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مهلة الخمول</w:t>
            </w:r>
          </w:p>
        </w:tc>
        <w:tc>
          <w:tcPr>
            <w:tcW w:type="dxa" w:w="39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 دقيقة من آخر نشاط</w:t>
            </w:r>
          </w:p>
        </w:tc>
        <w:tc>
          <w:tcPr>
            <w:tcW w:type="dxa" w:w="46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030:117-118، FR-PLT-014</w:t>
            </w:r>
          </w:p>
        </w:tc>
      </w:tr>
      <w:tr>
        <w:trPr>
          <w:cantSplit/>
        </w:trPr>
        <w:tc>
          <w:tcPr>
            <w:tcW w:type="dxa" w:w="12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المهلة المطلقة</w:t>
            </w:r>
          </w:p>
        </w:tc>
        <w:tc>
          <w:tcPr>
            <w:tcW w:type="dxa" w:w="39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 ساعة من الإنشاء، ولا يغيّرها التطبيق</w:t>
            </w:r>
          </w:p>
        </w:tc>
        <w:tc>
          <w:tcPr>
            <w:tcW w:type="dxa" w:w="469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030:118 و239، T35</w:t>
            </w:r>
          </w:p>
        </w:tc>
      </w:tr>
      <w:tr>
        <w:trPr>
          <w:cantSplit/>
        </w:trPr>
        <w:tc>
          <w:tcPr>
            <w:tcW w:type="dxa" w:w="12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تمديد الخمول</w:t>
            </w:r>
          </w:p>
        </w:tc>
        <w:tc>
          <w:tcPr>
            <w:tcW w:type="dxa" w:w="39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‎sec.usp_TouchSession‎</w:t>
            </w:r>
            <w:r>
              <w:rPr>
                <w:rFonts w:ascii="Arial" w:cs="Arial" w:eastAsia="Arial" w:hAnsi="Arial"/>
                <w:b w:val="false"/>
                <w:bCs w:val="false"/>
                <w:sz w:val="18"/>
                <w:szCs w:val="18"/>
                <w:rtl/>
              </w:rPr>
              <w:t xml:space="preserve"> (035)</w:t>
            </w:r>
          </w:p>
        </w:tc>
        <w:tc>
          <w:tcPr>
            <w:tcW w:type="dxa" w:w="46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أُغلقت (ADR 0003)؛ الاختبار A12</w:t>
            </w:r>
          </w:p>
        </w:tc>
      </w:tr>
      <w:tr>
        <w:trPr>
          <w:cantSplit/>
        </w:trPr>
        <w:tc>
          <w:tcPr>
            <w:tcW w:type="dxa" w:w="12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المخزَّن</w:t>
            </w:r>
          </w:p>
        </w:tc>
        <w:tc>
          <w:tcPr>
            <w:tcW w:type="dxa" w:w="39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SHA-256 للرمز في sec.UserSession.TokenHash</w:t>
            </w:r>
          </w:p>
        </w:tc>
        <w:tc>
          <w:tcPr>
            <w:tcW w:type="dxa" w:w="469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030:117، db/model/10-platform.model:221</w:t>
            </w:r>
          </w:p>
        </w:tc>
      </w:tr>
      <w:tr>
        <w:trPr>
          <w:cantSplit/>
        </w:trPr>
        <w:tc>
          <w:tcPr>
            <w:tcW w:type="dxa" w:w="12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الربط لكل طلب</w:t>
            </w:r>
          </w:p>
        </w:tc>
        <w:tc>
          <w:tcPr>
            <w:tcW w:type="dxa" w:w="39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sec.usp_SetSessionContext</w:t>
            </w:r>
          </w:p>
        </w:tc>
        <w:tc>
          <w:tcPr>
            <w:tcW w:type="dxa" w:w="46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030:165-227؛ التفصيل في DOC-F04</w:t>
            </w:r>
          </w:p>
        </w:tc>
      </w:tr>
    </w:tbl>
    <w:p>
      <w:pPr>
        <w:bidi/>
        <w:spacing w:after="120" w:before="0"/>
      </w:pPr>
    </w:p>
    <w:p>
      <w:pPr>
        <w:pStyle w:val="Heading1"/>
        <w:bidi/>
      </w:pPr>
      <w:bookmarkStart w:name="_sec13" w:id="13"/>
      <w:r>
        <w:rPr>
          <w:rFonts w:ascii="Arial" w:cs="Arial" w:eastAsia="Arial" w:hAnsi="Arial"/>
          <w:b/>
          <w:bCs/>
          <w:color w:val="1F3A5F"/>
          <w:sz w:val="32"/>
          <w:szCs w:val="32"/>
          <w:rtl/>
        </w:rPr>
        <w:t xml:space="preserve">7. الخروج وانتهاء الجلسة</w:t>
      </w:r>
      <w:bookmarkEnd w:id="13"/>
    </w:p>
    <w:p>
      <w:pPr>
        <w:keepNext/>
        <w:bidi/>
        <w:spacing w:after="60" w:before="160"/>
        <w:jc w:val="center"/>
      </w:pPr>
      <w:r>
        <w:drawing>
          <wp:inline distT="0" distB="0" distL="0" distR="0">
            <wp:extent cx="6096000" cy="2819400"/>
            <wp:effectExtent t="0" r="0" b="0" l="0"/>
            <wp:docPr id="1" name="diagram-4.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2819400"/>
                    </a:xfrm>
                    <a:prstGeom prst="rect">
                      <a:avLst/>
                    </a:prstGeom>
                  </pic:spPr>
                </pic:pic>
              </a:graphicData>
            </a:graphic>
          </wp:inline>
        </w:drawing>
      </w:r>
    </w:p>
    <w:p>
      <w:pPr>
        <w:pStyle w:val="ListParagraph"/>
        <w:numPr>
          <w:ilvl w:val="0"/>
          <w:numId w:val="2"/>
        </w:numPr>
        <w:bidi/>
        <w:spacing w:after="70" w:before="0" w:line="300"/>
      </w:pP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إنهاء الجلسة بيد المدير (TERMINATED_BY_ADMIN) يسحب الربط فورًا (030:269-283، T37).</w:t>
      </w:r>
    </w:p>
    <w:p>
      <w:pPr>
        <w:pStyle w:val="ListParagraph"/>
        <w:numPr>
          <w:ilvl w:val="0"/>
          <w:numId w:val="2"/>
        </w:numPr>
        <w:bidi/>
        <w:spacing w:after="70" w:before="0" w:line="300"/>
      </w:pP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المحفّز يسحب كل روابط المستخدم في المشترك لا ربط الجلسة وحدها (030:276-282)، لأن sec.SessionBinding بلا عمود جلسة (db/model/10-platform.model:212-217). أثره طلب جارٍ واحد في الجلسات الأخرى، ثم تُربط من جديد.</w:t>
      </w:r>
    </w:p>
    <w:p>
      <w:pPr>
        <w:pStyle w:val="ListParagraph"/>
        <w:numPr>
          <w:ilvl w:val="0"/>
          <w:numId w:val="2"/>
        </w:numPr>
        <w:bidi/>
        <w:spacing w:after="70" w:before="0" w:line="300"/>
      </w:pP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فجوة: التحديث المباشر مرفوض في مشترك SUSPENDED أو ARCHIVED_READ_ONLY لأن الكتابة تشترط TRIAL أو ACTIVE (010_rls.sql:34-41، T27).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sec.usp_EndSession بصفة tp_auth_exec (DQ-F03-6).</w:t>
      </w:r>
    </w:p>
    <w:p>
      <w:pPr>
        <w:pStyle w:val="ListParagraph"/>
        <w:numPr>
          <w:ilvl w:val="0"/>
          <w:numId w:val="2"/>
        </w:numPr>
        <w:bidi/>
        <w:spacing w:after="70" w:before="0" w:line="300"/>
      </w:pP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لا شيء يكتب IDLE_TIMEOUT أو ABSOLUTE_TIMEOUT اليوم؛ الربط يرفض الجلسة المنتهية بالوقت (030:196، T32). مهمة تنظيف دورية تكتب السبب، وهويتها في DOC-F04.</w:t>
      </w:r>
    </w:p>
    <w:p>
      <w:pPr>
        <w:bidi/>
        <w:spacing w:after="60" w:before="0"/>
      </w:pPr>
    </w:p>
    <w:p>
      <w:pPr>
        <w:pStyle w:val="Heading1"/>
        <w:bidi/>
      </w:pPr>
      <w:bookmarkStart w:name="_sec14" w:id="14"/>
      <w:r>
        <w:rPr>
          <w:rFonts w:ascii="Arial" w:cs="Arial" w:eastAsia="Arial" w:hAnsi="Arial"/>
          <w:b/>
          <w:bCs/>
          <w:color w:val="1F3A5F"/>
          <w:sz w:val="32"/>
          <w:szCs w:val="32"/>
          <w:rtl/>
        </w:rPr>
        <w:t xml:space="preserve">8. الدعوة (48 ساعة)</w:t>
      </w:r>
      <w:bookmarkEnd w:id="14"/>
    </w:p>
    <w:p>
      <w:pPr>
        <w:keepNext/>
        <w:bidi/>
        <w:spacing w:after="60" w:before="160"/>
        <w:jc w:val="center"/>
      </w:pPr>
      <w:r>
        <w:drawing>
          <wp:inline distT="0" distB="0" distL="0" distR="0">
            <wp:extent cx="6096000" cy="3790950"/>
            <wp:effectExtent t="0" r="0" b="0" l="0"/>
            <wp:docPr id="1" name="diagram-5.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96000" cy="3790950"/>
                    </a:xfrm>
                    <a:prstGeom prst="rect">
                      <a:avLst/>
                    </a:prstGeom>
                  </pic:spPr>
                </pic:pic>
              </a:graphicData>
            </a:graphic>
          </wp:inline>
        </w:drawing>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047"/>
        <w:gridCol w:w="1116"/>
        <w:gridCol w:w="6701"/>
      </w:tblGrid>
      <w:tr>
        <w:trPr>
          <w:cantSplit/>
          <w:tblHeader/>
        </w:trPr>
        <w:tc>
          <w:tcPr>
            <w:tcW w:type="dxa" w:w="204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القاعدة</w:t>
            </w:r>
          </w:p>
        </w:tc>
        <w:tc>
          <w:tcPr>
            <w:tcW w:type="dxa" w:w="111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الحالة</w:t>
            </w:r>
          </w:p>
        </w:tc>
        <w:tc>
          <w:tcPr>
            <w:tcW w:type="dxa" w:w="670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المرجع</w:t>
            </w:r>
          </w:p>
        </w:tc>
      </w:tr>
      <w:tr>
        <w:trPr>
          <w:cantSplit/>
        </w:trPr>
        <w:tc>
          <w:tcPr>
            <w:tcW w:type="dxa" w:w="20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الإصدار بيد مدير الحساب في جلسة مربوطة</w:t>
            </w:r>
          </w:p>
        </w:tc>
        <w:tc>
          <w:tcPr>
            <w:tcW w:type="dxa" w:w="111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ممكن بالمنح</w:t>
            </w:r>
          </w:p>
        </w:tc>
        <w:tc>
          <w:tcPr>
            <w:tcW w:type="dxa" w:w="67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007_table_grants.sql:24 و44؛ المصفوفة 10-m0-m1-platform-organization.md:45</w:t>
            </w:r>
          </w:p>
        </w:tc>
      </w:tr>
      <w:tr>
        <w:trPr>
          <w:cantSplit/>
        </w:trPr>
        <w:tc>
          <w:tcPr>
            <w:tcW w:type="dxa" w:w="20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دعوة المدير الأول بيد المشغّل</w:t>
            </w:r>
          </w:p>
        </w:tc>
        <w:tc>
          <w:tcPr>
            <w:tcW w:type="dxa" w:w="111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p>
        </w:tc>
        <w:tc>
          <w:tcPr>
            <w:tcW w:type="dxa" w:w="670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DOC-F05 وO-12 (20-database-design)</w:t>
            </w:r>
          </w:p>
        </w:tc>
      </w:tr>
      <w:tr>
        <w:trPr>
          <w:cantSplit/>
        </w:trPr>
        <w:tc>
          <w:tcPr>
            <w:tcW w:type="dxa" w:w="20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الرابط لمرة واحدة، والقاعدة تخزّن تجزئته</w:t>
            </w:r>
          </w:p>
        </w:tc>
        <w:tc>
          <w:tcPr>
            <w:tcW w:type="dxa" w:w="111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تصميم</w:t>
            </w:r>
          </w:p>
        </w:tc>
        <w:tc>
          <w:tcPr>
            <w:tcW w:type="dxa" w:w="67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db/model/10-platform.model:244-258</w:t>
            </w:r>
          </w:p>
        </w:tc>
      </w:tr>
      <w:tr>
        <w:trPr>
          <w:cantSplit/>
        </w:trPr>
        <w:tc>
          <w:tcPr>
            <w:tcW w:type="dxa" w:w="20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إعادة الإرسال تلغي الرابط السابق (RevokedAt)</w:t>
            </w:r>
          </w:p>
        </w:tc>
        <w:tc>
          <w:tcPr>
            <w:tcW w:type="dxa" w:w="111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p>
        </w:tc>
        <w:tc>
          <w:tcPr>
            <w:tcW w:type="dxa" w:w="670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DOC-F06</w:t>
            </w:r>
          </w:p>
        </w:tc>
      </w:tr>
      <w:tr>
        <w:trPr>
          <w:cantSplit/>
        </w:trPr>
        <w:tc>
          <w:tcPr>
            <w:tcW w:type="dxa" w:w="20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الإكمال ذري: كلمة المرور وسجلها وسر MFA والرموز العشرة والحالة ACTIVE واستهلاك الرابط</w:t>
            </w:r>
          </w:p>
        </w:tc>
        <w:tc>
          <w:tcPr>
            <w:tcW w:type="dxa" w:w="111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p>
        </w:tc>
        <w:tc>
          <w:tcPr>
            <w:tcW w:type="dxa" w:w="67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DQ-F03-5</w:t>
            </w:r>
          </w:p>
        </w:tc>
      </w:tr>
      <w:tr>
        <w:trPr>
          <w:cantSplit/>
        </w:trPr>
        <w:tc>
          <w:tcPr>
            <w:tcW w:type="dxa" w:w="20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المدعو لا يدخل قبل الإكمال</w:t>
            </w:r>
          </w:p>
        </w:tc>
        <w:tc>
          <w:tcPr>
            <w:tcW w:type="dxa" w:w="111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p>
        </w:tc>
        <w:tc>
          <w:tcPr>
            <w:tcW w:type="dxa" w:w="670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030:82-83</w:t>
            </w:r>
          </w:p>
        </w:tc>
      </w:tr>
      <w:tr>
        <w:trPr>
          <w:cantSplit/>
        </w:trPr>
        <w:tc>
          <w:tcPr>
            <w:tcW w:type="dxa" w:w="20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رابط منتهٍ أو مستعمل يعطي رسالة واحدة</w:t>
            </w:r>
          </w:p>
        </w:tc>
        <w:tc>
          <w:tcPr>
            <w:tcW w:type="dxa" w:w="111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p>
        </w:tc>
        <w:tc>
          <w:tcPr>
            <w:tcW w:type="dxa" w:w="67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FR-PLT-013</w:t>
            </w:r>
          </w:p>
        </w:tc>
      </w:tr>
    </w:tbl>
    <w:p>
      <w:pPr>
        <w:bidi/>
        <w:spacing w:after="120" w:before="0"/>
      </w:pPr>
    </w:p>
    <w:p>
      <w:pPr>
        <w:pStyle w:val="Heading1"/>
        <w:bidi/>
      </w:pPr>
      <w:bookmarkStart w:name="_sec15" w:id="15"/>
      <w:r>
        <w:rPr>
          <w:rFonts w:ascii="Arial" w:cs="Arial" w:eastAsia="Arial" w:hAnsi="Arial"/>
          <w:b/>
          <w:bCs/>
          <w:color w:val="1F3A5F"/>
          <w:sz w:val="32"/>
          <w:szCs w:val="32"/>
          <w:rtl/>
        </w:rPr>
        <w:t xml:space="preserve">9. إعادة تعيين كلمة المرور (30 دقيقة)</w:t>
      </w:r>
      <w:bookmarkEnd w:id="15"/>
    </w:p>
    <w:p>
      <w:pPr>
        <w:keepNext/>
        <w:bidi/>
        <w:spacing w:after="60" w:before="160"/>
        <w:jc w:val="center"/>
      </w:pPr>
      <w:r>
        <w:drawing>
          <wp:inline distT="0" distB="0" distL="0" distR="0">
            <wp:extent cx="6096000" cy="4295775"/>
            <wp:effectExtent t="0" r="0" b="0" l="0"/>
            <wp:docPr id="1" name="diagram-6.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96000" cy="4295775"/>
                    </a:xfrm>
                    <a:prstGeom prst="rect">
                      <a:avLst/>
                    </a:prstGeom>
                  </pic:spPr>
                </pic:pic>
              </a:graphicData>
            </a:graphic>
          </wp:inline>
        </w:drawing>
      </w:r>
    </w:p>
    <w:p>
      <w:pPr>
        <w:pStyle w:val="ListParagraph"/>
        <w:numPr>
          <w:ilvl w:val="0"/>
          <w:numId w:val="2"/>
        </w:numPr>
        <w:bidi/>
        <w:spacing w:after="70" w:before="0" w:line="300"/>
      </w:pP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الطلب لا يكشف وجود البريد في الاستجابة ولا في زمنها (FR-PLT-013).</w:t>
      </w:r>
    </w:p>
    <w:p>
      <w:pPr>
        <w:pStyle w:val="ListParagraph"/>
        <w:numPr>
          <w:ilvl w:val="0"/>
          <w:numId w:val="2"/>
        </w:numPr>
        <w:bidi/>
        <w:spacing w:after="70" w:before="0" w:line="300"/>
      </w:pP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الطلب الجديد يلغي الروابط السابقة غير المستعملة للمستخدم.</w:t>
      </w:r>
    </w:p>
    <w:p>
      <w:pPr>
        <w:pStyle w:val="ListParagraph"/>
        <w:numPr>
          <w:ilvl w:val="0"/>
          <w:numId w:val="2"/>
        </w:numPr>
        <w:bidi/>
        <w:spacing w:after="70" w:before="0" w:line="300"/>
      </w:pP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الإكمال ينهي كل جلسات المستخدم بسبب PASSWORD_CHANGED، ولا يرفع RequiresAdminUnlock (DOC-S04 §7).</w:t>
      </w:r>
    </w:p>
    <w:p>
      <w:pPr>
        <w:pStyle w:val="ListParagraph"/>
        <w:numPr>
          <w:ilvl w:val="0"/>
          <w:numId w:val="2"/>
        </w:numPr>
        <w:bidi/>
        <w:spacing w:after="70" w:before="0" w:line="300"/>
      </w:pP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الإعادة لا تتجاوز MFA: بعدها دخول كامل بكلمة المرور وTOTP.</w:t>
      </w:r>
    </w:p>
    <w:p>
      <w:pPr>
        <w:pStyle w:val="ListParagraph"/>
        <w:numPr>
          <w:ilvl w:val="0"/>
          <w:numId w:val="2"/>
        </w:numPr>
        <w:bidi/>
        <w:spacing w:after="70" w:before="0" w:line="300"/>
      </w:pP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الحالة الراهنة: tp_app يملك إدراج sec.UserToken وتحديث PasswordHash لكن بعد الربط فقط (007_table_grants.sql:24 و44، 010_rls.sql:43-49)، والمستخدم الناسي بلا جلسة. لذا يلزم الإجراء (DQ-F03-7).</w:t>
      </w:r>
    </w:p>
    <w:p>
      <w:pPr>
        <w:bidi/>
        <w:spacing w:after="60" w:before="0"/>
      </w:pPr>
    </w:p>
    <w:p>
      <w:pPr>
        <w:pStyle w:val="Heading1"/>
        <w:bidi/>
      </w:pPr>
      <w:bookmarkStart w:name="_sec16" w:id="16"/>
      <w:r>
        <w:rPr>
          <w:rFonts w:ascii="Arial" w:cs="Arial" w:eastAsia="Arial" w:hAnsi="Arial"/>
          <w:b/>
          <w:bCs/>
          <w:color w:val="1F3A5F"/>
          <w:sz w:val="32"/>
          <w:szCs w:val="32"/>
          <w:rtl/>
        </w:rPr>
        <w:t xml:space="preserve">10. فقدان جهاز MFA وإعادة التسجيل</w:t>
      </w:r>
      <w:bookmarkEnd w:id="16"/>
    </w:p>
    <w:p>
      <w:pPr>
        <w:keepNext/>
        <w:bidi/>
        <w:spacing w:after="60" w:before="160"/>
        <w:jc w:val="center"/>
      </w:pPr>
      <w:r>
        <w:drawing>
          <wp:inline distT="0" distB="0" distL="0" distR="0">
            <wp:extent cx="6096000" cy="3276600"/>
            <wp:effectExtent t="0" r="0" b="0" l="0"/>
            <wp:docPr id="1" name="diagram-7.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96000" cy="3276600"/>
                    </a:xfrm>
                    <a:prstGeom prst="rect">
                      <a:avLst/>
                    </a:prstGeom>
                  </pic:spPr>
                </pic:pic>
              </a:graphicData>
            </a:graphic>
          </wp:inline>
        </w:drawing>
      </w:r>
    </w:p>
    <w:p>
      <w:pPr>
        <w:pStyle w:val="ListParagraph"/>
        <w:numPr>
          <w:ilvl w:val="0"/>
          <w:numId w:val="2"/>
        </w:numPr>
        <w:bidi/>
        <w:spacing w:after="70" w:before="0" w:line="300"/>
      </w:pP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المستخدم الذي يملك رمز استرداد لا يحتاج المدير: يدخل به ثم يسجّل جهازًا جديدًا من إعداداته بعد إعادة المصادقة.</w:t>
      </w:r>
    </w:p>
    <w:p>
      <w:pPr>
        <w:pStyle w:val="ListParagraph"/>
        <w:numPr>
          <w:ilvl w:val="0"/>
          <w:numId w:val="2"/>
        </w:numPr>
        <w:bidi/>
        <w:spacing w:after="70" w:before="0" w:line="300"/>
      </w:pP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الإعادة بيد مدير الحساب وتُسجَّل بشدة عالية (BR-PLT-006، 10-m0-m1-platform-organization.md:232) ويُشعَر المستخدم والمديرون (10-m0-m1-platform-organization.md:534).</w:t>
      </w:r>
    </w:p>
    <w:p>
      <w:pPr>
        <w:pStyle w:val="ListParagraph"/>
        <w:numPr>
          <w:ilvl w:val="0"/>
          <w:numId w:val="2"/>
        </w:numPr>
        <w:bidi/>
        <w:spacing w:after="70" w:before="0" w:line="300"/>
      </w:pP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شروط التحقق من الهوية ومهلة إعادة التسجيل في DOC-S04 §10.</w:t>
      </w:r>
    </w:p>
    <w:p>
      <w:pPr>
        <w:pStyle w:val="ListParagraph"/>
        <w:numPr>
          <w:ilvl w:val="0"/>
          <w:numId w:val="2"/>
        </w:numPr>
        <w:bidi/>
        <w:spacing w:after="70" w:before="0" w:line="300"/>
      </w:pP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الرابط رسالة ثالثة في البريد المعاملاتي، وFR-PLT-013 يحصره في رسالتين. يلزم قرار (DQ-F03-8).</w:t>
      </w:r>
    </w:p>
    <w:p>
      <w:pPr>
        <w:pStyle w:val="ListParagraph"/>
        <w:numPr>
          <w:ilvl w:val="0"/>
          <w:numId w:val="2"/>
        </w:numPr>
        <w:bidi/>
        <w:spacing w:after="70" w:before="0" w:line="300"/>
      </w:pP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مدير الحساب الوحيد لا يعيد تعيين نفسه: يمر الطلب بمسار المشغّل (DOC-F06، O-12 (20-database-design)).</w:t>
      </w:r>
    </w:p>
    <w:p>
      <w:pPr>
        <w:bidi/>
        <w:spacing w:after="60" w:before="0"/>
      </w:pPr>
    </w:p>
    <w:p>
      <w:pPr>
        <w:pStyle w:val="Heading1"/>
        <w:bidi/>
      </w:pPr>
      <w:bookmarkStart w:name="_sec17" w:id="17"/>
      <w:r>
        <w:rPr>
          <w:rFonts w:ascii="Arial" w:cs="Arial" w:eastAsia="Arial" w:hAnsi="Arial"/>
          <w:b/>
          <w:bCs/>
          <w:color w:val="1F3A5F"/>
          <w:sz w:val="32"/>
          <w:szCs w:val="32"/>
          <w:rtl/>
        </w:rPr>
        <w:t xml:space="preserve">11. إعادة المصادقة قبل التصدير الحساس</w:t>
      </w:r>
      <w:bookmarkEnd w:id="17"/>
    </w:p>
    <w:p>
      <w:pPr>
        <w:keepNext/>
        <w:bidi/>
        <w:spacing w:after="60" w:before="160"/>
        <w:jc w:val="center"/>
      </w:pPr>
      <w:r>
        <w:drawing>
          <wp:inline distT="0" distB="0" distL="0" distR="0">
            <wp:extent cx="6096000" cy="4467225"/>
            <wp:effectExtent t="0" r="0" b="0" l="0"/>
            <wp:docPr id="1" name="diagram-8.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96000" cy="4467225"/>
                    </a:xfrm>
                    <a:prstGeom prst="rect">
                      <a:avLst/>
                    </a:prstGeom>
                  </pic:spPr>
                </pic:pic>
              </a:graphicData>
            </a:graphic>
          </wp:inline>
        </w:drawing>
      </w:r>
    </w:p>
    <w:p>
      <w:pPr>
        <w:pStyle w:val="ListParagraph"/>
        <w:numPr>
          <w:ilvl w:val="0"/>
          <w:numId w:val="2"/>
        </w:numPr>
        <w:bidi/>
        <w:spacing w:after="70" w:before="0" w:line="300"/>
      </w:pP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الأساس موجود: usp_ConfirmMfa يحدّث MfaVerifiedAt عند كل نجاح (030:159-160)، وtp_app يقرأ العمود ولا يكتبه (030:239).</w:t>
      </w:r>
    </w:p>
    <w:p>
      <w:pPr>
        <w:pStyle w:val="ListParagraph"/>
        <w:numPr>
          <w:ilvl w:val="0"/>
          <w:numId w:val="2"/>
        </w:numPr>
        <w:bidi/>
        <w:spacing w:after="70" w:before="0" w:line="300"/>
      </w:pP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حداثة التحقق 5 دقائق، وقائمة التصديرات الحساسة في DOC-S04 §11. طلب كلمة المرور مع TOTP بديل مفتوح (DQ-S04-15).</w:t>
      </w:r>
    </w:p>
    <w:p>
      <w:pPr>
        <w:pStyle w:val="ListParagraph"/>
        <w:numPr>
          <w:ilvl w:val="0"/>
          <w:numId w:val="2"/>
        </w:numPr>
        <w:bidi/>
        <w:spacing w:after="70" w:before="0" w:line="300"/>
      </w:pP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الفحص في نقطة التصدير بالتطبيق، ويُسجَّل الرفض في التدقيق.</w:t>
      </w:r>
    </w:p>
    <w:p>
      <w:pPr>
        <w:bidi/>
        <w:spacing w:after="60" w:before="0"/>
      </w:pPr>
    </w:p>
    <w:p>
      <w:pPr>
        <w:pStyle w:val="Heading1"/>
        <w:bidi/>
      </w:pPr>
      <w:bookmarkStart w:name="_sec18" w:id="18"/>
      <w:r>
        <w:rPr>
          <w:rFonts w:ascii="Arial" w:cs="Arial" w:eastAsia="Arial" w:hAnsi="Arial"/>
          <w:b/>
          <w:bCs/>
          <w:color w:val="1F3A5F"/>
          <w:sz w:val="32"/>
          <w:szCs w:val="32"/>
          <w:rtl/>
        </w:rPr>
        <w:t xml:space="preserve">12. ما يُسمح به قبل المصادقة</w:t>
      </w:r>
      <w:bookmarkEnd w:id="18"/>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4932"/>
        <w:gridCol w:w="2192"/>
        <w:gridCol w:w="2740"/>
      </w:tblGrid>
      <w:tr>
        <w:trPr>
          <w:cantSplit/>
          <w:tblHeader/>
        </w:trPr>
        <w:tc>
          <w:tcPr>
            <w:tcW w:type="dxa" w:w="493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نقطة الدخول</w:t>
            </w:r>
          </w:p>
        </w:tc>
        <w:tc>
          <w:tcPr>
            <w:tcW w:type="dxa" w:w="219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تقبل بلا جلسة</w:t>
            </w:r>
          </w:p>
        </w:tc>
        <w:tc>
          <w:tcPr>
            <w:tcW w:type="dxa" w:w="274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تقبل بجلسة قبل MFA</w:t>
            </w:r>
          </w:p>
        </w:tc>
      </w:tr>
      <w:tr>
        <w:trPr>
          <w:cantSplit/>
        </w:trPr>
        <w:tc>
          <w:tcPr>
            <w:tcW w:type="dxa" w:w="49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صفحة الدخول وPOST الدخول</w:t>
            </w:r>
          </w:p>
        </w:tc>
        <w:tc>
          <w:tcPr>
            <w:tcW w:type="dxa" w:w="21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c>
          <w:tcPr>
            <w:tcW w:type="dxa" w:w="27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49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POST رمز MFA أو رمز الاسترداد</w:t>
            </w:r>
          </w:p>
        </w:tc>
        <w:tc>
          <w:tcPr>
            <w:tcW w:type="dxa" w:w="21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c>
          <w:tcPr>
            <w:tcW w:type="dxa" w:w="27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 5 دقائق</w:t>
            </w:r>
          </w:p>
        </w:tc>
      </w:tr>
      <w:tr>
        <w:trPr>
          <w:cantSplit/>
        </w:trPr>
        <w:tc>
          <w:tcPr>
            <w:tcW w:type="dxa" w:w="49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إعادة التعيين وفتح رابطها</w:t>
            </w:r>
          </w:p>
        </w:tc>
        <w:tc>
          <w:tcPr>
            <w:tcW w:type="dxa" w:w="21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c>
          <w:tcPr>
            <w:tcW w:type="dxa" w:w="27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49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فتح رابط الدعوة وإكمالها</w:t>
            </w:r>
          </w:p>
        </w:tc>
        <w:tc>
          <w:tcPr>
            <w:tcW w:type="dxa" w:w="21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c>
          <w:tcPr>
            <w:tcW w:type="dxa" w:w="27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49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الملفات الثابتة للواجهة</w:t>
            </w:r>
          </w:p>
        </w:tc>
        <w:tc>
          <w:tcPr>
            <w:tcW w:type="dxa" w:w="21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c>
          <w:tcPr>
            <w:tcW w:type="dxa" w:w="27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49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أي نقطة أخرى</w:t>
            </w:r>
          </w:p>
        </w:tc>
        <w:tc>
          <w:tcPr>
            <w:tcW w:type="dxa" w:w="21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c>
          <w:tcPr>
            <w:tcW w:type="dxa" w:w="27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bl>
    <w:p>
      <w:pPr>
        <w:bidi/>
        <w:spacing w:after="120" w:before="0"/>
      </w:pPr>
    </w:p>
    <w:p>
      <w:pPr>
        <w:bidi/>
        <w:spacing w:after="110" w:before="0" w:line="312"/>
      </w:pPr>
      <w:r>
        <w:rPr>
          <w:rFonts w:ascii="Arial" w:cs="Arial" w:eastAsia="Arial" w:hAnsi="Arial"/>
          <w:b w:val="false"/>
          <w:bCs w:val="false"/>
          <w:sz w:val="21"/>
          <w:szCs w:val="21"/>
          <w:rtl/>
        </w:rPr>
        <w:t xml:space="preserve">كل نقطة بلا جلسة تخضع لتقييد المعدل لكل عنوان IP (DOC-S04 §7). الاستجابات الموحّدة ورموز HTTP في DOC-B04.</w:t>
      </w:r>
    </w:p>
    <w:p>
      <w:pPr>
        <w:pStyle w:val="Heading1"/>
        <w:bidi/>
      </w:pPr>
      <w:bookmarkStart w:name="_sec19" w:id="19"/>
      <w:r>
        <w:rPr>
          <w:rFonts w:ascii="Arial" w:cs="Arial" w:eastAsia="Arial" w:hAnsi="Arial"/>
          <w:b/>
          <w:bCs/>
          <w:color w:val="1F3A5F"/>
          <w:sz w:val="32"/>
          <w:szCs w:val="32"/>
          <w:rtl/>
        </w:rPr>
        <w:t xml:space="preserve">13. القرارات المطلوبة</w:t>
      </w:r>
      <w:bookmarkEnd w:id="19"/>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60"/>
        <w:gridCol w:w="2009"/>
        <w:gridCol w:w="4883"/>
        <w:gridCol w:w="960"/>
        <w:gridCol w:w="1052"/>
      </w:tblGrid>
      <w:tr>
        <w:trPr>
          <w:cantSplit/>
          <w:tblHeader/>
        </w:trPr>
        <w:tc>
          <w:tcPr>
            <w:tcW w:type="dxa" w:w="96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w:t>
            </w:r>
          </w:p>
        </w:tc>
        <w:tc>
          <w:tcPr>
            <w:tcW w:type="dxa" w:w="200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السؤال</w:t>
            </w:r>
          </w:p>
        </w:tc>
        <w:tc>
          <w:tcPr>
            <w:tcW w:type="dxa" w:w="488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الافتراض المقترح</w:t>
            </w:r>
          </w:p>
        </w:tc>
        <w:tc>
          <w:tcPr>
            <w:tcW w:type="dxa" w:w="96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من يقرر</w:t>
            </w:r>
          </w:p>
        </w:tc>
        <w:tc>
          <w:tcPr>
            <w:tcW w:type="dxa" w:w="105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يعطّله</w:t>
            </w:r>
          </w:p>
        </w:tc>
      </w:tr>
      <w:tr>
        <w:trPr>
          <w:cantSplit/>
        </w:trPr>
        <w:tc>
          <w:tcPr>
            <w:tcW w:type="dxa" w:w="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DQ-F03-1</w:t>
            </w:r>
          </w:p>
        </w:tc>
        <w:tc>
          <w:tcPr>
            <w:tcW w:type="dxa" w:w="20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كيف يُغلق O-9 (20-database-design)؟</w:t>
            </w:r>
          </w:p>
        </w:tc>
        <w:tc>
          <w:tcPr>
            <w:tcW w:type="dxa" w:w="48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في S0، بإجراءات ضيقة بصفة tp_auth_exec على نمط ADR 0002، بلا usp_SetAuthContext، في ADR جديد</w:t>
            </w:r>
          </w:p>
        </w:tc>
        <w:tc>
          <w:tcPr>
            <w:tcW w:type="dxa" w:w="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المالك مع معماري القاعدة</w:t>
            </w:r>
          </w:p>
        </w:tc>
        <w:tc>
          <w:tcPr>
            <w:tcW w:type="dxa" w:w="10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الدعوة وإعادة التعيين وMFA في S0</w:t>
            </w:r>
          </w:p>
        </w:tc>
      </w:tr>
      <w:tr>
        <w:trPr>
          <w:cantSplit/>
        </w:trPr>
        <w:tc>
          <w:tcPr>
            <w:tcW w:type="dxa" w:w="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DQ-F03-2</w:t>
            </w:r>
          </w:p>
        </w:tc>
        <w:tc>
          <w:tcPr>
            <w:tcW w:type="dxa" w:w="20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كيف يحصل التطبيق على سر TOTP ومفتاحه قبل الربط؟</w:t>
            </w:r>
          </w:p>
        </w:tc>
        <w:tc>
          <w:tcPr>
            <w:tcW w:type="dxa" w:w="48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sec.usp_GetMfaChallenge لجلسة غير متحقَّقة عمرها 5 دقائق على الأكثر؛ المفتاح حسب DOC-S02</w:t>
            </w:r>
          </w:p>
        </w:tc>
        <w:tc>
          <w:tcPr>
            <w:tcW w:type="dxa" w:w="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معماري الأمن</w:t>
            </w:r>
          </w:p>
        </w:tc>
        <w:tc>
          <w:tcPr>
            <w:tcW w:type="dxa" w:w="10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MFA كله</w:t>
            </w:r>
          </w:p>
        </w:tc>
      </w:tr>
      <w:tr>
        <w:trPr>
          <w:cantSplit/>
        </w:trPr>
        <w:tc>
          <w:tcPr>
            <w:tcW w:type="dxa" w:w="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DQ-F03-3</w:t>
            </w:r>
          </w:p>
        </w:tc>
        <w:tc>
          <w:tcPr>
            <w:tcW w:type="dxa" w:w="20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أين يُستهلك رمز الاسترداد؟</w:t>
            </w:r>
          </w:p>
        </w:tc>
        <w:tc>
          <w:tcPr>
            <w:tcW w:type="dxa" w:w="48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داخل القاعدة بـ sec.usp_UseRecoveryCode، ثم DENY SELECT على CodeHash لـ tp_app</w:t>
            </w:r>
          </w:p>
        </w:tc>
        <w:tc>
          <w:tcPr>
            <w:tcW w:type="dxa" w:w="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معماري القاعدة</w:t>
            </w:r>
          </w:p>
        </w:tc>
        <w:tc>
          <w:tcPr>
            <w:tcW w:type="dxa" w:w="10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FR-PLT-011</w:t>
            </w:r>
          </w:p>
        </w:tc>
      </w:tr>
      <w:tr>
        <w:trPr>
          <w:cantSplit/>
        </w:trPr>
        <w:tc>
          <w:tcPr>
            <w:tcW w:type="dxa" w:w="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DQ-F03-4</w:t>
            </w:r>
          </w:p>
        </w:tc>
        <w:tc>
          <w:tcPr>
            <w:tcW w:type="dxa" w:w="20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هل يُربط مستخدم MfaEnabled = 0؟</w:t>
            </w:r>
          </w:p>
        </w:tc>
        <w:tc>
          <w:tcPr>
            <w:tcW w:type="dxa" w:w="48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لا: الربط يشترط MfaVerifiedAt لكل مستخدم غير خدمي، والتسجيل بإجراء؛ يتفق مع DQ-S01-3 ومع خطوة O-24 التالية (tools/dbgen/erd_open_items.py:155)</w:t>
            </w:r>
          </w:p>
        </w:tc>
        <w:tc>
          <w:tcPr>
            <w:tcW w:type="dxa" w:w="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المالك</w:t>
            </w:r>
          </w:p>
        </w:tc>
        <w:tc>
          <w:tcPr>
            <w:tcW w:type="dxa" w:w="10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BR-PLT-006</w:t>
            </w:r>
          </w:p>
        </w:tc>
      </w:tr>
      <w:tr>
        <w:trPr>
          <w:cantSplit/>
        </w:trPr>
        <w:tc>
          <w:tcPr>
            <w:tcW w:type="dxa" w:w="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DQ-F03-5</w:t>
            </w:r>
          </w:p>
        </w:tc>
        <w:tc>
          <w:tcPr>
            <w:tcW w:type="dxa" w:w="20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قبول الدعوة</w:t>
            </w:r>
          </w:p>
        </w:tc>
        <w:tc>
          <w:tcPr>
            <w:tcW w:type="dxa" w:w="48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sec.usp_CheckUserToken ثم sec.usp_CompleteInvitation ذريًا</w:t>
            </w:r>
          </w:p>
        </w:tc>
        <w:tc>
          <w:tcPr>
            <w:tcW w:type="dxa" w:w="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معماري القاعدة</w:t>
            </w:r>
          </w:p>
        </w:tc>
        <w:tc>
          <w:tcPr>
            <w:tcW w:type="dxa" w:w="10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FR-PLT-013، خروج S0</w:t>
            </w:r>
          </w:p>
        </w:tc>
      </w:tr>
      <w:tr>
        <w:trPr>
          <w:cantSplit/>
        </w:trPr>
        <w:tc>
          <w:tcPr>
            <w:tcW w:type="dxa" w:w="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DQ-F03-6</w:t>
            </w:r>
          </w:p>
        </w:tc>
        <w:tc>
          <w:tcPr>
            <w:tcW w:type="dxa" w:w="20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الخروج في مشترك معلّق</w:t>
            </w:r>
          </w:p>
        </w:tc>
        <w:tc>
          <w:tcPr>
            <w:tcW w:type="dxa" w:w="48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sec.usp_EndSession بصفة tp_auth_exec لكل أسباب الإنهاء؛ جزء من DQ-F04-8</w:t>
            </w:r>
          </w:p>
        </w:tc>
        <w:tc>
          <w:tcPr>
            <w:tcW w:type="dxa" w:w="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معماري القاعدة</w:t>
            </w:r>
          </w:p>
        </w:tc>
        <w:tc>
          <w:tcPr>
            <w:tcW w:type="dxa" w:w="10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FR-PLT-014</w:t>
            </w:r>
          </w:p>
        </w:tc>
      </w:tr>
      <w:tr>
        <w:trPr>
          <w:cantSplit/>
        </w:trPr>
        <w:tc>
          <w:tcPr>
            <w:tcW w:type="dxa" w:w="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DQ-F03-7</w:t>
            </w:r>
          </w:p>
        </w:tc>
        <w:tc>
          <w:tcPr>
            <w:tcW w:type="dxa" w:w="20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إعادة التعيين</w:t>
            </w:r>
          </w:p>
        </w:tc>
        <w:tc>
          <w:tcPr>
            <w:tcW w:type="dxa" w:w="48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sec.usp_RequestPasswordReset وsec.usp_GetPasswordHistoryParams وsec.usp_ResetPassword</w:t>
            </w:r>
          </w:p>
        </w:tc>
        <w:tc>
          <w:tcPr>
            <w:tcW w:type="dxa" w:w="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معماري القاعدة</w:t>
            </w:r>
          </w:p>
        </w:tc>
        <w:tc>
          <w:tcPr>
            <w:tcW w:type="dxa" w:w="10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FR-PLT-013</w:t>
            </w:r>
          </w:p>
        </w:tc>
      </w:tr>
      <w:tr>
        <w:trPr>
          <w:cantSplit/>
        </w:trPr>
        <w:tc>
          <w:tcPr>
            <w:tcW w:type="dxa" w:w="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DQ-F03-8</w:t>
            </w:r>
          </w:p>
        </w:tc>
        <w:tc>
          <w:tcPr>
            <w:tcW w:type="dxa" w:w="20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إعادة تسجيل MFA بعد التصفير</w:t>
            </w:r>
          </w:p>
        </w:tc>
        <w:tc>
          <w:tcPr>
            <w:tcW w:type="dxa" w:w="48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رابط 24 ساعة بغرض جديد MFA_REENROLMENT في sec.UserToken.Purpose، وتعديل FR-PLT-013 لرسالة ثالثة</w:t>
            </w:r>
          </w:p>
        </w:tc>
        <w:tc>
          <w:tcPr>
            <w:tcW w:type="dxa" w:w="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المالك ومسؤول الأمن</w:t>
            </w:r>
          </w:p>
        </w:tc>
        <w:tc>
          <w:tcPr>
            <w:tcW w:type="dxa" w:w="10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BR-PLT-006</w:t>
            </w:r>
          </w:p>
        </w:tc>
      </w:tr>
      <w:tr>
        <w:trPr>
          <w:cantSplit/>
        </w:trPr>
        <w:tc>
          <w:tcPr>
            <w:tcW w:type="dxa" w:w="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DQ-F03-9</w:t>
            </w:r>
          </w:p>
        </w:tc>
        <w:tc>
          <w:tcPr>
            <w:tcW w:type="dxa" w:w="20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حساب الخدمة يُقفل بمحاولات خاطئة</w:t>
            </w:r>
          </w:p>
        </w:tc>
        <w:tc>
          <w:tcPr>
            <w:tcW w:type="dxa" w:w="48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usp_StartSession يعامل IsSystemUser = 1 كحالة لا تدخل بلا عدّ</w:t>
            </w:r>
          </w:p>
        </w:tc>
        <w:tc>
          <w:tcPr>
            <w:tcW w:type="dxa" w:w="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معماري القاعدة</w:t>
            </w:r>
          </w:p>
        </w:tc>
        <w:tc>
          <w:tcPr>
            <w:tcW w:type="dxa" w:w="10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المهام الخلفية</w:t>
            </w:r>
          </w:p>
        </w:tc>
      </w:tr>
      <w:tr>
        <w:trPr>
          <w:cantSplit/>
        </w:trPr>
        <w:tc>
          <w:tcPr>
            <w:tcW w:type="dxa" w:w="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DQ-F03-10</w:t>
            </w:r>
          </w:p>
        </w:tc>
        <w:tc>
          <w:tcPr>
            <w:tcW w:type="dxa" w:w="20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 يكتب aud.AuditLog لمحاولات الدخول الفاشلة قبل وجود ربط؟</w:t>
            </w:r>
          </w:p>
        </w:tc>
        <w:tc>
          <w:tcPr>
            <w:tcW w:type="dxa" w:w="48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منفّذ (2026-10-13، ADR 0007): قادح على sec.LoginAttempt يكتب صف التدقيق مع كل محاولة، ولم يلزم منح tp_auth شيئًا. المقترح الأصلي: الإجراءات تكتب صف التدقيق مع LoginAttempt، ويمنح tp_auth INSERT على aud.AuditLog؛ يتفق مع tools/dbgen/erd_open_items.py:155</w:t>
            </w:r>
          </w:p>
        </w:tc>
        <w:tc>
          <w:tcPr>
            <w:tcW w:type="dxa" w:w="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معماري القاعدة</w:t>
            </w:r>
          </w:p>
        </w:tc>
        <w:tc>
          <w:tcPr>
            <w:tcW w:type="dxa" w:w="10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FR-PLT-022، AC-PLT-2</w:t>
            </w:r>
          </w:p>
        </w:tc>
      </w:tr>
      <w:tr>
        <w:trPr>
          <w:cantSplit/>
        </w:trPr>
        <w:tc>
          <w:tcPr>
            <w:tcW w:type="dxa" w:w="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DQ-F03-11</w:t>
            </w:r>
          </w:p>
        </w:tc>
        <w:tc>
          <w:tcPr>
            <w:tcW w:type="dxa" w:w="20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خطأ المستخدم الذي أثبت كلمة مروره ورُفض بحالة المشترك</w:t>
            </w:r>
          </w:p>
        </w:tc>
        <w:tc>
          <w:tcPr>
            <w:tcW w:type="dxa" w:w="48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يُقبل 50006 المقترح في DQ-F04-3 بشرط رفعه بعد نجاح المقارنة فقط، مع تعديل docs/adr/0002-login-and-session-bound-context.md:20</w:t>
            </w:r>
          </w:p>
        </w:tc>
        <w:tc>
          <w:tcPr>
            <w:tcW w:type="dxa" w:w="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المالك</w:t>
            </w:r>
          </w:p>
        </w:tc>
        <w:tc>
          <w:tcPr>
            <w:tcW w:type="dxa" w:w="10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DOC-B04، §5.3</w:t>
            </w:r>
          </w:p>
        </w:tc>
      </w:tr>
    </w:tbl>
    <w:p>
      <w:pPr>
        <w:bidi/>
        <w:spacing w:after="120" w:before="0"/>
      </w:pPr>
    </w:p>
    <w:p>
      <w:pPr>
        <w:pStyle w:val="Heading1"/>
        <w:bidi/>
      </w:pPr>
      <w:bookmarkStart w:name="_sec20" w:id="20"/>
      <w:r>
        <w:rPr>
          <w:rFonts w:ascii="Arial" w:cs="Arial" w:eastAsia="Arial" w:hAnsi="Arial"/>
          <w:b/>
          <w:bCs/>
          <w:color w:val="1F3A5F"/>
          <w:sz w:val="32"/>
          <w:szCs w:val="32"/>
          <w:rtl/>
        </w:rPr>
        <w:t xml:space="preserve">14. تعارضات وفجوات في المصادر</w:t>
      </w:r>
      <w:bookmarkEnd w:id="20"/>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62"/>
        <w:gridCol w:w="4452"/>
        <w:gridCol w:w="4450"/>
      </w:tblGrid>
      <w:tr>
        <w:trPr>
          <w:cantSplit/>
          <w:tblHeader/>
        </w:trPr>
        <w:tc>
          <w:tcPr>
            <w:tcW w:type="dxa" w:w="96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445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الموضع</w:t>
            </w:r>
          </w:p>
        </w:tc>
        <w:tc>
          <w:tcPr>
            <w:tcW w:type="dxa" w:w="445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الملاحظة</w:t>
            </w:r>
          </w:p>
        </w:tc>
      </w:tr>
      <w:tr>
        <w:trPr>
          <w:cantSplit/>
        </w:trPr>
        <w:tc>
          <w:tcPr>
            <w:tcW w:type="dxa" w:w="96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تأجيل ما قبل المصادقة إلى S1</w:t>
            </w:r>
          </w:p>
        </w:tc>
        <w:tc>
          <w:tcPr>
            <w:tcW w:type="dxa" w:w="44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docs/20-database-design.md:41 و:537 و:551</w:t>
            </w:r>
          </w:p>
        </w:tc>
        <w:tc>
          <w:tcPr>
            <w:tcW w:type="dxa" w:w="44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يناقض S0 في docs/10-detailed-analysis/00-overview-and-cross-cutting.md:194، وتجاوزه ADR 0002 جزئيًا (§4)</w:t>
            </w:r>
          </w:p>
        </w:tc>
      </w:tr>
      <w:tr>
        <w:trPr>
          <w:cantSplit/>
        </w:trPr>
        <w:tc>
          <w:tcPr>
            <w:tcW w:type="dxa" w:w="96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منح tp_app</w:t>
            </w:r>
          </w:p>
        </w:tc>
        <w:tc>
          <w:tcPr>
            <w:tcW w:type="dxa" w:w="44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docs/20-database-design.md:267</w:t>
            </w:r>
          </w:p>
        </w:tc>
        <w:tc>
          <w:tcPr>
            <w:tcW w:type="dxa" w:w="44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يذكر EXECUTE على usp_SetSessionContext فقط، والمنفّذ يمنح أربعة إجراءات (030:229-232)</w:t>
            </w:r>
          </w:p>
        </w:tc>
      </w:tr>
      <w:tr>
        <w:trPr>
          <w:cantSplit/>
        </w:trPr>
        <w:tc>
          <w:tcPr>
            <w:tcW w:type="dxa" w:w="96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سجل الدخول قبل MFA</w:t>
            </w:r>
          </w:p>
        </w:tc>
        <w:tc>
          <w:tcPr>
            <w:tcW w:type="dxa" w:w="44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db/static/030_session_context.sql:119</w:t>
            </w:r>
          </w:p>
        </w:tc>
        <w:tc>
          <w:tcPr>
            <w:tcW w:type="dxa" w:w="44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LOGIN_SUCCESS يعني قبول كلمة المرور لا اكتمال الدخول؛ يلزم توضيحه في FR-PLT-022</w:t>
            </w:r>
          </w:p>
        </w:tc>
      </w:tr>
      <w:tr>
        <w:trPr>
          <w:cantSplit/>
        </w:trPr>
        <w:tc>
          <w:tcPr>
            <w:tcW w:type="dxa" w:w="96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المحاولة على مشترك غير مقبول</w:t>
            </w:r>
          </w:p>
        </w:tc>
        <w:tc>
          <w:tcPr>
            <w:tcW w:type="dxa" w:w="44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db/static/030_session_context.sql:67-69</w:t>
            </w:r>
          </w:p>
        </w:tc>
        <w:tc>
          <w:tcPr>
            <w:tcW w:type="dxa" w:w="44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تُسجَّل في sec.LoginAttempt</w:t>
            </w:r>
          </w:p>
        </w:tc>
      </w:tr>
      <w:tr>
        <w:trPr>
          <w:cantSplit/>
        </w:trPr>
        <w:tc>
          <w:tcPr>
            <w:tcW w:type="dxa" w:w="96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التدقيق في AC-PLT-2</w:t>
            </w:r>
          </w:p>
        </w:tc>
        <w:tc>
          <w:tcPr>
            <w:tcW w:type="dxa" w:w="44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docs/10-detailed-analysis/10-m0-m1-platform-organization.md:655</w:t>
            </w:r>
          </w:p>
        </w:tc>
        <w:tc>
          <w:tcPr>
            <w:tcW w:type="dxa" w:w="44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يعدّ الأحداث في «سجل التدقيق»، والإجراء يكتبها في sec.LoginAttempt فقط (030:123-129)</w:t>
            </w:r>
          </w:p>
        </w:tc>
      </w:tr>
      <w:tr>
        <w:trPr>
          <w:cantSplit/>
        </w:trPr>
        <w:tc>
          <w:tcPr>
            <w:tcW w:type="dxa" w:w="96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خطوات الدخول في التحليل</w:t>
            </w:r>
          </w:p>
        </w:tc>
        <w:tc>
          <w:tcPr>
            <w:tcW w:type="dxa" w:w="44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docs/10-detailed-analysis/10-m0-m1-platform-organization.md:402-403</w:t>
            </w:r>
          </w:p>
        </w:tc>
        <w:tc>
          <w:tcPr>
            <w:tcW w:type="dxa" w:w="44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«يُشعَر المدير» عند كل قفل، و§9.3 في السطر 532 يقصره على القفل الثالث؛ والتسليم داخل المنصة يبدأ في S1 (السطر 539)</w:t>
            </w:r>
          </w:p>
        </w:tc>
      </w:tr>
      <w:tr>
        <w:trPr>
          <w:cantSplit/>
        </w:trPr>
        <w:tc>
          <w:tcPr>
            <w:tcW w:type="dxa" w:w="96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الخطأ الواحد</w:t>
            </w:r>
          </w:p>
        </w:tc>
        <w:tc>
          <w:tcPr>
            <w:tcW w:type="dxa" w:w="44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docs/adr/0002-login-and-session-bound-context.md:20</w:t>
            </w:r>
          </w:p>
        </w:tc>
        <w:tc>
          <w:tcPr>
            <w:tcW w:type="dxa" w:w="44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عُدّل ADR 0002 بعد DQ-F03-11: 50005 لكل فشل قبل إثبات كلمة المرور، و50006 بعده فقط (T42)</w:t>
            </w:r>
          </w:p>
        </w:tc>
      </w:tr>
      <w:tr>
        <w:trPr>
          <w:cantSplit/>
        </w:trPr>
        <w:tc>
          <w:tcPr>
            <w:tcW w:type="dxa" w:w="96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حالة المشترك عند الدخول</w:t>
            </w:r>
          </w:p>
        </w:tc>
        <w:tc>
          <w:tcPr>
            <w:tcW w:type="dxa" w:w="44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db/static/030_session_context.sql:67-68</w:t>
            </w:r>
          </w:p>
        </w:tc>
        <w:tc>
          <w:tcPr>
            <w:tcW w:type="dxa" w:w="44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أُغلق O-18 بالخيار (أ): sec.fn_TenantLoginAllowed (T40 وT41)</w:t>
            </w:r>
          </w:p>
        </w:tc>
      </w:tr>
    </w:tbl>
    <w:p>
      <w:pPr>
        <w:bidi/>
        <w:spacing w:after="120" w:before="0"/>
      </w:pPr>
    </w:p>
    <w:p>
      <w:pPr>
        <w:pStyle w:val="Heading1"/>
        <w:bidi/>
      </w:pPr>
      <w:bookmarkStart w:name="_sec21" w:id="21"/>
      <w:r>
        <w:rPr>
          <w:rFonts w:ascii="Arial" w:cs="Arial" w:eastAsia="Arial" w:hAnsi="Arial"/>
          <w:b/>
          <w:bCs/>
          <w:color w:val="1F3A5F"/>
          <w:sz w:val="32"/>
          <w:szCs w:val="32"/>
          <w:rtl/>
        </w:rPr>
        <w:t xml:space="preserve">15. التتبع</w:t>
      </w:r>
      <w:bookmarkEnd w:id="21"/>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062"/>
        <w:gridCol w:w="3186"/>
        <w:gridCol w:w="5616"/>
      </w:tblGrid>
      <w:tr>
        <w:trPr>
          <w:cantSplit/>
          <w:tblHeader/>
        </w:trPr>
        <w:tc>
          <w:tcPr>
            <w:tcW w:type="dxa" w:w="106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 في هذه الوثيقة</w:t>
            </w:r>
          </w:p>
        </w:tc>
        <w:tc>
          <w:tcPr>
            <w:tcW w:type="dxa" w:w="318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المتطلب أو القاعدة أو القرار</w:t>
            </w:r>
          </w:p>
        </w:tc>
        <w:tc>
          <w:tcPr>
            <w:tcW w:type="dxa" w:w="561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r>
      <w:tr>
        <w:trPr>
          <w:cantSplit/>
        </w:trPr>
        <w:tc>
          <w:tcPr>
            <w:tcW w:type="dxa" w:w="106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31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O-9 (20-database-design)، ADR 0002</w:t>
            </w:r>
          </w:p>
        </w:tc>
        <w:tc>
          <w:tcPr>
            <w:tcW w:type="dxa" w:w="561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docs/20-database-design.md:537</w:t>
            </w:r>
          </w:p>
        </w:tc>
      </w:tr>
      <w:tr>
        <w:trPr>
          <w:cantSplit/>
        </w:trPr>
        <w:tc>
          <w:tcPr>
            <w:tcW w:type="dxa" w:w="106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§5.1 الخطوة 1</w:t>
            </w:r>
          </w:p>
        </w:tc>
        <w:tc>
          <w:tcPr>
            <w:tcW w:type="dxa" w:w="31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FR-PLT-046</w:t>
            </w:r>
          </w:p>
        </w:tc>
        <w:tc>
          <w:tcPr>
            <w:tcW w:type="dxa" w:w="561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10-m0-m1-platform-organization.md:148</w:t>
            </w:r>
          </w:p>
        </w:tc>
      </w:tr>
      <w:tr>
        <w:trPr>
          <w:cantSplit/>
        </w:trPr>
        <w:tc>
          <w:tcPr>
            <w:tcW w:type="dxa" w:w="106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§5.2 الخطوات 2-6</w:t>
            </w:r>
          </w:p>
        </w:tc>
        <w:tc>
          <w:tcPr>
            <w:tcW w:type="dxa" w:w="31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FR-PLT-010، FR-PLT-012، BR-PLT-005، O-01 (erd_open_items)</w:t>
            </w:r>
          </w:p>
        </w:tc>
        <w:tc>
          <w:tcPr>
            <w:tcW w:type="dxa" w:w="561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030:23-141، T33، T34</w:t>
            </w:r>
          </w:p>
        </w:tc>
      </w:tr>
      <w:tr>
        <w:trPr>
          <w:cantSplit/>
        </w:trPr>
        <w:tc>
          <w:tcPr>
            <w:tcW w:type="dxa" w:w="106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§5.3</w:t>
            </w:r>
          </w:p>
        </w:tc>
        <w:tc>
          <w:tcPr>
            <w:tcW w:type="dxa" w:w="31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BR-PLT-005</w:t>
            </w:r>
          </w:p>
        </w:tc>
        <w:tc>
          <w:tcPr>
            <w:tcW w:type="dxa" w:w="561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030:78-121</w:t>
            </w:r>
          </w:p>
        </w:tc>
      </w:tr>
      <w:tr>
        <w:trPr>
          <w:cantSplit/>
        </w:trPr>
        <w:tc>
          <w:tcPr>
            <w:tcW w:type="dxa" w:w="106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31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FR-PLT-011، BR-PLT-006، O-24 (erd_open_items)</w:t>
            </w:r>
          </w:p>
        </w:tc>
        <w:tc>
          <w:tcPr>
            <w:tcW w:type="dxa" w:w="561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030:143-163، T36</w:t>
            </w:r>
          </w:p>
        </w:tc>
      </w:tr>
      <w:tr>
        <w:trPr>
          <w:cantSplit/>
        </w:trPr>
        <w:tc>
          <w:tcPr>
            <w:tcW w:type="dxa" w:w="106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§6.3 و§7</w:t>
            </w:r>
          </w:p>
        </w:tc>
        <w:tc>
          <w:tcPr>
            <w:tcW w:type="dxa" w:w="31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FR-PLT-014</w:t>
            </w:r>
          </w:p>
        </w:tc>
        <w:tc>
          <w:tcPr>
            <w:tcW w:type="dxa" w:w="561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030:116-118 و269-283، T32، T37</w:t>
            </w:r>
          </w:p>
        </w:tc>
      </w:tr>
      <w:tr>
        <w:trPr>
          <w:cantSplit/>
        </w:trPr>
        <w:tc>
          <w:tcPr>
            <w:tcW w:type="dxa" w:w="106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c>
          <w:tcPr>
            <w:tcW w:type="dxa" w:w="31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FR-PLT-013، FR-PLT-016</w:t>
            </w:r>
          </w:p>
        </w:tc>
        <w:tc>
          <w:tcPr>
            <w:tcW w:type="dxa" w:w="561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db/model/10-platform.model:244-258</w:t>
            </w:r>
          </w:p>
        </w:tc>
      </w:tr>
      <w:tr>
        <w:trPr>
          <w:cantSplit/>
        </w:trPr>
        <w:tc>
          <w:tcPr>
            <w:tcW w:type="dxa" w:w="106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w:t>
            </w:r>
          </w:p>
        </w:tc>
        <w:tc>
          <w:tcPr>
            <w:tcW w:type="dxa" w:w="31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FR-PLT-013، BR-PLT-004</w:t>
            </w:r>
          </w:p>
        </w:tc>
        <w:tc>
          <w:tcPr>
            <w:tcW w:type="dxa" w:w="561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db/model/10-platform.model:260-264</w:t>
            </w:r>
          </w:p>
        </w:tc>
      </w:tr>
      <w:tr>
        <w:trPr>
          <w:cantSplit/>
        </w:trPr>
        <w:tc>
          <w:tcPr>
            <w:tcW w:type="dxa" w:w="106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31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BR-PLT-006، BR-PLT-009</w:t>
            </w:r>
          </w:p>
        </w:tc>
        <w:tc>
          <w:tcPr>
            <w:tcW w:type="dxa" w:w="561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10-m0-m1-platform-organization.md:232 و:534</w:t>
            </w:r>
          </w:p>
        </w:tc>
      </w:tr>
      <w:tr>
        <w:trPr>
          <w:cantSplit/>
        </w:trPr>
        <w:tc>
          <w:tcPr>
            <w:tcW w:type="dxa" w:w="106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w:t>
            </w:r>
          </w:p>
        </w:tc>
        <w:tc>
          <w:tcPr>
            <w:tcW w:type="dxa" w:w="31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FR-PLT-014، FR-PLT-019</w:t>
            </w:r>
          </w:p>
        </w:tc>
        <w:tc>
          <w:tcPr>
            <w:tcW w:type="dxa" w:w="561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10-m0-m1-platform-organization.md:116</w:t>
            </w:r>
          </w:p>
        </w:tc>
      </w:tr>
      <w:tr>
        <w:trPr>
          <w:cantSplit/>
        </w:trPr>
        <w:tc>
          <w:tcPr>
            <w:tcW w:type="dxa" w:w="106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31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FR-PLT-012، FR-PLT-021</w:t>
            </w:r>
          </w:p>
        </w:tc>
        <w:tc>
          <w:tcPr>
            <w:tcW w:type="dxa" w:w="561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10-m0-m1-platform-organization.md:114 و:123</w:t>
            </w:r>
          </w:p>
        </w:tc>
      </w:tr>
    </w:tbl>
    <w:p>
      <w:pPr>
        <w:bidi/>
        <w:spacing w:after="120" w:before="0"/>
      </w:pPr>
    </w:p>
    <w:sectPr>
      <w:headerReference w:type="default" r:id="rId7"/>
      <w:footerReference w:type="default" r:id="rId8"/>
      <w:pgSz w:w="11906" w:h="16838" w:orient="portrait"/>
      <w:pgMar w:top="1134" w:right="1021" w:bottom="1134" w:left="1021" w:header="500" w:footer="500" w:gutter="0"/>
      <w:pgNumType/>
      <w:bidi/>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Arial" w:cs="Arial" w:eastAsia="Arial" w:hAnsi="Arial"/>
        <w:color w:val="5B6670"/>
        <w:sz w:val="17"/>
        <w:szCs w:val="17"/>
        <w:rtl/>
      </w:rPr>
      <w:t xml:space="preserve">صفحة </w:t>
    </w:r>
    <w:r>
      <w:rPr>
        <w:rFonts w:ascii="Arial" w:cs="Arial" w:eastAsia="Arial" w:hAnsi="Arial"/>
        <w:color w:val="5B6670"/>
        <w:sz w:val="17"/>
        <w:szCs w:val="17"/>
        <w:rtl/>
      </w:rPr>
      <w:fldChar w:fldCharType="begin"/>
      <w:instrText xml:space="preserve">PAGE</w:instrText>
      <w:fldChar w:fldCharType="separate"/>
      <w:fldChar w:fldCharType="end"/>
    </w:r>
    <w:r>
      <w:rPr>
        <w:rFonts w:ascii="Arial" w:cs="Arial" w:eastAsia="Arial" w:hAnsi="Arial"/>
        <w:color w:val="5B6670"/>
        <w:sz w:val="17"/>
        <w:szCs w:val="17"/>
        <w:rtl/>
      </w:rPr>
      <w:t xml:space="preserve"> من </w:t>
    </w:r>
    <w:r>
      <w:rPr>
        <w:rFonts w:ascii="Arial" w:cs="Arial" w:eastAsia="Arial" w:hAnsi="Arial"/>
        <w:color w:val="5B6670"/>
        <w:sz w:val="17"/>
        <w:szCs w:val="17"/>
        <w:rtl/>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9D6" w:sz="4" w:space="4"/>
      </w:pBdr>
      <w:bidi/>
      <w:spacing w:after="0"/>
    </w:pPr>
    <w:r>
      <w:rPr>
        <w:rFonts w:ascii="Arial" w:cs="Arial" w:eastAsia="Arial" w:hAnsi="Arial"/>
        <w:color w:val="5B6670"/>
        <w:sz w:val="17"/>
        <w:szCs w:val="17"/>
        <w:rtl/>
      </w:rPr>
      <w:t xml:space="preserve">DOC-F03 · BankFas · مستندات الجاهزية P0 · 0.1 مسودة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74" w:hanging="284"/>
      </w:pPr>
    </w:lvl>
    <w:lvl w:ilvl="1" w15:tentative="1">
      <w:start w:val="1"/>
      <w:numFmt w:val="bullet"/>
      <w:lvlText w:val="–"/>
      <w:lvlJc w:val="left"/>
      <w:pPr>
        <w:ind w:left="1028" w:hanging="284"/>
      </w:pPr>
    </w:lvl>
    <w:lvl w:ilvl="2" w15:tentative="1">
      <w:start w:val="1"/>
      <w:numFmt w:val="bullet"/>
      <w:lvlText w:val="·"/>
      <w:lvlJc w:val="left"/>
      <w:pPr>
        <w:ind w:left="1482" w:hanging="284"/>
      </w:pPr>
    </w:lvl>
    <w:lvl w:ilvl="3" w15:tentative="1">
      <w:start w:val="1"/>
      <w:numFmt w:val="bullet"/>
      <w:lvlText w:val="·"/>
      <w:lvlJc w:val="left"/>
      <w:pPr>
        <w:ind w:left="1936" w:hanging="284"/>
      </w:pPr>
    </w:lvl>
  </w:abstractNum>
  <w:abstractNum w:abstractNumId="3"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4"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tl/>
        <w:lang w:val="ar-SA" w:bidi="ar-SA"/>
      </w:rPr>
    </w:rPrDefault>
    <w:pPrDefault>
      <w:pPr>
        <w:bidi/>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bidi/>
      <w:spacing w:after="160" w:before="0"/>
    </w:pPr>
    <w:rPr>
      <w:b/>
      <w:bCs/>
      <w:color w:val="1F3A5F"/>
      <w:sz w:val="48"/>
      <w:szCs w:val="48"/>
    </w:rPr>
  </w:style>
  <w:style w:type="paragraph" w:styleId="Heading1">
    <w:name w:val="heading 1"/>
    <w:basedOn w:val="Normal"/>
    <w:next w:val="Normal"/>
    <w:qFormat/>
    <w:pPr>
      <w:keepNext/>
      <w:pBdr>
        <w:bottom w:val="single" w:color="1F3A5F" w:sz="8" w:space="3"/>
      </w:pBdr>
      <w:bidi/>
      <w:spacing w:after="140" w:before="380"/>
      <w:outlineLvl w:val="0"/>
    </w:pPr>
    <w:rPr>
      <w:b/>
      <w:bCs/>
      <w:color w:val="1F3A5F"/>
      <w:sz w:val="32"/>
      <w:szCs w:val="32"/>
    </w:rPr>
  </w:style>
  <w:style w:type="paragraph" w:styleId="Heading2">
    <w:name w:val="heading 2"/>
    <w:basedOn w:val="Normal"/>
    <w:next w:val="Normal"/>
    <w:qFormat/>
    <w:pPr>
      <w:keepNext/>
      <w:bidi/>
      <w:spacing w:after="100" w:before="260"/>
      <w:outlineLvl w:val="1"/>
    </w:pPr>
    <w:rPr>
      <w:b/>
      <w:bCs/>
      <w:color w:val="2B5C8A"/>
      <w:sz w:val="26"/>
      <w:szCs w:val="26"/>
    </w:rPr>
  </w:style>
  <w:style w:type="paragraph" w:styleId="Heading3">
    <w:name w:val="heading 3"/>
    <w:basedOn w:val="Normal"/>
    <w:next w:val="Normal"/>
    <w:qFormat/>
    <w:pPr>
      <w:keepNext/>
      <w:bidi/>
      <w:spacing w:after="80" w:before="200"/>
      <w:outlineLvl w:val="2"/>
    </w:pPr>
    <w:rPr>
      <w:b/>
      <w:bCs/>
      <w:color w:val="2B5C8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f3c1caf93d070e983bd59bf77d01462873372b1.png"/><Relationship Id="rId10" Type="http://schemas.openxmlformats.org/officeDocument/2006/relationships/image" Target="media/f39c206e397256e54a7bf7b8c82cd2dda262758c.png"/><Relationship Id="rId11" Type="http://schemas.openxmlformats.org/officeDocument/2006/relationships/image" Target="media/06df04cd7edcfbda579873b664f7a22e30251b11.png"/><Relationship Id="rId12" Type="http://schemas.openxmlformats.org/officeDocument/2006/relationships/image" Target="media/5e99eaefe25c11a560fc71578c63f8712cd6affb.png"/><Relationship Id="rId13" Type="http://schemas.openxmlformats.org/officeDocument/2006/relationships/image" Target="media/16d201c245a872733cf5a89f2845fbd1fe2d953a.png"/><Relationship Id="rId14" Type="http://schemas.openxmlformats.org/officeDocument/2006/relationships/image" Target="media/11d09e95fdd8ce8519f181dbb5c9734c31f18999.png"/><Relationship Id="rId15" Type="http://schemas.openxmlformats.org/officeDocument/2006/relationships/image" Target="media/ebb9614d653596e01fff1923bfac79926e5e8021.png"/><Relationship Id="rId16" Type="http://schemas.openxmlformats.org/officeDocument/2006/relationships/image" Target="media/3769af6462153a0ab7b9a11a0d0210bb75a91350.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DOC-F03 — تسلسل الدخول وMFA والاسترداد</dc:title>
  <dc:creator>Claude</dc:creator>
  <dc:description>BankFas database design document</dc:description>
  <cp:lastModifiedBy>Un-named</cp:lastModifiedBy>
  <cp:revision>1</cp:revision>
  <dcterms:created xsi:type="dcterms:W3CDTF">2026-10-21T07:21:20.329Z</dcterms:created>
  <dcterms:modified xsi:type="dcterms:W3CDTF">2026-10-21T07:21:20.330Z</dcterms:modified>
</cp:coreProperties>
</file>

<file path=docProps/custom.xml><?xml version="1.0" encoding="utf-8"?>
<Properties xmlns="http://schemas.openxmlformats.org/officeDocument/2006/custom-properties" xmlns:vt="http://schemas.openxmlformats.org/officeDocument/2006/docPropsVTypes"/>
</file>