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DOC-S03 — معمارية الأمن والمصادقة والجلسات (سلسلة الثقة من الهوية إلى سياق المشترك)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سلسلة الثقة</w:t>
        </w:r>
      </w:hyperlink>
    </w:p>
    <w:p>
      <w:pPr>
        <w:bidi/>
        <w:spacing w:after="50" w:before="0"/>
        <w:ind w:left="0"/>
      </w:pPr>
      <w:hyperlink w:history="1" w:anchor="_sec3">
        <w:r>
          <w:rPr>
            <w:rFonts w:ascii="Arial" w:cs="Arial" w:eastAsia="Arial" w:hAnsi="Arial"/>
            <w:b/>
            <w:bCs/>
            <w:color w:val="1F3A5F"/>
            <w:sz w:val="20"/>
            <w:szCs w:val="20"/>
            <w:rtl/>
          </w:rPr>
          <w:t xml:space="preserve">3. رمز الجلسة</w:t>
        </w:r>
      </w:hyperlink>
    </w:p>
    <w:p>
      <w:pPr>
        <w:bidi/>
        <w:spacing w:after="50" w:before="0"/>
        <w:ind w:left="0"/>
      </w:pPr>
      <w:hyperlink w:history="1" w:anchor="_sec4">
        <w:r>
          <w:rPr>
            <w:rFonts w:ascii="Arial" w:cs="Arial" w:eastAsia="Arial" w:hAnsi="Arial"/>
            <w:b/>
            <w:bCs/>
            <w:color w:val="1F3A5F"/>
            <w:sz w:val="20"/>
            <w:szCs w:val="20"/>
            <w:rtl/>
          </w:rPr>
          <w:t xml:space="preserve">4. الكوكي على العنوان الفرعي</w:t>
        </w:r>
      </w:hyperlink>
    </w:p>
    <w:p>
      <w:pPr>
        <w:bidi/>
        <w:spacing w:after="50" w:before="0"/>
        <w:ind w:left="0"/>
      </w:pPr>
      <w:hyperlink w:history="1" w:anchor="_sec5">
        <w:r>
          <w:rPr>
            <w:rFonts w:ascii="Arial" w:cs="Arial" w:eastAsia="Arial" w:hAnsi="Arial"/>
            <w:b/>
            <w:bCs/>
            <w:color w:val="1F3A5F"/>
            <w:sz w:val="20"/>
            <w:szCs w:val="20"/>
            <w:rtl/>
          </w:rPr>
          <w:t xml:space="preserve">5. الحماية من CSRF</w:t>
        </w:r>
      </w:hyperlink>
    </w:p>
    <w:p>
      <w:pPr>
        <w:bidi/>
        <w:spacing w:after="50" w:before="0"/>
        <w:ind w:left="0"/>
      </w:pPr>
      <w:hyperlink w:history="1" w:anchor="_sec6">
        <w:r>
          <w:rPr>
            <w:rFonts w:ascii="Arial" w:cs="Arial" w:eastAsia="Arial" w:hAnsi="Arial"/>
            <w:b/>
            <w:bCs/>
            <w:color w:val="1F3A5F"/>
            <w:sz w:val="20"/>
            <w:szCs w:val="20"/>
            <w:rtl/>
          </w:rPr>
          <w:t xml:space="preserve">6. CSP وترويسات الأمان</w:t>
        </w:r>
      </w:hyperlink>
    </w:p>
    <w:p>
      <w:pPr>
        <w:bidi/>
        <w:spacing w:after="50" w:before="0"/>
        <w:ind w:left="0"/>
      </w:pPr>
      <w:hyperlink w:history="1" w:anchor="_sec7">
        <w:r>
          <w:rPr>
            <w:rFonts w:ascii="Arial" w:cs="Arial" w:eastAsia="Arial" w:hAnsi="Arial"/>
            <w:b/>
            <w:bCs/>
            <w:color w:val="1F3A5F"/>
            <w:sz w:val="20"/>
            <w:szCs w:val="20"/>
            <w:rtl/>
          </w:rPr>
          <w:t xml:space="preserve">7. عنوان IP الموثوق</w:t>
        </w:r>
      </w:hyperlink>
    </w:p>
    <w:p>
      <w:pPr>
        <w:bidi/>
        <w:spacing w:after="50" w:before="0"/>
        <w:ind w:left="0"/>
      </w:pPr>
      <w:hyperlink w:history="1" w:anchor="_sec8">
        <w:r>
          <w:rPr>
            <w:rFonts w:ascii="Arial" w:cs="Arial" w:eastAsia="Arial" w:hAnsi="Arial"/>
            <w:b/>
            <w:bCs/>
            <w:color w:val="1F3A5F"/>
            <w:sz w:val="20"/>
            <w:szCs w:val="20"/>
            <w:rtl/>
          </w:rPr>
          <w:t xml:space="preserve">8. معرّف الارتباط</w:t>
        </w:r>
      </w:hyperlink>
    </w:p>
    <w:p>
      <w:pPr>
        <w:bidi/>
        <w:spacing w:after="50" w:before="0"/>
        <w:ind w:left="0"/>
      </w:pPr>
      <w:hyperlink w:history="1" w:anchor="_sec9">
        <w:r>
          <w:rPr>
            <w:rFonts w:ascii="Arial" w:cs="Arial" w:eastAsia="Arial" w:hAnsi="Arial"/>
            <w:b/>
            <w:bCs/>
            <w:color w:val="1F3A5F"/>
            <w:sz w:val="20"/>
            <w:szCs w:val="20"/>
            <w:rtl/>
          </w:rPr>
          <w:t xml:space="preserve">9. مجمّع الاتصالات وإعادة الربط لكل طلب</w:t>
        </w:r>
      </w:hyperlink>
    </w:p>
    <w:p>
      <w:pPr>
        <w:bidi/>
        <w:spacing w:after="50" w:before="0"/>
        <w:ind w:left="0"/>
      </w:pPr>
      <w:hyperlink w:history="1" w:anchor="_sec10">
        <w:r>
          <w:rPr>
            <w:rFonts w:ascii="Arial" w:cs="Arial" w:eastAsia="Arial" w:hAnsi="Arial"/>
            <w:b/>
            <w:bCs/>
            <w:color w:val="1F3A5F"/>
            <w:sz w:val="20"/>
            <w:szCs w:val="20"/>
            <w:rtl/>
          </w:rPr>
          <w:t xml:space="preserve">10. ترتيب التقييم في كل طلب</w:t>
        </w:r>
      </w:hyperlink>
    </w:p>
    <w:p>
      <w:pPr>
        <w:bidi/>
        <w:spacing w:after="50" w:before="0"/>
        <w:ind w:left="0"/>
      </w:pPr>
      <w:hyperlink w:history="1" w:anchor="_sec11">
        <w:r>
          <w:rPr>
            <w:rFonts w:ascii="Arial" w:cs="Arial" w:eastAsia="Arial" w:hAnsi="Arial"/>
            <w:b/>
            <w:bCs/>
            <w:color w:val="1F3A5F"/>
            <w:sz w:val="20"/>
            <w:szCs w:val="20"/>
            <w:rtl/>
          </w:rPr>
          <w:t xml:space="preserve">11. أين تُفرض كل سياسة</w:t>
        </w:r>
      </w:hyperlink>
    </w:p>
    <w:p>
      <w:pPr>
        <w:bidi/>
        <w:spacing w:after="50" w:before="0"/>
        <w:ind w:left="0"/>
      </w:pPr>
      <w:hyperlink w:history="1" w:anchor="_sec12">
        <w:r>
          <w:rPr>
            <w:rFonts w:ascii="Arial" w:cs="Arial" w:eastAsia="Arial" w:hAnsi="Arial"/>
            <w:b/>
            <w:bCs/>
            <w:color w:val="1F3A5F"/>
            <w:sz w:val="20"/>
            <w:szCs w:val="20"/>
            <w:rtl/>
          </w:rPr>
          <w:t xml:space="preserve">12. المخاطر المتبقية O-24 وما يتصل بها</w:t>
        </w:r>
      </w:hyperlink>
    </w:p>
    <w:p>
      <w:pPr>
        <w:bidi/>
        <w:spacing w:after="50" w:before="0"/>
        <w:ind w:left="0"/>
      </w:pPr>
      <w:hyperlink w:history="1" w:anchor="_sec13">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4">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15">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1"/>
        <w:bidi/>
      </w:pPr>
      <w:bookmarkStart w:name="_sec2" w:id="2"/>
      <w:r>
        <w:rPr>
          <w:rFonts w:ascii="Arial" w:cs="Arial" w:eastAsia="Arial" w:hAnsi="Arial"/>
          <w:b/>
          <w:bCs/>
          <w:color w:val="1F3A5F"/>
          <w:sz w:val="32"/>
          <w:szCs w:val="32"/>
          <w:rtl/>
        </w:rPr>
        <w:t xml:space="preserve">2. سلسلة الثقة</w:t>
      </w:r>
      <w:bookmarkEnd w:id="2"/>
    </w:p>
    <w:p>
      <w:pPr>
        <w:keepNext/>
        <w:bidi/>
        <w:spacing w:after="60" w:before="160"/>
        <w:jc w:val="center"/>
      </w:pPr>
      <w:r>
        <w:drawing>
          <wp:inline distT="0" distB="0" distL="0" distR="0">
            <wp:extent cx="6096000" cy="6096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1"/>
        <w:bidi/>
      </w:pPr>
      <w:bookmarkStart w:name="_sec3" w:id="3"/>
      <w:r>
        <w:rPr>
          <w:rFonts w:ascii="Arial" w:cs="Arial" w:eastAsia="Arial" w:hAnsi="Arial"/>
          <w:b/>
          <w:bCs/>
          <w:color w:val="1F3A5F"/>
          <w:sz w:val="32"/>
          <w:szCs w:val="32"/>
          <w:rtl/>
        </w:rPr>
        <w:t xml:space="preserve">3. رمز الجلسة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1"/>
        <w:bidi/>
      </w:pPr>
      <w:bookmarkStart w:name="_sec4" w:id="4"/>
      <w:r>
        <w:rPr>
          <w:rFonts w:ascii="Arial" w:cs="Arial" w:eastAsia="Arial" w:hAnsi="Arial"/>
          <w:b/>
          <w:bCs/>
          <w:color w:val="1F3A5F"/>
          <w:sz w:val="32"/>
          <w:szCs w:val="32"/>
          <w:rtl/>
        </w:rPr>
        <w:t xml:space="preserve">4. الكوكي على العنوان الفرعي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1"/>
        <w:bidi/>
      </w:pPr>
      <w:bookmarkStart w:name="_sec5" w:id="5"/>
      <w:r>
        <w:rPr>
          <w:rFonts w:ascii="Arial" w:cs="Arial" w:eastAsia="Arial" w:hAnsi="Arial"/>
          <w:b/>
          <w:bCs/>
          <w:color w:val="1F3A5F"/>
          <w:sz w:val="32"/>
          <w:szCs w:val="32"/>
          <w:rtl/>
        </w:rPr>
        <w:t xml:space="preserve">5. الحماية من CSRF</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6. CSP وترويسات الأمان</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1"/>
        <w:bidi/>
      </w:pPr>
      <w:bookmarkStart w:name="_sec7" w:id="7"/>
      <w:r>
        <w:rPr>
          <w:rFonts w:ascii="Arial" w:cs="Arial" w:eastAsia="Arial" w:hAnsi="Arial"/>
          <w:b/>
          <w:bCs/>
          <w:color w:val="1F3A5F"/>
          <w:sz w:val="32"/>
          <w:szCs w:val="32"/>
          <w:rtl/>
        </w:rPr>
        <w:t xml:space="preserve">7. عنوان IP الموثوق</w:t>
      </w:r>
      <w:bookmarkEnd w:id="7"/>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3"/>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3"/>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3"/>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3"/>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1"/>
        <w:bidi/>
      </w:pPr>
      <w:bookmarkStart w:name="_sec8" w:id="8"/>
      <w:r>
        <w:rPr>
          <w:rFonts w:ascii="Arial" w:cs="Arial" w:eastAsia="Arial" w:hAnsi="Arial"/>
          <w:b/>
          <w:bCs/>
          <w:color w:val="1F3A5F"/>
          <w:sz w:val="32"/>
          <w:szCs w:val="32"/>
          <w:rtl/>
        </w:rPr>
        <w:t xml:space="preserve">8. معرّف الارتباط</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مجمّع الاتصالات وإعادة الربط لكل طلب</w:t>
      </w:r>
      <w:bookmarkEnd w:id="9"/>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4"/>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1"/>
        <w:bidi/>
      </w:pPr>
      <w:bookmarkStart w:name="_sec10" w:id="10"/>
      <w:r>
        <w:rPr>
          <w:rFonts w:ascii="Arial" w:cs="Arial" w:eastAsia="Arial" w:hAnsi="Arial"/>
          <w:b/>
          <w:bCs/>
          <w:color w:val="1F3A5F"/>
          <w:sz w:val="32"/>
          <w:szCs w:val="32"/>
          <w:rtl/>
        </w:rPr>
        <w:t xml:space="preserve">10. ترتيب التقييم في كل طلب</w:t>
      </w:r>
      <w:bookmarkEnd w:id="10"/>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أين تُفرض كل سياسة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المخاطر المتبقية O-24 وما يتصل بها</w:t>
      </w:r>
      <w:bookmarkEnd w:id="12"/>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1"/>
        <w:bidi/>
      </w:pPr>
      <w:bookmarkStart w:name="_sec13" w:id="13"/>
      <w:r>
        <w:rPr>
          <w:rFonts w:ascii="Arial" w:cs="Arial" w:eastAsia="Arial" w:hAnsi="Arial"/>
          <w:b/>
          <w:bCs/>
          <w:color w:val="1F3A5F"/>
          <w:sz w:val="32"/>
          <w:szCs w:val="32"/>
          <w:rtl/>
        </w:rPr>
        <w:t xml:space="preserve">13.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14. تعارضات وفجوات في المصادر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15.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20d41949f528f46ca83d8d7b13234c98a507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DOC-S03 — معمارية الأمن والمصادقة والجلسات (سلسلة الثقة من الهوية إلى سياق المشترك)</dc:title>
  <dc:creator>Claude</dc:creator>
  <dc:description>BankFas database design document</dc:description>
  <cp:lastModifiedBy>Un-named</cp:lastModifiedBy>
  <cp:revision>1</cp:revision>
  <dcterms:created xsi:type="dcterms:W3CDTF">2026-10-21T07:22:24.680Z</dcterms:created>
  <dcterms:modified xsi:type="dcterms:W3CDTF">2026-10-21T07:22:24.680Z</dcterms:modified>
</cp:coreProperties>
</file>

<file path=docProps/custom.xml><?xml version="1.0" encoding="utf-8"?>
<Properties xmlns="http://schemas.openxmlformats.org/officeDocument/2006/custom-properties" xmlns:vt="http://schemas.openxmlformats.org/officeDocument/2006/docPropsVTypes"/>
</file>