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after="100" w:line="300"/>
        <w:jc w:val="right"/>
      </w:pPr>
      <w:r>
        <w:rPr>
          <w:rFonts w:ascii="Arial" w:cs="Arial" w:eastAsia="Arial" w:hAnsi="Arial"/>
          <w:b/>
          <w:bCs/>
          <w:color w:val="0A5BD3"/>
          <w:sz w:val="44"/>
          <w:szCs w:val="44"/>
          <w:rtl/>
        </w:rPr>
        <w:t xml:space="preserve">مســلك</w:t>
      </w:r>
    </w:p>
    <w:p>
      <w:pPr>
        <w:bidi/>
        <w:spacing w:after="120" w:line="300"/>
        <w:jc w:val="right"/>
      </w:pPr>
      <w:r>
        <w:rPr>
          <w:rFonts w:ascii="Arial" w:cs="Arial" w:eastAsia="Arial" w:hAnsi="Arial"/>
          <w:b/>
          <w:bCs/>
          <w:color w:val="0B1F3F"/>
          <w:sz w:val="36"/>
          <w:szCs w:val="36"/>
          <w:rtl/>
        </w:rPr>
        <w:t xml:space="preserve">سجل وثائق الجاهزية للتنفيذ</w:t>
      </w:r>
    </w:p>
    <w:p>
      <w:pPr>
        <w:bidi/>
        <w:spacing w:after="300" w:line="300"/>
        <w:jc w:val="right"/>
      </w:pPr>
      <w:r>
        <w:rPr>
          <w:rFonts w:ascii="Arial" w:cs="Arial" w:eastAsia="Arial" w:hAnsi="Arial"/>
          <w:color w:val="4B5565"/>
          <w:sz w:val="22"/>
          <w:szCs w:val="22"/>
          <w:rtl/>
        </w:rPr>
        <w:t xml:space="preserve">ما يلزم من وثائق لتنفيذ المنصة فعلياً، وما هو قائم منها، وما يُستكمل ومن يستكمله</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99"/>
        <w:gridCol w:w="6939"/>
      </w:tblGrid>
      <w:tr>
        <w:trPr>
          <w:tblHeader/>
        </w:trPr>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البند</w:t>
            </w:r>
          </w:p>
        </w:tc>
        <w:tc>
          <w:tcPr>
            <w:tcW w:type="dxa" w:w="693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القيمة</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الإصدار</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1.8 (يحل محل 1.7)</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التاريخ</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 تشرين الأول 2026</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حالة النظام</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الإصدار الحالي في المستودع بعد تنفيذ قرارات المالك في شاشات المحطات: ملفات قاعدة البيانات حتى 1115، و728 فحصاً للقاعدة و712 اختباراً للخادم ناجحة، وفحوص الواجهة على 176 صفحة باللغتين</w:t>
            </w:r>
          </w:p>
        </w:tc>
      </w:tr>
      <w:tr>
        <w:trPr>
          <w:cantSplit/>
        </w:trPr>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الجمهور</w:t>
            </w:r>
          </w:p>
        </w:tc>
        <w:tc>
          <w:tcPr>
            <w:tcW w:type="dxa" w:w="693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الجهة المختصة بالأنظمة التي تدرس المنصة قبل التنفيذ</w:t>
            </w:r>
          </w:p>
        </w:tc>
      </w:tr>
      <w:tr>
        <w:trPr>
          <w:cantSplit/>
        </w:trPr>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الوثائق المرافقة</w:t>
            </w:r>
          </w:p>
        </w:tc>
        <w:tc>
          <w:tcPr>
            <w:tcW w:type="dxa" w:w="693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حالات الاستخدام وتدفق البيانات 2.1؛ نماذج السلوك 1.1؛ مواصفات المتطلبات 1.1 ومصفوفة التتبع 1.1؛ كتالوج قواعد الأعمال 1.1؛ خطة الاختبار والقبول 1.1؛ تصميم القاعدة 3.14؛ مسودات تقييم الأثر والمسؤوليات والتحميل والتدريب 0.2؛ مراجعة تصميم شاشات محطات الصعود 1.0</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1. الغرض وطريقة القراءة</w:t>
      </w:r>
    </w:p>
    <w:p>
      <w:pPr>
        <w:bidi/>
        <w:spacing w:after="120" w:line="300"/>
        <w:jc w:val="right"/>
      </w:pPr>
      <w:r>
        <w:rPr>
          <w:rFonts w:ascii="Arial" w:cs="Arial" w:eastAsia="Arial" w:hAnsi="Arial"/>
          <w:color w:val="0F1B2D"/>
          <w:sz w:val="21"/>
          <w:szCs w:val="21"/>
          <w:rtl/>
        </w:rPr>
        <w:t xml:space="preserve">يجمع هذا السجل الوثائق التي تطلبها عادة جهة مختصة بالأنظمة لتحكم على جاهزية نظام للتنفيذ والتشغيل الفعلي، ويذكر لكل وثيقة غرضها ومكانها وحالتها وما يلزم لإكمالها. أُخذت الحالات من المستودع نفسه، لا من الذاكرة.</w:t>
      </w:r>
    </w:p>
    <w:p>
      <w:pPr>
        <w:bidi/>
        <w:spacing w:after="120" w:line="300"/>
        <w:jc w:val="right"/>
      </w:pPr>
      <w:r>
        <w:rPr>
          <w:rFonts w:ascii="Arial" w:cs="Arial" w:eastAsia="Arial" w:hAnsi="Arial"/>
          <w:color w:val="0F1B2D"/>
          <w:sz w:val="21"/>
          <w:szCs w:val="21"/>
          <w:rtl/>
        </w:rPr>
        <w:t xml:space="preserve">الحالات المستعملة: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w:t>
      </w:r>
      <w:r>
        <w:rPr>
          <w:rFonts w:ascii="Arial" w:cs="Arial" w:eastAsia="Arial" w:hAnsi="Arial"/>
          <w:color w:val="0F1B2D"/>
          <w:sz w:val="21"/>
          <w:szCs w:val="21"/>
          <w:rtl/>
        </w:rPr>
        <w:t xml:space="preserve">الوثيقة قائمة وتطابق النظام الحالي، وتُعرض كما هي.</w:t>
      </w:r>
    </w:p>
    <w:p>
      <w:pPr>
        <w:pStyle w:val="ListParagraph"/>
        <w:numPr>
          <w:ilvl w:val="0"/>
          <w:numId w:val="2"/>
        </w:numPr>
        <w:bidi/>
        <w:spacing w:after="80" w:line="290"/>
        <w:jc w:val="right"/>
      </w:pPr>
      <w:r>
        <w:rPr>
          <w:rFonts w:ascii="Arial" w:cs="Arial" w:eastAsia="Arial" w:hAnsi="Arial"/>
          <w:b/>
          <w:bCs/>
          <w:color w:val="0F1B2D"/>
          <w:sz w:val="21"/>
          <w:szCs w:val="21"/>
          <w:rtl/>
        </w:rPr>
        <w:t xml:space="preserve">مكتملة جزئياً: </w:t>
      </w:r>
      <w:r>
        <w:rPr>
          <w:rFonts w:ascii="Arial" w:cs="Arial" w:eastAsia="Arial" w:hAnsi="Arial"/>
          <w:color w:val="0F1B2D"/>
          <w:sz w:val="21"/>
          <w:szCs w:val="21"/>
          <w:rtl/>
        </w:rPr>
        <w:t xml:space="preserve">الوثيقة قائمة وتغطي معظم الموضوع، ويبقى جزء مسمّى في العمود الأخير.</w:t>
      </w:r>
    </w:p>
    <w:p>
      <w:pPr>
        <w:pStyle w:val="ListParagraph"/>
        <w:numPr>
          <w:ilvl w:val="0"/>
          <w:numId w:val="2"/>
        </w:numPr>
        <w:bidi/>
        <w:spacing w:after="80" w:line="290"/>
        <w:jc w:val="right"/>
      </w:pPr>
      <w:r>
        <w:rPr>
          <w:rFonts w:ascii="Arial" w:cs="Arial" w:eastAsia="Arial" w:hAnsi="Arial"/>
          <w:b/>
          <w:bCs/>
          <w:color w:val="0F1B2D"/>
          <w:sz w:val="21"/>
          <w:szCs w:val="21"/>
          <w:rtl/>
        </w:rPr>
        <w:t xml:space="preserve">تحتاج تحديثاً: </w:t>
      </w:r>
      <w:r>
        <w:rPr>
          <w:rFonts w:ascii="Arial" w:cs="Arial" w:eastAsia="Arial" w:hAnsi="Arial"/>
          <w:color w:val="0F1B2D"/>
          <w:sz w:val="21"/>
          <w:szCs w:val="21"/>
          <w:rtl/>
        </w:rPr>
        <w:t xml:space="preserve">الوثيقة قائمة لكنها تسبق تغييرات لاحقة في النظام.</w:t>
      </w:r>
    </w:p>
    <w:p>
      <w:pPr>
        <w:pStyle w:val="ListParagraph"/>
        <w:numPr>
          <w:ilvl w:val="0"/>
          <w:numId w:val="2"/>
        </w:numPr>
        <w:bidi/>
        <w:spacing w:after="80" w:line="290"/>
        <w:jc w:val="right"/>
      </w:pPr>
      <w:r>
        <w:rPr>
          <w:rFonts w:ascii="Arial" w:cs="Arial" w:eastAsia="Arial" w:hAnsi="Arial"/>
          <w:b/>
          <w:bCs/>
          <w:color w:val="0F1B2D"/>
          <w:sz w:val="21"/>
          <w:szCs w:val="21"/>
          <w:rtl/>
        </w:rPr>
        <w:t xml:space="preserve">أُعدّت في هذه الحزمة: </w:t>
      </w:r>
      <w:r>
        <w:rPr>
          <w:rFonts w:ascii="Arial" w:cs="Arial" w:eastAsia="Arial" w:hAnsi="Arial"/>
          <w:color w:val="0F1B2D"/>
          <w:sz w:val="21"/>
          <w:szCs w:val="21"/>
          <w:rtl/>
        </w:rPr>
        <w:t xml:space="preserve">أُعدّت مع هذا السجل من النظام نفسه، وتُعرض على الجهة المختصة للمراجعة.</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مسودة تنتظر الاعتماد: </w:t>
      </w:r>
      <w:r>
        <w:rPr>
          <w:rFonts w:ascii="Arial" w:cs="Arial" w:eastAsia="Arial" w:hAnsi="Arial"/>
          <w:color w:val="0F1B2D"/>
          <w:sz w:val="21"/>
          <w:szCs w:val="21"/>
          <w:rtl/>
        </w:rPr>
        <w:t xml:space="preserve">أُعدّت مسودتها، وتنتظر اعتماد صاحب القرار أو استكمال الأسماء والقيم.</w:t>
      </w:r>
    </w:p>
    <w:p>
      <w:pPr>
        <w:pStyle w:val="ListParagraph"/>
        <w:numPr>
          <w:ilvl w:val="0"/>
          <w:numId w:val="2"/>
        </w:numPr>
        <w:bidi/>
        <w:spacing w:after="80" w:line="290"/>
        <w:jc w:val="right"/>
      </w:pPr>
      <w:r>
        <w:rPr>
          <w:rFonts w:ascii="Arial" w:cs="Arial" w:eastAsia="Arial" w:hAnsi="Arial"/>
          <w:b/>
          <w:bCs/>
          <w:color w:val="0F1B2D"/>
          <w:sz w:val="21"/>
          <w:szCs w:val="21"/>
          <w:rtl/>
        </w:rPr>
        <w:t xml:space="preserve">ناقصة: </w:t>
      </w:r>
      <w:r>
        <w:rPr>
          <w:rFonts w:ascii="Arial" w:cs="Arial" w:eastAsia="Arial" w:hAnsi="Arial"/>
          <w:color w:val="0F1B2D"/>
          <w:sz w:val="21"/>
          <w:szCs w:val="21"/>
          <w:rtl/>
        </w:rPr>
        <w:t xml:space="preserve">غير موجودة، ونقترح أن تعدّها الجهة المختصة أو فريق المالك.</w:t>
      </w:r>
    </w:p>
    <w:p>
      <w:pPr>
        <w:pStyle w:val="ListParagraph"/>
        <w:numPr>
          <w:ilvl w:val="0"/>
          <w:numId w:val="2"/>
        </w:numPr>
        <w:bidi/>
        <w:spacing w:after="80" w:line="290"/>
        <w:jc w:val="right"/>
      </w:pPr>
      <w:r>
        <w:rPr>
          <w:rFonts w:ascii="Arial" w:cs="Arial" w:eastAsia="Arial" w:hAnsi="Arial"/>
          <w:b/>
          <w:bCs/>
          <w:color w:val="0F1B2D"/>
          <w:sz w:val="21"/>
          <w:szCs w:val="21"/>
          <w:rtl/>
        </w:rPr>
        <w:t xml:space="preserve">مدخل من المالك: </w:t>
      </w:r>
      <w:r>
        <w:rPr>
          <w:rFonts w:ascii="Arial" w:cs="Arial" w:eastAsia="Arial" w:hAnsi="Arial"/>
          <w:color w:val="0F1B2D"/>
          <w:sz w:val="21"/>
          <w:szCs w:val="21"/>
          <w:rtl/>
        </w:rPr>
        <w:t xml:space="preserve">تحتاج قراراً أو مستنداً من المالك أو من جهة رسمية، ولا يمكن إعدادها تقنياً وحدها.</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2. الخلاصة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3"/>
        <w:gridCol w:w="3855"/>
      </w:tblGrid>
      <w:tr>
        <w:trPr>
          <w:tblHeader/>
        </w:trPr>
        <w:tc>
          <w:tcPr>
            <w:tcW w:type="dxa" w:w="5783"/>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385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عدد الوثائق</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15</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أُعدّت في هذه الحزمة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9</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مسودة تنتظر الاعتماد</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4</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مكتملة جزئياً</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5</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تحتاج تحديثاً</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0</w:t>
            </w:r>
          </w:p>
        </w:tc>
      </w:tr>
      <w:tr>
        <w:trPr>
          <w:cantSplit/>
        </w:trPr>
        <w:tc>
          <w:tcPr>
            <w:tcW w:type="dxa" w:w="5783"/>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ناقصة</w:t>
            </w:r>
          </w:p>
        </w:tc>
        <w:tc>
          <w:tcPr>
            <w:tcW w:type="dxa" w:w="385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2</w:t>
            </w:r>
          </w:p>
        </w:tc>
      </w:tr>
      <w:tr>
        <w:trPr>
          <w:cantSplit/>
        </w:trPr>
        <w:tc>
          <w:tcPr>
            <w:tcW w:type="dxa" w:w="5783"/>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مدخل من المالك</w:t>
            </w:r>
          </w:p>
        </w:tc>
        <w:tc>
          <w:tcPr>
            <w:tcW w:type="dxa" w:w="385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7</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من 42 وثيقة: 15 مكتملة، و9 أُعدّت في هذه الحزمة، و4 مسودات تنتظر الاعتماد. ما بقي قبل التنفيذ الفعلي:</w:t>
      </w:r>
    </w:p>
    <w:p>
      <w:pPr>
        <w:pStyle w:val="ListParagraph"/>
        <w:numPr>
          <w:ilvl w:val="0"/>
          <w:numId w:val="3"/>
        </w:numPr>
        <w:bidi/>
        <w:spacing w:after="80" w:line="290"/>
        <w:jc w:val="right"/>
      </w:pPr>
      <w:r>
        <w:rPr>
          <w:rFonts w:ascii="Arial" w:cs="Arial" w:eastAsia="Arial" w:hAnsi="Arial"/>
          <w:color w:val="0F1B2D"/>
          <w:sz w:val="21"/>
          <w:szCs w:val="21"/>
          <w:rtl/>
        </w:rPr>
        <w:t xml:space="preserve">مدخلات المالك والعقود بحلول 13 تشرين الثاني 2026 ليبدأ الإطلاق التجريبي في 4 كانون الثاني 2027 (و1).</w:t>
      </w:r>
    </w:p>
    <w:p>
      <w:pPr>
        <w:pStyle w:val="ListParagraph"/>
        <w:numPr>
          <w:ilvl w:val="0"/>
          <w:numId w:val="3"/>
        </w:numPr>
        <w:bidi/>
        <w:spacing w:after="80" w:line="290"/>
        <w:jc w:val="right"/>
      </w:pPr>
      <w:r>
        <w:rPr>
          <w:rFonts w:ascii="Arial" w:cs="Arial" w:eastAsia="Arial" w:hAnsi="Arial"/>
          <w:color w:val="0F1B2D"/>
          <w:sz w:val="21"/>
          <w:szCs w:val="21"/>
          <w:rtl/>
        </w:rPr>
        <w:t xml:space="preserve">نماذج العمليات الباقية مع فرق التشغيل (ب5)، واختبار شاشات المحطات مع مستخدمين فعليين بعد مراجعة تصميمها (ج6).</w:t>
      </w:r>
    </w:p>
    <w:p>
      <w:pPr>
        <w:pStyle w:val="ListParagraph"/>
        <w:numPr>
          <w:ilvl w:val="0"/>
          <w:numId w:val="3"/>
        </w:numPr>
        <w:bidi/>
        <w:spacing w:after="80" w:line="290"/>
        <w:jc w:val="right"/>
      </w:pPr>
      <w:r>
        <w:rPr>
          <w:rFonts w:ascii="Arial" w:cs="Arial" w:eastAsia="Arial" w:hAnsi="Arial"/>
          <w:color w:val="0F1B2D"/>
          <w:sz w:val="21"/>
          <w:szCs w:val="21"/>
          <w:rtl/>
        </w:rPr>
        <w:t xml:space="preserve">اعتماد تقييم أثر صورة الصعود، ومصفوفة المسؤوليات، وخطتي التحميل والتدريب (ج7، و2، و4، و5).</w:t>
      </w:r>
    </w:p>
    <w:p>
      <w:pPr>
        <w:pStyle w:val="ListParagraph"/>
        <w:numPr>
          <w:ilvl w:val="0"/>
          <w:numId w:val="3"/>
        </w:numPr>
        <w:bidi/>
        <w:spacing w:after="80" w:line="290"/>
        <w:jc w:val="right"/>
      </w:pPr>
      <w:r>
        <w:rPr>
          <w:rFonts w:ascii="Arial" w:cs="Arial" w:eastAsia="Arial" w:hAnsi="Arial"/>
          <w:color w:val="0F1B2D"/>
          <w:sz w:val="21"/>
          <w:szCs w:val="21"/>
          <w:rtl/>
        </w:rPr>
        <w:t xml:space="preserve">قياس الأداء على بيئة ما قبل الإنتاج، واختبار الاختراق، ومحاضر القبول، وأدلة بوابات الإطلاق (د3، د4، د5، هـ5).</w:t>
      </w:r>
    </w:p>
    <w:p>
      <w:pPr>
        <w:pStyle w:val="ListParagraph"/>
        <w:numPr>
          <w:ilvl w:val="0"/>
          <w:numId w:val="3"/>
        </w:numPr>
        <w:bidi/>
        <w:spacing w:after="80" w:line="290"/>
        <w:jc w:val="right"/>
      </w:pPr>
      <w:r>
        <w:rPr>
          <w:rFonts w:ascii="Arial" w:cs="Arial" w:eastAsia="Arial" w:hAnsi="Arial"/>
          <w:color w:val="0F1B2D"/>
          <w:sz w:val="21"/>
          <w:szCs w:val="21"/>
          <w:rtl/>
        </w:rPr>
        <w:t xml:space="preserve">المستندات القانونية والقرارات الرسمية المذكورة في القسم ز، ومنها القيم الضريبية وقرار غرامة الإلغاء (ز6، ز7).</w:t>
      </w:r>
    </w:p>
    <w:p>
      <w:pPr>
        <w:bidi/>
        <w:spacing w:after="120" w:line="300"/>
        <w:jc w:val="right"/>
      </w:pPr>
      <w:r>
        <w:rPr>
          <w:rFonts w:ascii="Arial" w:cs="Arial" w:eastAsia="Arial" w:hAnsi="Arial"/>
          <w:color w:val="0F1B2D"/>
          <w:sz w:val="21"/>
          <w:szCs w:val="21"/>
          <w:rtl/>
        </w:rPr>
        <w:t xml:space="preserve">والفجوات الوظيفية بين التصميم والنظام المبني (ما لم يُبنَ وما بُني جزئياً) في الفصل السادس من وثيقة حالات الاستخدام 2.1.</w:t>
      </w:r>
    </w:p>
    <w:p>
      <w:pPr>
        <w:pStyle w:val="Heading2"/>
        <w:keepNext/>
        <w:bidi/>
        <w:spacing w:after="100" w:before="240"/>
        <w:jc w:val="right"/>
      </w:pPr>
      <w:r>
        <w:rPr>
          <w:rFonts w:ascii="Arial" w:cs="Arial" w:eastAsia="Arial" w:hAnsi="Arial"/>
          <w:b/>
          <w:bCs/>
          <w:color w:val="0A5BD3"/>
          <w:sz w:val="24"/>
          <w:szCs w:val="24"/>
          <w:rtl/>
        </w:rPr>
        <w:t xml:space="preserve">ما تغيّر منذ الإصدار 1.1</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1.8: دراسة التحليل والتصميم 3.6 بالعربية والإنجليزية (أ1) حتى ملف القاعدة 1129، باثني عشر قسماً جديداً ومئة رمز خطأ جديد؛ والجدول الزمني للتنفيذ 3.0 (و1) بما أُنجز حتى 15 تشرين الأول 2026؛ وما بُني بعد الإصدار 1.7: اعرف عميلك للشركات، والرحلات المنتظمة، وأرقام الرحلات الرباعية، وأنماط الحجز والمجموعات واختيار المقاعد في كل رحلة، والاستئجار مع العربون وتسمية المركبات والمسافرين، وشاشات المغادرة والوصول مع المواقف والناقلين والربط برمز قصير وتنبيه الشاشة غير المرئية، والتقسيم الإداري لسوريا مع المسح الميداني والحدود والأسماء المصحّحة وخريطة المنطقة، وشاشات إعدادات الصورة. ولم يتغيّر ما ينتظر المالك: المدخلات والعقود وبيئة التجريب وبوابات الإطلاق واختبار الاختراق وحسابات المتاجر ومزود الدفع والإدارة الضريبية.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1.7: نُفّذت قرارات المالك في شاشات المحطات (ج6، الملفان 1114 و1115): يصعد السائق المسافر برقم التذكرة ومرجع الحجز بعد التحقق من الهوية، متصلاً أو دون اتصال؛ وتتناوب الشاشة العملاقة بين العربية والإنجليزية كل عشر ثوانٍ وتظهر الرحلة الملغاة بالأحمر؛ وتخصّص إدارة المحطة المواقف، موقفاً دائماً لكل ناقل أو موقفاً لكل رحلة؛ ويظهر شعار الشركة بجانب اسمها وفق مواصفة؛ ويقرأ المسافر رقم رحلة قصيراً مثل DC 101 يتكرر للرحلة نفسها كل يوم، ويبقى الرقم الطويل مرجعاً للرحلة.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1.6: مراجعة تصميم شاشات محطات الصعود (ج6) أُنجزت: عشرون ملاحظة، أُصلحت منها خمس عشرة، أهمها أن بطاقة الصعود والتذكرة المطبوعة تحملان رمزاً موقّعاً ثابتاً يُمسح من الورق، وأن قائمة رحلات الكاونتر تذكر الوجهة وحالة التسجيل. ويبقى الاختبار مع مستخدمين فعليين بين 7 و18 كانون الأول 2026، وقرارا المالك في التذاكر الورقية المبكرة ولغة الشاشة العملاقة.</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1.5: الجدول الزمني للتنفيذ 2.0 (و1) يعرض ما أُنجز وما بقي، ويعيد التخطيط من اليوم: الإطلاق التجريبي في 4 كانون الثاني 2027 بدلاً من 4 تشرين الأول 2027، والإطلاق العام في 22 آذار 2027، وإغلاق المرحلة 1 في 9 نيسان 2027.</w:t>
      </w:r>
    </w:p>
    <w:p>
      <w:pPr>
        <w:pStyle w:val="ListParagraph"/>
        <w:numPr>
          <w:ilvl w:val="0"/>
          <w:numId w:val="2"/>
        </w:numPr>
        <w:bidi/>
        <w:spacing w:after="80" w:line="290"/>
        <w:jc w:val="right"/>
      </w:pPr>
      <w:r>
        <w:rPr>
          <w:rFonts w:ascii="Arial" w:cs="Arial" w:eastAsia="Arial" w:hAnsi="Arial"/>
          <w:color w:val="0F1B2D"/>
          <w:sz w:val="21"/>
          <w:szCs w:val="21"/>
          <w:rtl/>
        </w:rPr>
        <w:t xml:space="preserve">الإصدار 1.4: دراسة التحليل والتصميم 3.5 بالعربية والإنجليزية (أ1) مكتملة حتى ملف القاعدة 1112، باثني عشر قسماً جديداً وإضافات إلى المتطلبات والقواعد والواجهات ورموز الأخطاء والشاشات والقرارات وسيناريوهات القبول.</w:t>
      </w:r>
    </w:p>
    <w:p>
      <w:pPr>
        <w:pStyle w:val="ListParagraph"/>
        <w:numPr>
          <w:ilvl w:val="0"/>
          <w:numId w:val="2"/>
        </w:numPr>
        <w:bidi/>
        <w:spacing w:after="80" w:line="290"/>
        <w:jc w:val="right"/>
      </w:pPr>
      <w:r>
        <w:rPr>
          <w:rFonts w:ascii="Arial" w:cs="Arial" w:eastAsia="Arial" w:hAnsi="Arial"/>
          <w:color w:val="0F1B2D"/>
          <w:sz w:val="21"/>
          <w:szCs w:val="21"/>
          <w:rtl/>
        </w:rPr>
        <w:t xml:space="preserve">كل وثائق الحزمة صارت على الكود نفسه (الالتزام c7528af، ملفات القاعدة حتى 1112): حالات الاستخدام وتدفق البيانات 2.1، ونماذج السلوك 1.1، ومواصفات المتطلبات 1.1 ومصفوفة التتبع 1.1، وكتالوج القواعد 1.1، وخطة الاختبار 1.1، وتصميم القاعدة 3.14، والمسودات الأربع 0.2.</w:t>
      </w:r>
    </w:p>
    <w:p>
      <w:pPr>
        <w:pStyle w:val="ListParagraph"/>
        <w:numPr>
          <w:ilvl w:val="0"/>
          <w:numId w:val="2"/>
        </w:numPr>
        <w:bidi/>
        <w:spacing w:after="80" w:line="290"/>
        <w:jc w:val="right"/>
      </w:pPr>
      <w:r>
        <w:rPr>
          <w:rFonts w:ascii="Arial" w:cs="Arial" w:eastAsia="Arial" w:hAnsi="Arial"/>
          <w:color w:val="0F1B2D"/>
          <w:sz w:val="21"/>
          <w:szCs w:val="21"/>
          <w:rtl/>
        </w:rPr>
        <w:t xml:space="preserve">تصميم القاعدة (ج2) مكتمل بالإصدار 3.14، وقد صحح عدّ المفاتيح الأجنبية على الجداول المقسّمة.</w:t>
      </w:r>
    </w:p>
    <w:p>
      <w:pPr>
        <w:pStyle w:val="ListParagraph"/>
        <w:numPr>
          <w:ilvl w:val="0"/>
          <w:numId w:val="2"/>
        </w:numPr>
        <w:bidi/>
        <w:spacing w:after="80" w:line="290"/>
        <w:jc w:val="right"/>
      </w:pPr>
      <w:r>
        <w:rPr>
          <w:rFonts w:ascii="Arial" w:cs="Arial" w:eastAsia="Arial" w:hAnsi="Arial"/>
          <w:color w:val="0F1B2D"/>
          <w:sz w:val="21"/>
          <w:szCs w:val="21"/>
          <w:rtl/>
        </w:rPr>
        <w:t xml:space="preserve">نماذج النشاط (ب5) تضم الآن الاستغاثة والحوادث والمسافر في المحطة وإلغاء الناقل لرحلة.</w:t>
      </w:r>
    </w:p>
    <w:p>
      <w:pPr>
        <w:pStyle w:val="ListParagraph"/>
        <w:numPr>
          <w:ilvl w:val="0"/>
          <w:numId w:val="2"/>
        </w:numPr>
        <w:bidi/>
        <w:spacing w:after="80" w:line="290"/>
        <w:jc w:val="right"/>
      </w:pPr>
      <w:r>
        <w:rPr>
          <w:rFonts w:ascii="Arial" w:cs="Arial" w:eastAsia="Arial" w:hAnsi="Arial"/>
          <w:color w:val="0F1B2D"/>
          <w:sz w:val="21"/>
          <w:szCs w:val="21"/>
          <w:rtl/>
        </w:rPr>
        <w:t xml:space="preserve">مواصفة الواجهات (ج4) مكتملة: الخط الأساسي يضم مسارات الصورة والمحطات والشاشات.</w:t>
      </w:r>
    </w:p>
    <w:p>
      <w:pPr>
        <w:pStyle w:val="ListParagraph"/>
        <w:numPr>
          <w:ilvl w:val="0"/>
          <w:numId w:val="2"/>
        </w:numPr>
        <w:bidi/>
        <w:spacing w:after="80" w:line="290"/>
        <w:jc w:val="right"/>
      </w:pPr>
      <w:r>
        <w:rPr>
          <w:rFonts w:ascii="Arial" w:cs="Arial" w:eastAsia="Arial" w:hAnsi="Arial"/>
          <w:color w:val="0F1B2D"/>
          <w:sz w:val="21"/>
          <w:szCs w:val="21"/>
          <w:rtl/>
        </w:rPr>
        <w:t xml:space="preserve">أُضيف إلى القسم ز قراران للمالك والجهات الرسمية: القيم الضريبية ومواصفة الإرسال (ز6)، وقرار غرامة الإلغاء (ز7).</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3. السجل</w:t>
      </w:r>
    </w:p>
    <w:p>
      <w:pPr>
        <w:pStyle w:val="Heading2"/>
        <w:keepNext/>
        <w:bidi/>
        <w:spacing w:after="100" w:before="240"/>
        <w:jc w:val="right"/>
      </w:pPr>
      <w:r>
        <w:rPr>
          <w:rFonts w:ascii="Arial" w:cs="Arial" w:eastAsia="Arial" w:hAnsi="Arial"/>
          <w:b/>
          <w:bCs/>
          <w:color w:val="0A5BD3"/>
          <w:sz w:val="24"/>
          <w:szCs w:val="24"/>
          <w:rtl/>
        </w:rPr>
        <w:t xml:space="preserve">أ. المتطلبات والأعمال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التحليل والتصميم (متطلبات الأعمال والنظام)</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الخدمات والأدوار والقواعد والوحدات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docs/Masslak_Analysis_and_Design_EN_v3.6.docx والنسخة العربية 3.6؛ تغطي حتى ملف القاعدة 1129: ما في 3.5، ثم اعرف عميلك للشركات، والشعارات وأرقام الرحلات، والرحلات المنتظمة، وأنماط الحجز والمجموعات والمقاعد في كل رحلة، والاستئجار مع العربون، وشاشات المغادرة والوصول وربطها برمز قصير، والتقسيم الإداري لسوريا مع المسح الميداني والحدود والأسماء المصحّحة والخريطة، وشاشات إعدادات الصورة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 وتحيل إلى وثائق هذه الحزمة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مواصفات متطلبات البرمجيات (SRS)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مرقّمة قابلة للتتبع والقبول</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docs/readiness/Masslak_Software_Requirements_Specification_AR_v1.1.docx: 220 متطلباً وظيفياً و32 غير وظيفي (خط أساس كما بُني، حتى ملف القاعدة 1112)</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متطلبات أولوية الإطلاق بصيغة «يجب أن» مع شروطها؛ وقرار المالك في أولوية ما «يحدده المالك»</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تتبع المتطلبات (RTM)</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ربط كل متطلب بحالة استخدام وعملية ودليل واختبار وسيناريو 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docs/readiness/Masslak_Requirements_Traceability_Matrix_AR_v1.1.xlsx</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تحديثها مع كل إصدار</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كتالوج قواعد الأعمال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القواعد المفروضة ورموز أخطائها ومكان تطبيقها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docs/readiness/Masslak_Business_Rules_Catalog_AR_v1.1.docx والملف المرافق xlsx: 350 قاعدة في القاعدة، و504 في الخادم، و1603 قيود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الاستخراج بعد كل إصدار؛ ومراجعة القواعد التي في الخادم وحده</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أ5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مسرد المصطلحات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معنى واحد للمصطلح بين الفرق</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الفصل الثامن من ملحق نماذج النظام 1.0</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توسيعه بمصطلحات الدراسة 3.5 (محطات الصعود والصورة والولاء)</w:t>
            </w:r>
          </w:p>
        </w:tc>
      </w:tr>
    </w:tbl>
    <w:p>
      <w:pPr>
        <w:pStyle w:val="Heading2"/>
        <w:keepNext/>
        <w:bidi/>
        <w:spacing w:after="100" w:before="240"/>
        <w:jc w:val="right"/>
      </w:pPr>
      <w:r>
        <w:rPr>
          <w:rFonts w:ascii="Arial" w:cs="Arial" w:eastAsia="Arial" w:hAnsi="Arial"/>
          <w:b/>
          <w:bCs/>
          <w:color w:val="0A5BD3"/>
          <w:sz w:val="24"/>
          <w:szCs w:val="24"/>
          <w:rtl/>
        </w:rPr>
        <w:t xml:space="preserve">ب. نماذج التحليل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حالات الاستخدام ومواصفاتها</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يستخدم المنصة، ولأي غرض، وما بُني من ذلك</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docs/readiness/Masslak_Use_Case_and_Data_Flow_Diagrams_AR_v2.1.docx: 18 مخططاً و220 حالة، لكل منها حالة بناء ودليل من النظام،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الجهة المختصة؛ ويحل محل الإصدار 2.0 والوثيقة 1.0 والملحق</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تدفق البيانات (DFD)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حركة البيانات بين الفاعلين والعمليات والمخازن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السياق، وثلاثة مخططات من المستوى الأول، و13 من المستوى الثاني، والمخازن D1 إلى D23 بجداول القاعدة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إعادة رسم مخططات المستوى الثاني القديمة كما بُنيت عند بناء ما تبقى منها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الحالات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دورة حياة الكيانات وانتقالاتها المسموحة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docs/readiness/Masslak_Behaviour_Models_AR_v1.1.docx: 24 مخططاً لتسعة عشر كياناً، مع مكان فرض كل انتقال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إضافة كيانات أخرى عند بنائها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مخططات التسلسل</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ترتيب الرسائل بين المستخدم والتطبيق والخادم والقاعدة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عشرة مخططات (الحجز، الصعود، الإلغاء، البيان، السحب، الصورة، صلاحيات المحطات، التسجيل والصعود في المحطة، إلغاء الناقل لرحلة، قسيمة الشريك)</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ب5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العمليات التشغيلية (BPMN أو مخططات النشاط)</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خطوات العمل اليومية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الوثيقة نفسها: تسعة مخططات نشاط (الكاونتر والتوريد، الصعود، الدفع اللاحق، تسجيل الناقل، سياسة الصورة، الإقفال المالي، الاستغاثة والحوادث، المسافر في المحطة، إلغاء الناقل لرحلة)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معالجة الشكوى حتى التعويض، وما بعد الاستغاثة خارج النظام: مع فرق التشغيل والدعم</w:t>
            </w:r>
          </w:p>
        </w:tc>
      </w:tr>
    </w:tbl>
    <w:p>
      <w:pPr>
        <w:pStyle w:val="Heading2"/>
        <w:keepNext/>
        <w:bidi/>
        <w:spacing w:after="100" w:before="240"/>
        <w:jc w:val="right"/>
      </w:pPr>
      <w:r>
        <w:rPr>
          <w:rFonts w:ascii="Arial" w:cs="Arial" w:eastAsia="Arial" w:hAnsi="Arial"/>
          <w:b/>
          <w:bCs/>
          <w:color w:val="0A5BD3"/>
          <w:sz w:val="24"/>
          <w:szCs w:val="24"/>
          <w:rtl/>
        </w:rPr>
        <w:t xml:space="preserve">ج. التصميم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وثيقة البنية المعمارية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الطبقات والوحدات وتكامل القاعدة والأمن</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docs/architecture/ARCHITECTURE.md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مراجعة فقط</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قاعدة البيانات ومخططات ERD</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الجداول والعلاقات والقيود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docs/database/Masslak_Database_Design_and_ERD_v3.14.docx: حتى ملف القاعدة 1112، 522 جدولاً و1514 مفتاحاً أجنبياً و44 مخططاً، مع أدلة تحقق من بناء جديد</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يُعاد توليدها مع كل تغيير في القاعدة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قاموس البيانات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كل جدول وعمود وقيد</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db/DATA_DICTIONARY.md، يولَّد من القاعدة: 524 جدولاً و5410 أعمدة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مواصفة الواجهات البرمجية (API)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المسارات والطلبات والردود</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docs/api/openapi-baseline.json وdocs/api/API_CHANGES.md، والواجهة العامة v1: 480 عملية، منها مسارات الصورة والمحطات والشاشات والمواقف والشعارات</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التكامل والأحداث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الأحداث الصادرة، والواجهة العامة للشركاء والجهات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docs/integration/EVENTS.md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المزودين ومواصفاتهم: الدفع الإلكتروني، التحقق من الهوية، الجهات الرسمية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الواجهات وتجربة المستخدم</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نظام التصميم والنماذج الأولية للشاشات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docs/design؛ وشاشات محطات الصعود مبنية وروجعت تصميمياً (docs/design/STATION_SCREENS_REVIEW.md): عشرون ملاحظة، أُصلحت منها خمس عشرة (ملف القاعدة 1113)، ونُفّذت قرارات المالك بعدها (الملفان 1114 و1115): الصعود برقم التذكرة ومرجع الحجز، وتناوب العربية والإنجليزية على الشاشة، وتخصيص المواقف من إدارة المحطة، وشعارات الشركات، وأرقام الرحلات القصيرة (TRIP_NUMBERS.md)؛ وبروتوكول الاختبار مع المستخدمين جاهز (STATION_USER_TESTING.md)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جلسات الاختبار مع مستخدمين فعليين في المحطة التجريبية (7 إلى 18 كانون الأول 2026)، وشاشات سياسة الصورة</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ج7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تصميم الأمن ونموذج التهديد وتقييم الأثر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الضوابط والتهديدات ومعالجاتها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قسم الأمن في ARCHITECTURE.md؛ تقييم أثر المساعد الذكي؛ ونطاق اختبار الاختراق؛ وdocs/readiness/Masslak_DPIA_Boarding_Photo_AR_v0.2.docx (ومنه صورة الكاونتر)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 تقييم أثر صورة الصعود من مسؤول حماية البيانات قبل تشغيلها</w:t>
            </w:r>
          </w:p>
        </w:tc>
      </w:tr>
    </w:tbl>
    <w:p>
      <w:pPr>
        <w:pStyle w:val="Heading2"/>
        <w:keepNext/>
        <w:bidi/>
        <w:spacing w:after="100" w:before="240"/>
        <w:jc w:val="right"/>
      </w:pPr>
      <w:r>
        <w:rPr>
          <w:rFonts w:ascii="Arial" w:cs="Arial" w:eastAsia="Arial" w:hAnsi="Arial"/>
          <w:b/>
          <w:bCs/>
          <w:color w:val="0A5BD3"/>
          <w:sz w:val="24"/>
          <w:szCs w:val="24"/>
          <w:rtl/>
        </w:rPr>
        <w:t xml:space="preserve">د. الجودة والقبول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استراتيجية الاختبار وخطة القبول</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الاختبار، ومعايير الدخول والخروج، وسيناريوهات القبول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أُعدّت في هذه الحزمة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docs/readiness/Masslak_Test_and_Acceptance_Plan_AR_v1.1.docx: 45 سيناريو، منها ثمانية لما بُني حتى ملف القاعدة 1112</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اعتمادها، ثم تنفيذها مع المالك والناقل التجريبي</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الاختبارات الآلية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دليل مستمر على سلوك النظام</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db/tests: 706 فحوص؛ backend/tests: 691 اختباراً ناجحاً و10 متخطاة؛ فحوص الويب والجوال وإتاحة الشاشات بالعربية والإنجليزية في CI</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الأداء والسعة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قدرة النظام على الحمل المتوقع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docs/operations/CAPACITY_MODEL.md وPERFORMANCE_BASELINE.md، وأدوات اختبار الحمل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قياس على بيئة ما قبل الإنتاج عند الذروة وضعفيها</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اختبار الاختراق</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فحص مستقل للأمن</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النطاق في docs/security/PENETRATION_TEST_SCOPE.md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تنفيذه بجهة مستقلة قبل الإطلاق العام</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د5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محاضر قبول المستخدم (UAT)</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توقيع المالك والمستخدمين على السيناريوهات</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ناقصة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النموذج في خطة القبول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تُملأ أثناء القبول والمرحلة التجريبية</w:t>
            </w:r>
          </w:p>
        </w:tc>
      </w:tr>
    </w:tbl>
    <w:p>
      <w:pPr>
        <w:pStyle w:val="Heading2"/>
        <w:keepNext/>
        <w:bidi/>
        <w:spacing w:after="100" w:before="240"/>
        <w:jc w:val="right"/>
      </w:pPr>
      <w:r>
        <w:rPr>
          <w:rFonts w:ascii="Arial" w:cs="Arial" w:eastAsia="Arial" w:hAnsi="Arial"/>
          <w:b/>
          <w:bCs/>
          <w:color w:val="0A5BD3"/>
          <w:sz w:val="24"/>
          <w:szCs w:val="24"/>
          <w:rtl/>
        </w:rPr>
        <w:t xml:space="preserve">هـ. التشغيل</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متطلبات البنية التحتية والاستضافة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الخوادم والبرمجيات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docs/operations/INFRASTRUCTURE_REQUIREMENTS.md والنسخة العربية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التشغيل (Runbooks)</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الإجراءات خطوة بخطوة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docs/operations/RUNBOOKS.md: 32 قسماً</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الاستمرارية والتعافي من الكوارث</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التوافر العالي والنسخ والاستعادة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docs/operations/HIGH_AVAILABILITY.md؛ RPO 60 ثانية؛ تمارين الاستعادة والتحويل</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تمرين على عتاد الإنتاج نفسه</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مستويات الخدمة والمراقبة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أهداف الخدمة والتنبيهات</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docs/operations/SLO.md، معتمدة في 8 تشرين الأول 2026</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بوابات الإطلاق</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معايير الانتقال إلى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 جزئياً</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docs/operations/LAUNCH_GATES.md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أدلة البوابات 1 إلى 8 وقرار الإطلاق الموقّع</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ملف الإنتاج وبيئة ما قبل الإنتاج</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يُفرض على خادم الإنتاج، وبيئة staging</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docs/operations/PRODUCTION_PROFILE.md وSTAGING.md</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إدارة الإصدارات والتغيير</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خريطة الإصدارات وخطط ترحيل القاعدة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docs/operations/RELEASE_MAP.md وdocs/database/MIGRATION_PLANS.md</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هـ8</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الحد الأدنى من الكوادر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أدوار التشغيل وأعدادها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docs/operations/STAFFING.md والنسخة العربية</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bl>
    <w:p>
      <w:pPr>
        <w:pStyle w:val="Heading2"/>
        <w:keepNext/>
        <w:bidi/>
        <w:spacing w:after="100" w:before="240"/>
        <w:jc w:val="right"/>
      </w:pPr>
      <w:r>
        <w:rPr>
          <w:rFonts w:ascii="Arial" w:cs="Arial" w:eastAsia="Arial" w:hAnsi="Arial"/>
          <w:b/>
          <w:bCs/>
          <w:color w:val="0A5BD3"/>
          <w:sz w:val="24"/>
          <w:szCs w:val="24"/>
          <w:rtl/>
        </w:rPr>
        <w:t xml:space="preserve">و. المشروع والحوكمة</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الجدول الزمني للتنفيذ</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مراحل التنفيذ ومددها</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docs/plan/Masslak_Implementation_Timeline_v3.0 (HTML وPDF) والنسخة العربية: ما أُنجز حتى ملف القاعدة 1129 وما بقي؛ الإطلاق التجريبي 4 كانون الثاني 2027 والإطلاق العام 22 آذار 2027 إذا اكتملت مدخلات المالك بحلول 13 تشرين الثاني 2026</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تحديثه مع كل تأخير في المدخلات أو العقود أو الجهات</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مصفوفة المسؤوليات (RACI)</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من يقرر ومن ينفذ ومن يُستشار ومن يُبلَّغ</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docs/readiness/Masslak_RACI_Matrix_AR_v0.2.docx: 25 نشاطاً و9 أدوار</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أسماء الأشخاص ونوابهم، ومسار التصعيد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دراسة الجدوى</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المبررات المالية والاستثمارية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مكتملة</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الدراسة العربية المسلّمة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التدريب ومواده</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تدريب كل دور على ما يخصه</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docs/readiness/Masslak_Training_Plan_AR_v0.2.docx: عشرة مسارات بمعايير اجتياز؛ ودليل المستخدم العربي المسلّم</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تحديث دليل المستخدم بالميزات الأخيرة، واعتماد المدد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و5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خطة التحميل الأولي للبيانات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إدخال المرجعيات والناقلين والمحطات والأسطول والشبكة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مسودة تنتظر الاعتماد</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docs/readiness/Masslak_Initial_Data_Load_Plan_AR_v0.2.docx: ترتيب 14 نوع بيانات بمصدره وأداته وتحققه، مع أداة التحميل الجماعي</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قوائم المصادر الأولى، وملفات CSV لكل ناقل</w:t>
            </w:r>
          </w:p>
        </w:tc>
      </w:tr>
    </w:tbl>
    <w:p>
      <w:pPr>
        <w:pStyle w:val="Heading2"/>
        <w:keepNext/>
        <w:bidi/>
        <w:spacing w:after="100" w:before="240"/>
        <w:jc w:val="right"/>
      </w:pPr>
      <w:r>
        <w:rPr>
          <w:rFonts w:ascii="Arial" w:cs="Arial" w:eastAsia="Arial" w:hAnsi="Arial"/>
          <w:b/>
          <w:bCs/>
          <w:color w:val="0A5BD3"/>
          <w:sz w:val="24"/>
          <w:szCs w:val="24"/>
          <w:rtl/>
        </w:rPr>
        <w:t xml:space="preserve">ز. القانون والتنظيم</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78"/>
        <w:gridCol w:w="1735"/>
        <w:gridCol w:w="1735"/>
        <w:gridCol w:w="1060"/>
        <w:gridCol w:w="2410"/>
        <w:gridCol w:w="2120"/>
      </w:tblGrid>
      <w:tr>
        <w:trPr>
          <w:tblHeader/>
        </w:trPr>
        <w:tc>
          <w:tcPr>
            <w:tcW w:type="dxa" w:w="578"/>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الرقم</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الوثيقة</w:t>
            </w:r>
          </w:p>
        </w:tc>
        <w:tc>
          <w:tcPr>
            <w:tcW w:type="dxa" w:w="1735"/>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الغرض</w:t>
            </w:r>
          </w:p>
        </w:tc>
        <w:tc>
          <w:tcPr>
            <w:tcW w:type="dxa" w:w="106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w:t>
            </w:r>
          </w:p>
        </w:tc>
        <w:tc>
          <w:tcPr>
            <w:tcW w:type="dxa" w:w="241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المكان الحالي</w:t>
            </w:r>
          </w:p>
        </w:tc>
        <w:tc>
          <w:tcPr>
            <w:tcW w:type="dxa" w:w="212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ما يلزم لإكمالها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ز1</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سياسة الخصوصية وشروط الاستخدام ونماذج الاتفاقيات</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الأساس التعاقدي مع المسافر والناقل والوكيل وشركة التشغيل</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صياغة قانونية واعتماد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ز2</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القانوني لصورة الصعود ولصورة الكاونتر</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شرط تشغيل الميزة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الميزتان مغلقتان؛ صورة الكاونتر دور خامس لا يُفعَّل إلا بتغيير يسجّل رقم المستند القانوني (1111)</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المستند ورقمه، يُسجَّل عند الاعتماد</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ز3</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قائمة التراخيص وصيغة ترقيم المراجع</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ما يجب أن يحمله الناقل من أرقام</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الحقول قائمة واختيارية</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القائمة والصيغة من الجهات المختصة</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ز4</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قيم نافذة الصعود الرسمية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يفتح الكاونتر ويغلق قبل المغادرة</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قائم وفارغ</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الهيئات</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ز5</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عقود مزودي الدفع والرسائل والتحقق من الهوية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فتح الدفع بالبطاقة والتقسيط والتمويل، والرسائل، والتحقق من الهوية</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الخيارات مغلقة حتى يُفعَّل مزود</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العقود وإعدادات المزود</w:t>
            </w:r>
          </w:p>
        </w:tc>
      </w:tr>
      <w:tr>
        <w:trPr>
          <w:cantSplit/>
        </w:trPr>
        <w:tc>
          <w:tcPr>
            <w:tcW w:type="dxa" w:w="578"/>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ز6</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الشرائح والنسب الضريبية المعتمدة ومواصفة الإرسال إلى الهيئة الضريبية</w:t>
            </w:r>
          </w:p>
        </w:tc>
        <w:tc>
          <w:tcPr>
            <w:tcW w:type="dxa" w:w="1735"/>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ضرائب الفواتير الإلكترونية وإرسالها</w:t>
            </w:r>
          </w:p>
        </w:tc>
        <w:tc>
          <w:tcPr>
            <w:tcW w:type="dxa" w:w="106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محرك الضرائب مبني (1108): الإعفاء والصفر والشرائح والضريبة المركبة والضريبة على الضريبة، ويعتمدها المالي</w:t>
            </w:r>
          </w:p>
        </w:tc>
        <w:tc>
          <w:tcPr>
            <w:tcW w:type="dxa" w:w="212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القيم من الهيئة الضريبية، ومواصفة الربط معها</w:t>
            </w:r>
          </w:p>
        </w:tc>
      </w:tr>
      <w:tr>
        <w:trPr>
          <w:cantSplit/>
        </w:trPr>
        <w:tc>
          <w:tcPr>
            <w:tcW w:type="dxa" w:w="578"/>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6"/>
                <w:szCs w:val="16"/>
                <w:rtl/>
              </w:rPr>
              <w:t xml:space="preserve">ز7</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قرار الجهة الناظمة بغرامة إلغاء الرحلة</w:t>
            </w:r>
          </w:p>
        </w:tc>
        <w:tc>
          <w:tcPr>
            <w:tcW w:type="dxa" w:w="1735"/>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متى تُفرض الغرامة على الناقل ولمن تُدفع</w:t>
            </w:r>
          </w:p>
        </w:tc>
        <w:tc>
          <w:tcPr>
            <w:tcW w:type="dxa" w:w="106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مدخل من المالك</w:t>
            </w:r>
          </w:p>
        </w:tc>
        <w:tc>
          <w:tcPr>
            <w:tcW w:type="dxa" w:w="241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الإعداد مبني ومعطّل (1106)، ويُفعَّل برقم القرار</w:t>
            </w:r>
          </w:p>
        </w:tc>
        <w:tc>
          <w:tcPr>
            <w:tcW w:type="dxa" w:w="212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6"/>
                <w:szCs w:val="16"/>
                <w:rtl/>
              </w:rPr>
              <w:t xml:space="preserve">القرار ورقمه إن صدر</w:t>
            </w:r>
          </w:p>
        </w:tc>
      </w:tr>
    </w:tbl>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4. ترتيب القراءة المقترح للجهة المختصة</w:t>
      </w:r>
    </w:p>
    <w:p>
      <w:pPr>
        <w:pStyle w:val="ListParagraph"/>
        <w:numPr>
          <w:ilvl w:val="0"/>
          <w:numId w:val="3"/>
        </w:numPr>
        <w:bidi/>
        <w:spacing w:after="80" w:line="290"/>
        <w:jc w:val="right"/>
      </w:pPr>
      <w:r>
        <w:rPr>
          <w:rFonts w:ascii="Arial" w:cs="Arial" w:eastAsia="Arial" w:hAnsi="Arial"/>
          <w:color w:val="0F1B2D"/>
          <w:sz w:val="21"/>
          <w:szCs w:val="21"/>
          <w:rtl/>
        </w:rPr>
        <w:t xml:space="preserve">هذا السجل، ثم وثيقة البنية المعمارية (ج1) لفهم الطبقات والوحدات.</w:t>
      </w:r>
    </w:p>
    <w:p>
      <w:pPr>
        <w:pStyle w:val="ListParagraph"/>
        <w:numPr>
          <w:ilvl w:val="0"/>
          <w:numId w:val="3"/>
        </w:numPr>
        <w:bidi/>
        <w:spacing w:after="80" w:line="290"/>
        <w:jc w:val="right"/>
      </w:pPr>
      <w:r>
        <w:rPr>
          <w:rFonts w:ascii="Arial" w:cs="Arial" w:eastAsia="Arial" w:hAnsi="Arial"/>
          <w:color w:val="0F1B2D"/>
          <w:sz w:val="21"/>
          <w:szCs w:val="21"/>
          <w:rtl/>
        </w:rPr>
        <w:t xml:space="preserve">دراسة التحليل والتصميم 3.6 (أ1) للخدمات والأدوار والقواعد.</w:t>
      </w:r>
    </w:p>
    <w:p>
      <w:pPr>
        <w:pStyle w:val="ListParagraph"/>
        <w:numPr>
          <w:ilvl w:val="0"/>
          <w:numId w:val="3"/>
        </w:numPr>
        <w:bidi/>
        <w:spacing w:after="80" w:line="290"/>
        <w:jc w:val="right"/>
      </w:pPr>
      <w:r>
        <w:rPr>
          <w:rFonts w:ascii="Arial" w:cs="Arial" w:eastAsia="Arial" w:hAnsi="Arial"/>
          <w:color w:val="0F1B2D"/>
          <w:sz w:val="21"/>
          <w:szCs w:val="21"/>
          <w:rtl/>
        </w:rPr>
        <w:t xml:space="preserve">حالات الاستخدام وتدفق البيانات 2.1 (ب1، ب2)، ثم نماذج السلوك (ب3 إلى ب5).</w:t>
      </w:r>
    </w:p>
    <w:p>
      <w:pPr>
        <w:pStyle w:val="ListParagraph"/>
        <w:numPr>
          <w:ilvl w:val="0"/>
          <w:numId w:val="3"/>
        </w:numPr>
        <w:bidi/>
        <w:spacing w:after="80" w:line="290"/>
        <w:jc w:val="right"/>
      </w:pPr>
      <w:r>
        <w:rPr>
          <w:rFonts w:ascii="Arial" w:cs="Arial" w:eastAsia="Arial" w:hAnsi="Arial"/>
          <w:color w:val="0F1B2D"/>
          <w:sz w:val="21"/>
          <w:szCs w:val="21"/>
          <w:rtl/>
        </w:rPr>
        <w:t xml:space="preserve">مواصفات المتطلبات ومصفوفة التتبع وكتالوج قواعد الأعمال (أ2 إلى أ4).</w:t>
      </w:r>
    </w:p>
    <w:p>
      <w:pPr>
        <w:pStyle w:val="ListParagraph"/>
        <w:numPr>
          <w:ilvl w:val="0"/>
          <w:numId w:val="3"/>
        </w:numPr>
        <w:bidi/>
        <w:spacing w:after="80" w:line="290"/>
        <w:jc w:val="right"/>
      </w:pPr>
      <w:r>
        <w:rPr>
          <w:rFonts w:ascii="Arial" w:cs="Arial" w:eastAsia="Arial" w:hAnsi="Arial"/>
          <w:color w:val="0F1B2D"/>
          <w:sz w:val="21"/>
          <w:szCs w:val="21"/>
          <w:rtl/>
        </w:rPr>
        <w:t xml:space="preserve">تصميم القاعدة 3.14 وقاموس البيانات (ج2، ج3)، ثم مواصفة الواجهات (ج4).</w:t>
      </w:r>
    </w:p>
    <w:p>
      <w:pPr>
        <w:pStyle w:val="ListParagraph"/>
        <w:numPr>
          <w:ilvl w:val="0"/>
          <w:numId w:val="3"/>
        </w:numPr>
        <w:bidi/>
        <w:spacing w:after="80" w:line="290"/>
        <w:jc w:val="right"/>
      </w:pPr>
      <w:r>
        <w:rPr>
          <w:rFonts w:ascii="Arial" w:cs="Arial" w:eastAsia="Arial" w:hAnsi="Arial"/>
          <w:color w:val="0F1B2D"/>
          <w:sz w:val="21"/>
          <w:szCs w:val="21"/>
          <w:rtl/>
        </w:rPr>
        <w:t xml:space="preserve">خطة الاختبار والقبول (د1) مع نتائج الاختبارات الآلية (د2).</w:t>
      </w:r>
    </w:p>
    <w:p>
      <w:pPr>
        <w:pStyle w:val="ListParagraph"/>
        <w:numPr>
          <w:ilvl w:val="0"/>
          <w:numId w:val="3"/>
        </w:numPr>
        <w:bidi/>
        <w:spacing w:after="80" w:line="290"/>
        <w:jc w:val="right"/>
      </w:pPr>
      <w:r>
        <w:rPr>
          <w:rFonts w:ascii="Arial" w:cs="Arial" w:eastAsia="Arial" w:hAnsi="Arial"/>
          <w:color w:val="0F1B2D"/>
          <w:sz w:val="21"/>
          <w:szCs w:val="21"/>
          <w:rtl/>
        </w:rPr>
        <w:t xml:space="preserve">وثائق التشغيل: البنية التحتية، الاستمرارية، مستويات الخدمة، بوابات الإطلاق (هـ1 إلى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5. ما نقترح أن تقدمه الجهة المختصة</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المتطلبات: </w:t>
      </w:r>
      <w:r>
        <w:rPr>
          <w:rFonts w:ascii="Arial" w:cs="Arial" w:eastAsia="Arial" w:hAnsi="Arial"/>
          <w:color w:val="0F1B2D"/>
          <w:sz w:val="21"/>
          <w:szCs w:val="21"/>
          <w:rtl/>
        </w:rPr>
        <w:t xml:space="preserve">مراجعة خط أساس المتطلبات ومصفوفة التتبع، وصياغة متطلبات الإطلاق بصيغة «يجب أن» (أ2، أ3).</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العمليات: </w:t>
      </w:r>
      <w:r>
        <w:rPr>
          <w:rFonts w:ascii="Arial" w:cs="Arial" w:eastAsia="Arial" w:hAnsi="Arial"/>
          <w:color w:val="0F1B2D"/>
          <w:sz w:val="21"/>
          <w:szCs w:val="21"/>
          <w:rtl/>
        </w:rPr>
        <w:t xml:space="preserve">مراجعة مخططات النشاط، وإكمال نماذج الحوادث وفحص الكاونتر وإلغاء الرحلة مع فرق التشغيل (ب5).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التصميم: </w:t>
      </w:r>
      <w:r>
        <w:rPr>
          <w:rFonts w:ascii="Arial" w:cs="Arial" w:eastAsia="Arial" w:hAnsi="Arial"/>
          <w:color w:val="0F1B2D"/>
          <w:sz w:val="21"/>
          <w:szCs w:val="21"/>
          <w:rtl/>
        </w:rPr>
        <w:t xml:space="preserve">مراجعة البنية والقاعدة والواجهات، والمشاركة في اختبار شاشات المحطات مع المستخدمين (ج1 إلى ج6).</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الأمن والخصوصية: </w:t>
      </w:r>
      <w:r>
        <w:rPr>
          <w:rFonts w:ascii="Arial" w:cs="Arial" w:eastAsia="Arial" w:hAnsi="Arial"/>
          <w:color w:val="0F1B2D"/>
          <w:sz w:val="21"/>
          <w:szCs w:val="21"/>
          <w:rtl/>
        </w:rPr>
        <w:t xml:space="preserve">مراجعة نموذج التهديد ومسودة تقييم أثر صورة الصعود، والإشراف على اختبار الاختراق (ج7، د4).</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القبول: </w:t>
      </w:r>
      <w:r>
        <w:rPr>
          <w:rFonts w:ascii="Arial" w:cs="Arial" w:eastAsia="Arial" w:hAnsi="Arial"/>
          <w:color w:val="0F1B2D"/>
          <w:sz w:val="21"/>
          <w:szCs w:val="21"/>
          <w:rtl/>
        </w:rPr>
        <w:t xml:space="preserve">تيسير اختبار قبول المستخدم وتوثيق محاضره مع المالك والناقل التجريبي (د1، د5).</w:t>
      </w:r>
    </w:p>
    <w:p>
      <w:pPr>
        <w:pStyle w:val="ListParagraph"/>
        <w:numPr>
          <w:ilvl w:val="0"/>
          <w:numId w:val="2"/>
        </w:numPr>
        <w:bidi/>
        <w:spacing w:after="80" w:line="290"/>
        <w:jc w:val="right"/>
      </w:pPr>
      <w:r>
        <w:rPr>
          <w:rFonts w:ascii="Arial" w:cs="Arial" w:eastAsia="Arial" w:hAnsi="Arial"/>
          <w:b/>
          <w:bCs/>
          <w:color w:val="0F1B2D"/>
          <w:sz w:val="21"/>
          <w:szCs w:val="21"/>
          <w:rtl/>
        </w:rPr>
        <w:t xml:space="preserve">التشغيل: </w:t>
      </w:r>
      <w:r>
        <w:rPr>
          <w:rFonts w:ascii="Arial" w:cs="Arial" w:eastAsia="Arial" w:hAnsi="Arial"/>
          <w:color w:val="0F1B2D"/>
          <w:sz w:val="21"/>
          <w:szCs w:val="21"/>
          <w:rtl/>
        </w:rPr>
        <w:t xml:space="preserve">مراجعة جاهزية التشغيل وبوابات الإطلاق قبل قرار الإطلاق (هـ5).</w:t>
      </w:r>
    </w:p>
    <w:p>
      <w:pPr>
        <w:pStyle w:val="Heading1"/>
        <w:keepNext/>
        <w:pBdr>
          <w:bottom w:val="single" w:color="0A5BD3" w:sz="10" w:space="4"/>
        </w:pBdr>
        <w:bidi/>
        <w:spacing w:after="160" w:before="360"/>
        <w:jc w:val="right"/>
      </w:pPr>
      <w:r>
        <w:rPr>
          <w:rFonts w:ascii="Arial" w:cs="Arial" w:eastAsia="Arial" w:hAnsi="Arial"/>
          <w:b/>
          <w:bCs/>
          <w:color w:val="0B1F3F"/>
          <w:sz w:val="30"/>
          <w:szCs w:val="30"/>
          <w:rtl/>
        </w:rPr>
        <w:t xml:space="preserve">6. القرارات المفتوحة لدى المالك</w:t>
      </w:r>
    </w:p>
    <w:tbl>
      <w:tblPr>
        <w:bidiVisual/>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470"/>
        <w:gridCol w:w="2699"/>
        <w:gridCol w:w="3470"/>
      </w:tblGrid>
      <w:tr>
        <w:trPr>
          <w:tblHeader/>
        </w:trPr>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القرار</w:t>
            </w:r>
          </w:p>
        </w:tc>
        <w:tc>
          <w:tcPr>
            <w:tcW w:type="dxa" w:w="2699"/>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أثره</w:t>
            </w:r>
          </w:p>
        </w:tc>
        <w:tc>
          <w:tcPr>
            <w:tcW w:type="dxa" w:w="3470"/>
            <w:tcBorders>
              <w:top w:val="single" w:color="D5DBE3" w:sz="4"/>
              <w:left w:val="none" w:color="FFFFFF" w:sz="0"/>
              <w:bottom w:val="single" w:color="D5DBE3" w:sz="4"/>
              <w:right w:val="none" w:color="FFFFFF" w:sz="0"/>
            </w:tcBorders>
            <w:shd w:fill="0B1F3F" w:color="auto" w:val="clear"/>
            <w:tcMar>
              <w:top w:type="dxa" w:w="60"/>
              <w:left w:type="dxa" w:w="90"/>
              <w:bottom w:type="dxa" w:w="60"/>
              <w:right w:type="dxa" w:w="90"/>
            </w:tcMar>
          </w:tcPr>
          <w:p>
            <w:pPr>
              <w:bidi/>
              <w:spacing w:after="0" w:line="255"/>
              <w:jc w:val="right"/>
            </w:pPr>
            <w:r>
              <w:rPr>
                <w:rFonts w:ascii="Arial" w:cs="Arial" w:eastAsia="Arial" w:hAnsi="Arial"/>
                <w:b/>
                <w:bCs/>
                <w:color w:val="FFFFFF"/>
                <w:sz w:val="18"/>
                <w:szCs w:val="18"/>
                <w:rtl/>
              </w:rPr>
              <w:t xml:space="preserve">الحالة في النظام</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قيم نافذة الصعود التي قد تحددها الهيئات</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متى يفتح الكاونتر ويغلق قبل المغادرة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قائم وفارغ؛ لكل محطة نافذتها الخاصة</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صيغة ترقيم مراجع الاتفاقيات والتراخيص</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التحقق من صحة الأرقام</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تُقبل الأرقام كما يُدخلها الناقل، دون فرض صيغة</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التراخيص المطلوبة، وما يلزم منها في المرحلة الأولى</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يُطلب من الناقل</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الإعداد boarding.references.required فارغ</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المستند القانوني لصورة الكاونتر ورقمه</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تفعيل صورة الكاونتر</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مبنية ومغلقة (1111)؛ لا تُفعَّل من المنصة حتى تُعتمد الموافقات القانونية والتشريعية ويُسجَّل رقم مستندها</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قائمة الصلاحيات النهائية لشركات التشغيل</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تفعله شركة التشغيل في الكاونتر</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الصلاحيات الثلاث مبنية بشاشاتها: البيع من الكاونتر (المرحلة الأولى)، بطاقة الصعود، الصعود</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القيم الضريبية المعتمدة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ضرائب الفواتير الإلكترونية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محرك الضرائب مبني؛ تُدخل الشرائح والنسب ويعتمدها المالي</w:t>
            </w:r>
          </w:p>
        </w:tc>
      </w:tr>
      <w:tr>
        <w:trPr>
          <w:cantSplit/>
        </w:trPr>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قرار غرامة إلغاء الرحلة</w:t>
            </w:r>
          </w:p>
        </w:tc>
        <w:tc>
          <w:tcPr>
            <w:tcW w:type="dxa" w:w="2699"/>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ما يُخصم من الناقل الذي يلغي رحلة</w:t>
            </w:r>
          </w:p>
        </w:tc>
        <w:tc>
          <w:tcPr>
            <w:tcW w:type="dxa" w:w="3470"/>
            <w:tcBorders>
              <w:top w:val="single" w:color="D5DBE3" w:sz="4"/>
              <w:left w:val="none" w:color="FFFFFF" w:sz="0"/>
              <w:bottom w:val="single" w:color="D5DBE3" w:sz="4"/>
              <w:right w:val="none" w:color="FFFFFF" w:sz="0"/>
            </w:tcBorders>
            <w:shd w:fill="FFFFFF"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معطّلة حتى تفرضها الجهات الناظمة برقم قرارها</w:t>
            </w:r>
          </w:p>
        </w:tc>
      </w:tr>
      <w:tr>
        <w:trPr>
          <w:cantSplit/>
        </w:trPr>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bCs/>
                <w:color w:val="0F1B2D"/>
                <w:sz w:val="17"/>
                <w:szCs w:val="17"/>
                <w:rtl/>
              </w:rPr>
              <w:t xml:space="preserve">عقود مزودي الدفع الإلكتروني والتحقق من الهوية</w:t>
            </w:r>
          </w:p>
        </w:tc>
        <w:tc>
          <w:tcPr>
            <w:tcW w:type="dxa" w:w="2699"/>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فتح الخيارات المغلقة</w:t>
            </w:r>
          </w:p>
        </w:tc>
        <w:tc>
          <w:tcPr>
            <w:tcW w:type="dxa" w:w="3470"/>
            <w:tcBorders>
              <w:top w:val="single" w:color="D5DBE3" w:sz="4"/>
              <w:left w:val="none" w:color="FFFFFF" w:sz="0"/>
              <w:bottom w:val="single" w:color="D5DBE3" w:sz="4"/>
              <w:right w:val="none" w:color="FFFFFF" w:sz="0"/>
            </w:tcBorders>
            <w:shd w:fill="F1F5FA" w:color="auto" w:val="clear"/>
            <w:tcMar>
              <w:top w:type="dxa" w:w="60"/>
              <w:left w:type="dxa" w:w="90"/>
              <w:bottom w:type="dxa" w:w="60"/>
              <w:right w:type="dxa" w:w="90"/>
            </w:tcMar>
          </w:tcPr>
          <w:p>
            <w:pPr>
              <w:bidi/>
              <w:spacing w:after="0" w:line="255"/>
              <w:jc w:val="right"/>
            </w:pPr>
            <w:r>
              <w:rPr>
                <w:rFonts w:ascii="Arial" w:cs="Arial" w:eastAsia="Arial" w:hAnsi="Arial"/>
                <w:b w:val="false"/>
                <w:bCs w:val="false"/>
                <w:color w:val="0F1B2D"/>
                <w:sz w:val="17"/>
                <w:szCs w:val="17"/>
                <w:rtl/>
              </w:rPr>
              <w:t xml:space="preserve">تُفتح بإعداد المزود دون تغيير في الكود</w:t>
            </w:r>
          </w:p>
        </w:tc>
      </w:tr>
    </w:tbl>
    <w:p>
      <w:pPr>
        <w:bidi/>
        <w:spacing w:after="120" w:line="300"/>
        <w:jc w:val="right"/>
      </w:pPr>
      <w:r>
        <w:rPr>
          <w:rFonts w:ascii="Arial" w:cs="Arial" w:eastAsia="Arial" w:hAnsi="Arial"/>
          <w:color w:val="0F1B2D"/>
          <w:sz w:val="21"/>
          <w:szCs w:val="21"/>
          <w:rtl/>
        </w:rPr>
        <w:t xml:space="preserve"/>
      </w:r>
    </w:p>
    <w:p>
      <w:pPr>
        <w:bidi/>
        <w:spacing w:after="120" w:line="300"/>
        <w:jc w:val="right"/>
      </w:pPr>
      <w:r>
        <w:rPr>
          <w:rFonts w:ascii="Arial" w:cs="Arial" w:eastAsia="Arial" w:hAnsi="Arial"/>
          <w:color w:val="0F1B2D"/>
          <w:sz w:val="21"/>
          <w:szCs w:val="21"/>
          <w:rtl/>
        </w:rPr>
        <w:t xml:space="preserve">تُحدَّث حالات هذا السجل مع كل وثيقة تكتمل، ويُحفظ في المستودع مع مولّده (docs/readiness).</w:t>
      </w:r>
    </w:p>
    <w:sectPr>
      <w:headerReference w:type="default" r:id="rId7"/>
      <w:footerReference w:type="default" r:id="rId8"/>
      <w:pgSz w:w="11906" w:h="16838" w:orient="portrait"/>
      <w:pgMar w:top="1300" w:right="1134" w:bottom="12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4B5565"/>
        <w:sz w:val="16"/>
        <w:szCs w:val="16"/>
        <w:rtl/>
      </w:rPr>
      <w:t xml:space="preserve">صفحة </w:t>
    </w:r>
    <w:r>
      <w:rPr>
        <w:rFonts w:ascii="Arial" w:cs="Arial" w:eastAsia="Arial" w:hAnsi="Arial"/>
        <w:color w:val="4B556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spacing w:after="0" w:line="300"/>
      <w:jc w:val="right"/>
    </w:pPr>
    <w:r>
      <w:rPr>
        <w:rFonts w:ascii="Arial" w:cs="Arial" w:eastAsia="Arial" w:hAnsi="Arial"/>
        <w:color w:val="4B5565"/>
        <w:sz w:val="16"/>
        <w:szCs w:val="16"/>
        <w:rtl/>
      </w:rPr>
      <w:t xml:space="preserve">مسلك · سجل وثائق الجاهزية للتنفيذ · 1.8</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360" w:hanging="260"/>
      </w:pPr>
    </w:lvl>
  </w:abstractNum>
  <w:abstractNum w:abstractNumId="3" w15:restartNumberingAfterBreak="0">
    <w:multiLevelType w:val="hybridMultilevel"/>
    <w:lvl w:ilvl="0" w15:tentative="1">
      <w:start w:val="1"/>
      <w:numFmt w:val="decimal"/>
      <w:lvlText w:val="%1."/>
      <w:lvlJc w:val="right"/>
      <w:pPr>
        <w:ind w:right="42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مسلك · سجل وثائق الجاهزية للتنفيذ · 1.8</dc:title>
  <dc:creator>Masslak</dc:creator>
  <cp:lastModifiedBy>Un-named</cp:lastModifiedBy>
  <cp:revision>1</cp:revision>
  <dcterms:created xsi:type="dcterms:W3CDTF">2026-10-15T04:39:01.411Z</dcterms:created>
  <dcterms:modified xsi:type="dcterms:W3CDTF">2026-10-15T04:39:01.411Z</dcterms:modified>
</cp:coreProperties>
</file>

<file path=docProps/custom.xml><?xml version="1.0" encoding="utf-8"?>
<Properties xmlns="http://schemas.openxmlformats.org/officeDocument/2006/custom-properties" xmlns:vt="http://schemas.openxmlformats.org/officeDocument/2006/docPropsVTypes"/>
</file>