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DOC-S06 — معيار تصنيف البيانات وحمايتها على مستوى الأعمدة والملفات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المستويات الأربعة</w:t>
        </w:r>
      </w:hyperlink>
    </w:p>
    <w:p>
      <w:pPr>
        <w:bidi/>
        <w:spacing w:after="50" w:before="0"/>
        <w:ind w:left="0"/>
      </w:pPr>
      <w:hyperlink w:history="1" w:anchor="_sec3">
        <w:r>
          <w:rPr>
            <w:rFonts w:ascii="Arial" w:cs="Arial" w:eastAsia="Arial" w:hAnsi="Arial"/>
            <w:b/>
            <w:bCs/>
            <w:color w:val="1F3A5F"/>
            <w:sz w:val="20"/>
            <w:szCs w:val="20"/>
            <w:rtl/>
          </w:rPr>
          <w:t xml:space="preserve">3. كيف يعمل الوسم اليوم</w:t>
        </w:r>
      </w:hyperlink>
    </w:p>
    <w:p>
      <w:pPr>
        <w:bidi/>
        <w:spacing w:after="50" w:before="0"/>
        <w:ind w:left="0"/>
      </w:pPr>
      <w:hyperlink w:history="1" w:anchor="_sec4">
        <w:r>
          <w:rPr>
            <w:rFonts w:ascii="Arial" w:cs="Arial" w:eastAsia="Arial" w:hAnsi="Arial"/>
            <w:b/>
            <w:bCs/>
            <w:color w:val="1F3A5F"/>
            <w:sz w:val="20"/>
            <w:szCs w:val="20"/>
            <w:rtl/>
          </w:rPr>
          <w:t xml:space="preserve">4. قواعد التعامل لكل مستوى</w:t>
        </w:r>
      </w:hyperlink>
    </w:p>
    <w:p>
      <w:pPr>
        <w:bidi/>
        <w:spacing w:after="50" w:before="0"/>
        <w:ind w:left="0"/>
      </w:pPr>
      <w:hyperlink w:history="1" w:anchor="_sec5">
        <w:r>
          <w:rPr>
            <w:rFonts w:ascii="Arial" w:cs="Arial" w:eastAsia="Arial" w:hAnsi="Arial"/>
            <w:b/>
            <w:bCs/>
            <w:color w:val="1F3A5F"/>
            <w:sz w:val="20"/>
            <w:szCs w:val="20"/>
            <w:rtl/>
          </w:rPr>
          <w:t xml:space="preserve">5. الأعمدة المقيّدة اليوم (29)</w:t>
        </w:r>
      </w:hyperlink>
    </w:p>
    <w:p>
      <w:pPr>
        <w:bidi/>
        <w:spacing w:after="50" w:before="0"/>
        <w:ind w:left="0"/>
      </w:pPr>
      <w:hyperlink w:history="1" w:anchor="_sec6">
        <w:r>
          <w:rPr>
            <w:rFonts w:ascii="Arial" w:cs="Arial" w:eastAsia="Arial" w:hAnsi="Arial"/>
            <w:b/>
            <w:bCs/>
            <w:color w:val="1F3A5F"/>
            <w:sz w:val="20"/>
            <w:szCs w:val="20"/>
            <w:rtl/>
          </w:rPr>
          <w:t xml:space="preserve">6. الأعمدة السرّية اليوم (23)</w:t>
        </w:r>
      </w:hyperlink>
    </w:p>
    <w:p>
      <w:pPr>
        <w:bidi/>
        <w:spacing w:after="50" w:before="0"/>
        <w:ind w:left="0"/>
      </w:pPr>
      <w:hyperlink w:history="1" w:anchor="_sec8">
        <w:r>
          <w:rPr>
            <w:rFonts w:ascii="Arial" w:cs="Arial" w:eastAsia="Arial" w:hAnsi="Arial"/>
            <w:b/>
            <w:bCs/>
            <w:color w:val="1F3A5F"/>
            <w:sz w:val="20"/>
            <w:szCs w:val="20"/>
            <w:rtl/>
          </w:rPr>
          <w:t xml:space="preserve">7. ما لم يُصنَّف بعد</w:t>
        </w:r>
      </w:hyperlink>
    </w:p>
    <w:p>
      <w:pPr>
        <w:bidi/>
        <w:spacing w:after="50" w:before="0"/>
        <w:ind w:left="0"/>
      </w:pPr>
      <w:hyperlink w:history="1" w:anchor="_sec11">
        <w:r>
          <w:rPr>
            <w:rFonts w:ascii="Arial" w:cs="Arial" w:eastAsia="Arial" w:hAnsi="Arial"/>
            <w:b/>
            <w:bCs/>
            <w:color w:val="1F3A5F"/>
            <w:sz w:val="20"/>
            <w:szCs w:val="20"/>
            <w:rtl/>
          </w:rPr>
          <w:t xml:space="preserve">8. تصنيف الملفات والصور</w:t>
        </w:r>
      </w:hyperlink>
    </w:p>
    <w:p>
      <w:pPr>
        <w:bidi/>
        <w:spacing w:after="50" w:before="0"/>
        <w:ind w:left="0"/>
      </w:pPr>
      <w:hyperlink w:history="1" w:anchor="_sec12">
        <w:r>
          <w:rPr>
            <w:rFonts w:ascii="Arial" w:cs="Arial" w:eastAsia="Arial" w:hAnsi="Arial"/>
            <w:b/>
            <w:bCs/>
            <w:color w:val="1F3A5F"/>
            <w:sz w:val="20"/>
            <w:szCs w:val="20"/>
            <w:rtl/>
          </w:rPr>
          <w:t xml:space="preserve">9. كيف يُصنَّف عمود جديد</w:t>
        </w:r>
      </w:hyperlink>
    </w:p>
    <w:p>
      <w:pPr>
        <w:bidi/>
        <w:spacing w:after="50" w:before="0"/>
        <w:ind w:left="0"/>
      </w:pPr>
      <w:hyperlink w:history="1" w:anchor="_sec13">
        <w:r>
          <w:rPr>
            <w:rFonts w:ascii="Arial" w:cs="Arial" w:eastAsia="Arial" w:hAnsi="Arial"/>
            <w:b/>
            <w:bCs/>
            <w:color w:val="1F3A5F"/>
            <w:sz w:val="20"/>
            <w:szCs w:val="20"/>
            <w:rtl/>
          </w:rPr>
          <w:t xml:space="preserve">10. منع الانحراف</w:t>
        </w:r>
      </w:hyperlink>
    </w:p>
    <w:p>
      <w:pPr>
        <w:bidi/>
        <w:spacing w:after="50" w:before="0"/>
        <w:ind w:left="0"/>
      </w:pPr>
      <w:hyperlink w:history="1" w:anchor="_sec14">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5">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6">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1"/>
        <w:bidi/>
      </w:pPr>
      <w:bookmarkStart w:name="_sec2" w:id="2"/>
      <w:r>
        <w:rPr>
          <w:rFonts w:ascii="Arial" w:cs="Arial" w:eastAsia="Arial" w:hAnsi="Arial"/>
          <w:b/>
          <w:bCs/>
          <w:color w:val="1F3A5F"/>
          <w:sz w:val="32"/>
          <w:szCs w:val="32"/>
          <w:rtl/>
        </w:rPr>
        <w:t xml:space="preserve">2. المستويات الأربعة</w:t>
      </w:r>
      <w:bookmarkEnd w:id="2"/>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1"/>
        <w:bidi/>
      </w:pPr>
      <w:bookmarkStart w:name="_sec3" w:id="3"/>
      <w:r>
        <w:rPr>
          <w:rFonts w:ascii="Arial" w:cs="Arial" w:eastAsia="Arial" w:hAnsi="Arial"/>
          <w:b/>
          <w:bCs/>
          <w:color w:val="1F3A5F"/>
          <w:sz w:val="32"/>
          <w:szCs w:val="32"/>
          <w:rtl/>
        </w:rPr>
        <w:t xml:space="preserve">3. كيف يعمل الوسم اليوم</w:t>
      </w:r>
      <w:bookmarkEnd w:id="3"/>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1"/>
        <w:bidi/>
      </w:pPr>
      <w:bookmarkStart w:name="_sec4" w:id="4"/>
      <w:r>
        <w:rPr>
          <w:rFonts w:ascii="Arial" w:cs="Arial" w:eastAsia="Arial" w:hAnsi="Arial"/>
          <w:b/>
          <w:bCs/>
          <w:color w:val="1F3A5F"/>
          <w:sz w:val="32"/>
          <w:szCs w:val="32"/>
          <w:rtl/>
        </w:rPr>
        <w:t xml:space="preserve">4. قواعد التعامل لكل مستوى</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الأعمدة المقيّدة اليوم (29)</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1"/>
        <w:bidi/>
      </w:pPr>
      <w:bookmarkStart w:name="_sec6" w:id="6"/>
      <w:r>
        <w:rPr>
          <w:rFonts w:ascii="Arial" w:cs="Arial" w:eastAsia="Arial" w:hAnsi="Arial"/>
          <w:b/>
          <w:bCs/>
          <w:color w:val="1F3A5F"/>
          <w:sz w:val="32"/>
          <w:szCs w:val="32"/>
          <w:rtl/>
        </w:rPr>
        <w:t xml:space="preserve">6. الأعمدة السرّية اليوم (23)</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6.1 استثناءات المقيّد بنص صريح </w:t>
      </w:r>
      <w:r>
        <w:rPr>
          <w:rFonts w:ascii="Arial" w:cs="Arial" w:eastAsia="Arial" w:hAnsi="Arial"/>
          <w:color w:val="E0A800"/>
          <w:sz w:val="26"/>
          <w:szCs w:val="26"/>
          <w:rtl/>
        </w:rPr>
        <w:t xml:space="preserve">●</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ما لم يُصنَّف بعد</w:t>
      </w:r>
      <w:bookmarkEnd w:id="8"/>
    </w:p>
    <w:p>
      <w:pPr>
        <w:pStyle w:val="Heading2"/>
        <w:bidi/>
      </w:pPr>
      <w:bookmarkStart w:name="_sec9" w:id="9"/>
      <w:r>
        <w:rPr>
          <w:rFonts w:ascii="Arial" w:cs="Arial" w:eastAsia="Arial" w:hAnsi="Arial"/>
          <w:b/>
          <w:bCs/>
          <w:color w:val="2B5C8A"/>
          <w:sz w:val="26"/>
          <w:szCs w:val="26"/>
          <w:rtl/>
        </w:rPr>
        <w:t xml:space="preserve">7.1 نتائج مراجعة التصميم المفتوحة</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بيانات شخصية بلا وسم (لم تذكرها المراجعة)</w:t>
      </w:r>
      <w:bookmarkEnd w:id="10"/>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8. تصنيف الملفات والصور</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1"/>
        <w:bidi/>
      </w:pPr>
      <w:bookmarkStart w:name="_sec12" w:id="12"/>
      <w:r>
        <w:rPr>
          <w:rFonts w:ascii="Arial" w:cs="Arial" w:eastAsia="Arial" w:hAnsi="Arial"/>
          <w:b/>
          <w:bCs/>
          <w:color w:val="1F3A5F"/>
          <w:sz w:val="32"/>
          <w:szCs w:val="32"/>
          <w:rtl/>
        </w:rPr>
        <w:t xml:space="preserve">9. كيف يُصنَّف عمود جديد</w:t>
      </w:r>
      <w:bookmarkEnd w:id="12"/>
    </w:p>
    <w:p>
      <w:pPr>
        <w:keepNext/>
        <w:bidi/>
        <w:spacing w:after="60" w:before="160"/>
        <w:jc w:val="center"/>
      </w:pPr>
      <w:r>
        <w:drawing>
          <wp:inline distT="0" distB="0" distL="0" distR="0">
            <wp:extent cx="48006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00600" cy="8191500"/>
                    </a:xfrm>
                    <a:prstGeom prst="rect">
                      <a:avLst/>
                    </a:prstGeom>
                  </pic:spPr>
                </pic:pic>
              </a:graphicData>
            </a:graphic>
          </wp:inline>
        </w:drawing>
      </w:r>
    </w:p>
    <w:p>
      <w:pPr>
        <w:pStyle w:val="Heading1"/>
        <w:bidi/>
      </w:pPr>
      <w:bookmarkStart w:name="_sec13" w:id="13"/>
      <w:r>
        <w:rPr>
          <w:rFonts w:ascii="Arial" w:cs="Arial" w:eastAsia="Arial" w:hAnsi="Arial"/>
          <w:b/>
          <w:bCs/>
          <w:color w:val="1F3A5F"/>
          <w:sz w:val="32"/>
          <w:szCs w:val="32"/>
          <w:rtl/>
        </w:rPr>
        <w:t xml:space="preserve">10. منع الانحراف </w:t>
      </w:r>
      <w:r>
        <w:rPr>
          <w:rFonts w:ascii="Arial" w:cs="Arial" w:eastAsia="Arial" w:hAnsi="Arial"/>
          <w:color w:val="E0A800"/>
          <w:sz w:val="32"/>
          <w:szCs w:val="32"/>
          <w:rtl/>
        </w:rPr>
        <w:t xml:space="preserve">●</w:t>
      </w:r>
      <w:bookmarkEnd w:id="13"/>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1"/>
        <w:bidi/>
      </w:pPr>
      <w:bookmarkStart w:name="_sec14" w:id="14"/>
      <w:r>
        <w:rPr>
          <w:rFonts w:ascii="Arial" w:cs="Arial" w:eastAsia="Arial" w:hAnsi="Arial"/>
          <w:b/>
          <w:bCs/>
          <w:color w:val="1F3A5F"/>
          <w:sz w:val="32"/>
          <w:szCs w:val="32"/>
          <w:rtl/>
        </w:rPr>
        <w:t xml:space="preserve">11. القرارات المطلوبة</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09"/>
        <w:gridCol w:w="1637"/>
        <w:gridCol w:w="1766"/>
        <w:gridCol w:w="2976"/>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التطبيق يقنّع عند الإدخال، وقيد على كل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يرفض عشرة أرقام متتالية أو IBAN بمجموعات أربعة أرقام (وسم </w:t>
            </w:r>
            <w:r>
              <w:rPr>
                <w:rFonts w:ascii="Courier New" w:cs="Courier New" w:eastAsia="Courier New" w:hAnsi="Courier New"/>
                <w:b w:val="false"/>
                <w:bCs w:val="false"/>
                <w:color w:val="1F2937"/>
                <w:sz w:val="16"/>
                <w:szCs w:val="16"/>
                <w:shd w:fill="F1F3F5" w:color="auto" w:val="clear"/>
                <w:rtl/>
              </w:rPr>
              <w:t xml:space="preserve">‎redact‎</w:t>
            </w:r>
            <w:r>
              <w:rPr>
                <w:rFonts w:ascii="Arial" w:cs="Arial" w:eastAsia="Arial" w:hAnsi="Arial"/>
                <w:b w:val="false"/>
                <w:bCs w:val="false"/>
                <w:sz w:val="18"/>
                <w:szCs w:val="18"/>
                <w:rtl/>
              </w:rPr>
              <w:t xml:space="preserve"> في المولّد؛ RF25). واعتمد المالك القيد كما هو (2026-10-14): المبالغ في النص تُكتب بفواصل. المقترح: نعم، بنمط IBAN وطول الحساب، مع إبقاء الأصل في المستند</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ونُفّذت شروط الدخول في القاعدة: حذف الرقم الضريبي وقراءته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(S1، RF21)، وقيد يرفض IBAN والحساب غير المقنَّعين في نص الاتفاقيات (S2، RF25)، ولا نسخ لقيمة مقيّدة في المقارنة والتعديل (S3، RF33، SR3). ويبقى للتطبيق الحجب عند الإدخال وخدمة المقارنة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12. تعارضات وفجوات في المصادر</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1"/>
        <w:bidi/>
      </w:pPr>
      <w:bookmarkStart w:name="_sec16" w:id="16"/>
      <w:r>
        <w:rPr>
          <w:rFonts w:ascii="Arial" w:cs="Arial" w:eastAsia="Arial" w:hAnsi="Arial"/>
          <w:b/>
          <w:bCs/>
          <w:color w:val="1F3A5F"/>
          <w:sz w:val="32"/>
          <w:szCs w:val="32"/>
          <w:rtl/>
        </w:rPr>
        <w:t xml:space="preserve">13. التتبع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DOC-S06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cd0d4836280f9ed039828c3ba67165f25b80a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DOC-S06 — معيار تصنيف البيانات وحمايتها على مستوى الأعمدة والملفات</dc:title>
  <dc:creator>Claude</dc:creator>
  <dc:description>BankFas database design document</dc:description>
  <cp:lastModifiedBy>Un-named</cp:lastModifiedBy>
  <cp:revision>1</cp:revision>
  <dcterms:created xsi:type="dcterms:W3CDTF">2026-10-18T18:38:42.940Z</dcterms:created>
  <dcterms:modified xsi:type="dcterms:W3CDTF">2026-10-18T18:38:42.941Z</dcterms:modified>
</cp:coreProperties>
</file>

<file path=docProps/custom.xml><?xml version="1.0" encoding="utf-8"?>
<Properties xmlns="http://schemas.openxmlformats.org/officeDocument/2006/custom-properties" xmlns:vt="http://schemas.openxmlformats.org/officeDocument/2006/docPropsVTypes"/>
</file>