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3"/>
        <w:gridCol w:w="7891"/>
      </w:tblGrid>
      <w:tr>
        <w:trPr>
          <w:cantSplit/>
          <w:tblHeader/>
        </w:trPr>
        <w:tc>
          <w:tcPr>
            <w:tcW w:type="dxa" w:w="1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7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7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‎tools/dbgen/erd_pro.py‎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73">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75">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80">
        <w:r>
          <w:rPr>
            <w:rFonts w:ascii="Arial" w:cs="Arial" w:eastAsia="Arial" w:hAnsi="Arial"/>
            <w:b/>
            <w:bCs/>
            <w:color w:val="1F3A5F"/>
            <w:sz w:val="20"/>
            <w:szCs w:val="20"/>
            <w:rtl/>
          </w:rPr>
          <w:t xml:space="preserve">13. البذور وتهيئة المشترك (خطة — لم تُنفَّذ بعد)</w:t>
        </w:r>
      </w:hyperlink>
    </w:p>
    <w:p>
      <w:pPr>
        <w:bidi/>
        <w:spacing w:after="50" w:before="0"/>
        <w:ind w:left="0"/>
      </w:pPr>
      <w:hyperlink w:history="1" w:anchor="_sec81">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82">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83">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84">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85">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845"/>
        <w:gridCol w:w="4019"/>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194</w:t>
            </w:r>
            <w:r>
              <w:rPr>
                <w:rFonts w:ascii="Arial" w:cs="Arial" w:eastAsia="Arial" w:hAnsi="Arial"/>
                <w:b w:val="false"/>
                <w:bCs w:val="false"/>
                <w:sz w:val="18"/>
                <w:szCs w:val="18"/>
                <w:rtl/>
              </w:rPr>
              <w:t xml:space="preserve"> في 20 مخططًا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3,261 مُعرَّفة في النماذج + الأعمدة الآلية = </w:t>
            </w:r>
            <w:r>
              <w:rPr>
                <w:rFonts w:ascii="Arial" w:cs="Arial" w:eastAsia="Arial" w:hAnsi="Arial"/>
                <w:b/>
                <w:bCs/>
                <w:sz w:val="18"/>
                <w:szCs w:val="18"/>
                <w:rtl/>
              </w:rPr>
              <w:t xml:space="preserve">3,787</w:t>
            </w:r>
            <w:r>
              <w:rPr>
                <w:rFonts w:ascii="Arial" w:cs="Arial" w:eastAsia="Arial" w:hAnsi="Arial"/>
                <w:b w:val="false"/>
                <w:bCs w:val="false"/>
                <w:sz w:val="18"/>
                <w:szCs w:val="18"/>
                <w:rtl/>
              </w:rPr>
              <w:t xml:space="preserve"> في DDL</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750</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485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+ 81 بسيطة نحو جداول عالمية/مختلطة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675 غير مجمّع (196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1,145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فهارس فريدة مصفّاة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184 (183 بسياسة عامة +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الـ10 العالمية خارجها)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194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(73 مفتاحًا من الـ485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الهوية بالمشترك</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لا يكفي أن يكون المشترك موجودًا؛ يجب أن يكون المستخدم نشطًا وينتمي إليه.</w:t>
      </w:r>
    </w:p>
    <w:p>
      <w:pPr>
        <w:bidi/>
        <w:spacing w:after="60" w:before="0"/>
      </w:pPr>
    </w:p>
    <w:p>
      <w:pPr>
        <w:bidi/>
        <w:spacing w:after="110" w:before="0" w:line="312"/>
      </w:pPr>
      <w:r>
        <w:rPr>
          <w:rFonts w:ascii="Arial" w:cs="Arial" w:eastAsia="Arial" w:hAnsi="Arial"/>
          <w:b w:val="false"/>
          <w:bCs w:val="false"/>
          <w:sz w:val="21"/>
          <w:szCs w:val="21"/>
          <w:rtl/>
        </w:rPr>
        <w:t xml:space="preserve">الطبقات 1–3 داخل القاعدة. الطبقة 4 داخلها أيضًا، لكن </w:t>
      </w:r>
      <w:r>
        <w:rPr>
          <w:rFonts w:ascii="Arial" w:cs="Arial" w:eastAsia="Arial" w:hAnsi="Arial"/>
          <w:b/>
          <w:bCs/>
          <w:sz w:val="21"/>
          <w:szCs w:val="21"/>
          <w:rtl/>
        </w:rPr>
        <w:t xml:space="preserve">هوية المستخدم نفسها تبقى مصدوقة من التطبيق</w:t>
      </w:r>
      <w:r>
        <w:rPr>
          <w:rFonts w:ascii="Arial" w:cs="Arial" w:eastAsia="Arial" w:hAnsi="Arial"/>
          <w:b w:val="false"/>
          <w:bCs w:val="false"/>
          <w:sz w:val="21"/>
          <w:szCs w:val="21"/>
          <w:rtl/>
        </w:rPr>
        <w:t xml:space="preserve"> (انظر الحد المتبقي في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‎sec.usp_SetSessionContext(@TenantId, @UserId, @ClientIp, @CorrelationId)‎</w:t>
      </w:r>
      <w:r>
        <w:rPr>
          <w:rFonts w:ascii="Arial" w:cs="Arial" w:eastAsia="Arial" w:hAnsi="Arial"/>
          <w:b w:val="false"/>
          <w:bCs w:val="false"/>
          <w:sz w:val="21"/>
          <w:szCs w:val="21"/>
          <w:rtl/>
        </w:rPr>
        <w:t xml:space="preserve"> يُستدعى </w:t>
      </w:r>
      <w:r>
        <w:rPr>
          <w:rFonts w:ascii="Arial" w:cs="Arial" w:eastAsia="Arial" w:hAnsi="Arial"/>
          <w:b/>
          <w:bCs/>
          <w:sz w:val="21"/>
          <w:szCs w:val="21"/>
          <w:rtl/>
        </w:rPr>
        <w:t xml:space="preserve">عند فتح كل اتصال من المجمّع</w:t>
      </w:r>
      <w:r>
        <w:rPr>
          <w:rFonts w:ascii="Arial" w:cs="Arial" w:eastAsia="Arial" w:hAnsi="Arial"/>
          <w:b w:val="false"/>
          <w:bCs w:val="false"/>
          <w:sz w:val="21"/>
          <w:szCs w:val="21"/>
          <w:rtl/>
        </w:rPr>
        <w:t xml:space="preserve"> وقبل أي استعلام، ويتحقق بالترتيب:</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مطلوبان (خطأ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val="false"/>
          <w:bCs w:val="false"/>
          <w:sz w:val="21"/>
          <w:szCs w:val="21"/>
          <w:rtl/>
        </w:rPr>
        <w:t xml:space="preserve">المشترك موجود وحالته من </w:t>
      </w:r>
      <w:r>
        <w:rPr>
          <w:rFonts w:ascii="Courier New" w:cs="Courier New" w:eastAsia="Courier New" w:hAnsi="Courier New"/>
          <w:b w:val="false"/>
          <w:bCs w:val="false"/>
          <w:color w:val="1F2937"/>
          <w:sz w:val="18"/>
          <w:szCs w:val="18"/>
          <w:shd w:fill="F1F3F5" w:color="auto" w:val="clear"/>
          <w:rtl/>
        </w:rPr>
        <w:t xml:space="preserve">‎TRIAL/ACTIVE/SUSPENDED/ARCHIVED_READ_ONLY‎</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bCs/>
          <w:sz w:val="21"/>
          <w:szCs w:val="21"/>
          <w:rtl/>
        </w:rPr>
        <w:t xml:space="preserve">المستخدم بحالة </w:t>
      </w:r>
      <w:r>
        <w:rPr>
          <w:rFonts w:ascii="Courier New" w:cs="Courier New" w:eastAsia="Courier New" w:hAnsi="Courier New"/>
          <w:b/>
          <w:bCs/>
          <w:color w:val="1F2937"/>
          <w:sz w:val="18"/>
          <w:szCs w:val="18"/>
          <w:shd w:fill="F1F3F5" w:color="auto" w:val="clear"/>
          <w:rtl/>
        </w:rPr>
        <w:t xml:space="preserve">‎ACTIVE‎</w:t>
      </w:r>
      <w:r>
        <w:rPr>
          <w:rFonts w:ascii="Arial" w:cs="Arial" w:eastAsia="Arial" w:hAnsi="Arial"/>
          <w:b/>
          <w:bCs/>
          <w:sz w:val="21"/>
          <w:szCs w:val="21"/>
          <w:rtl/>
        </w:rPr>
        <w:t xml:space="preserve"> ومنتمٍ إلى المشترك نفسه</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برسالة عامة لا تكشف وجود المستخدم). ثم 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فلا يستطيع استعلام لاحق تغيير المشترك.</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‎WITH EXECUTE AS‎</w:t>
      </w:r>
      <w:r>
        <w:rPr>
          <w:rFonts w:ascii="Arial" w:cs="Arial" w:eastAsia="Arial" w:hAnsi="Arial"/>
          <w:b w:val="false"/>
          <w:bCs w:val="false"/>
          <w:sz w:val="21"/>
          <w:szCs w:val="21"/>
          <w:rtl/>
        </w:rPr>
        <w:t xml:space="preserve">): هذا الدور داخلي بلا تسجيل دخول، يملك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 ويتجاوز RLS </w:t>
      </w:r>
      <w:r>
        <w:rPr>
          <w:rFonts w:ascii="Arial" w:cs="Arial" w:eastAsia="Arial" w:hAnsi="Arial"/>
          <w:b/>
          <w:bCs/>
          <w:sz w:val="21"/>
          <w:szCs w:val="21"/>
          <w:rtl/>
        </w:rPr>
        <w:t xml:space="preserve">داخل هذا الإجراء فقط</w:t>
      </w:r>
      <w:r>
        <w:rPr>
          <w:rFonts w:ascii="Arial" w:cs="Arial" w:eastAsia="Arial" w:hAnsi="Arial"/>
          <w:b w:val="false"/>
          <w:bCs w:val="false"/>
          <w:sz w:val="21"/>
          <w:szCs w:val="21"/>
          <w:rtl/>
        </w:rPr>
        <w:t xml:space="preserve"> (عضوية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في دوال السياسات). لولاه لما رأى الإجراء صف المستخدم قبل ضبط السياق.</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يُرفع خطأ ويجب على التطبيق إعادة الاتصال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ولا يستعمله. هذا شرط على التطبيق لا يفرضه المحرك؛ يُختبر في S1.</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المهام الخلفية وتكامل المشترك لا تملك مستخدمًا بشريًا. تُنشأ لكل مشترك عند التهيئة مستخدم خدمة بعلم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ويُستعمل في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لمهامه.</w:t>
      </w:r>
    </w:p>
    <w:p>
      <w:pPr>
        <w:pStyle w:val="ListParagraph"/>
        <w:numPr>
          <w:ilvl w:val="0"/>
          <w:numId w:val="3"/>
        </w:numPr>
        <w:bidi/>
        <w:spacing w:after="70" w:before="0" w:line="300"/>
      </w:pPr>
      <w:r>
        <w:rPr>
          <w:rFonts w:ascii="Arial" w:cs="Arial" w:eastAsia="Arial" w:hAnsi="Arial"/>
          <w:b/>
          <w:bCs/>
          <w:sz w:val="21"/>
          <w:szCs w:val="21"/>
          <w:rtl/>
        </w:rPr>
        <w:t xml:space="preserve">الحد المتبقي (مفتوح، O-11):</w:t>
      </w:r>
      <w:r>
        <w:rPr>
          <w:rFonts w:ascii="Arial" w:cs="Arial" w:eastAsia="Arial" w:hAnsi="Arial"/>
          <w:b w:val="false"/>
          <w:bCs w:val="false"/>
          <w:sz w:val="21"/>
          <w:szCs w:val="21"/>
          <w:rtl/>
        </w:rPr>
        <w:t xml:space="preserve"> الإجراء يتحقق من </w:t>
      </w:r>
      <w:r>
        <w:rPr>
          <w:rFonts w:ascii="Arial" w:cs="Arial" w:eastAsia="Arial" w:hAnsi="Arial"/>
          <w:b/>
          <w:bCs/>
          <w:sz w:val="21"/>
          <w:szCs w:val="21"/>
          <w:rtl/>
        </w:rPr>
        <w:t xml:space="preserve">الترابط</w:t>
      </w:r>
      <w:r>
        <w:rPr>
          <w:rFonts w:ascii="Arial" w:cs="Arial" w:eastAsia="Arial" w:hAnsi="Arial"/>
          <w:b w:val="false"/>
          <w:bCs w:val="false"/>
          <w:sz w:val="21"/>
          <w:szCs w:val="21"/>
          <w:rtl/>
        </w:rPr>
        <w:t xml:space="preserve"> بين المشترك والمستخدم، لكنه </w:t>
      </w:r>
      <w:r>
        <w:rPr>
          <w:rFonts w:ascii="Arial" w:cs="Arial" w:eastAsia="Arial" w:hAnsi="Arial"/>
          <w:b/>
          <w:bCs/>
          <w:sz w:val="21"/>
          <w:szCs w:val="21"/>
          <w:rtl/>
        </w:rPr>
        <w:t xml:space="preserve">لا يوثّق أن المستخدم هو من يدّعي أنه هو</w:t>
      </w:r>
      <w:r>
        <w:rPr>
          <w:rFonts w:ascii="Arial" w:cs="Arial" w:eastAsia="Arial" w:hAnsi="Arial"/>
          <w:b w:val="false"/>
          <w:bCs w:val="false"/>
          <w:sz w:val="21"/>
          <w:szCs w:val="21"/>
          <w:rtl/>
        </w:rPr>
        <w:t xml:space="preserve">. أي تطبيق مخترق يملك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اختيار أي مستخدم نشط من أي مشترك. لذلك يبقى عزل الهوية مسؤولية التطبيق في المصادقة، ويُعالج أحد خيارين قبل الإنتاج: (أ) دور تطبيق مستقل لكل مشترك (</w:t>
      </w:r>
      <w:r>
        <w:rPr>
          <w:rFonts w:ascii="Courier New" w:cs="Courier New" w:eastAsia="Courier New" w:hAnsi="Courier New"/>
          <w:b w:val="false"/>
          <w:bCs w:val="false"/>
          <w:color w:val="1F2937"/>
          <w:sz w:val="18"/>
          <w:szCs w:val="18"/>
          <w:shd w:fill="F1F3F5" w:color="auto" w:val="clear"/>
          <w:rtl/>
        </w:rPr>
        <w:t xml:space="preserve">‎sp_setapprole‎</w:t>
      </w:r>
      <w:r>
        <w:rPr>
          <w:rFonts w:ascii="Arial" w:cs="Arial" w:eastAsia="Arial" w:hAnsi="Arial"/>
          <w:b w:val="false"/>
          <w:bCs w:val="false"/>
          <w:sz w:val="21"/>
          <w:szCs w:val="21"/>
          <w:rtl/>
        </w:rPr>
        <w:t xml:space="preserve">) بكلمة مرور مشتقة من KMS، أو (ب) تمرير رمز موقَّع من طبقة الهوية يتحقق منه الإجراء. يُختار أحدهما في S1.</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1"/>
        <w:gridCol w:w="1287"/>
        <w:gridCol w:w="3287"/>
        <w:gridCol w:w="1287"/>
        <w:gridCol w:w="1144"/>
        <w:gridCol w:w="1858"/>
      </w:tblGrid>
      <w:tr>
        <w:trPr>
          <w:cantSplit/>
          <w:tblHeader/>
        </w:trPr>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1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179</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Arial" w:cs="Arial" w:eastAsia="Arial" w:hAnsi="Arial"/>
          <w:b w:val="false"/>
          <w:bCs w:val="false"/>
          <w:sz w:val="21"/>
          <w:szCs w:val="21"/>
          <w:rtl/>
        </w:rPr>
        <w:t xml:space="preserve">جدول مختلط ودلالته مختلفة عن الكتالوجات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الكتالوجات العالمية والمختلطة وجداول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(تُحدَّد في S0 — O-12).</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تفعيل الإجراء الذي يتحقق من المنحة قبل أي وصول هو شرط S0</w:t>
      </w:r>
      <w:r>
        <w:rPr>
          <w:rFonts w:ascii="Arial" w:cs="Arial" w:eastAsia="Arial" w:hAnsi="Arial"/>
          <w:b w:val="false"/>
          <w:bCs w:val="false"/>
          <w:sz w:val="21"/>
          <w:szCs w:val="21"/>
          <w:rtl/>
        </w:rPr>
        <w:t xml:space="preserve">، لأن القاعدة وحدها لا تفرضه قبل إنشاء تلك الإجراءات.</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وسجل التدقيق.</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المشترك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المركز المميَّز بالأصفر) بالمستخدمين والأدوار والصلاحيات ومفتاح تشفيره وشركاته. الأسهم المتصلة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مع اسم العمود عليها. الجداول المملوكة للمشترك مجمّعة في عنقود أزرق، وكلها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بسهم واحد ذهبي؛ وبذلك لا تتقاطع الأسهم المتكررة فوق بعضها.</w:t>
      </w:r>
    </w:p>
    <w:p>
      <w:pPr>
        <w:keepNext/>
        <w:bidi/>
        <w:spacing w:after="60" w:before="160"/>
        <w:jc w:val="center"/>
      </w:pPr>
      <w:r>
        <w:drawing>
          <wp:inline distT="0" distB="0" distL="0" distR="0">
            <wp:extent cx="6096000" cy="4286250"/>
            <wp:effectExtent t="0" r="0" b="0" l="0"/>
            <wp:docPr id="1" name="diagrams/erd_00_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86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9"/>
        <w:gridCol w:w="2867"/>
        <w:gridCol w:w="1606"/>
        <w:gridCol w:w="2982"/>
      </w:tblGrid>
      <w:tr>
        <w:trPr>
          <w:cantSplit/>
          <w:tblHeader/>
        </w:trPr>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5"/>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5"/>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8"/>
        <w:gridCol w:w="3764"/>
        <w:gridCol w:w="4272"/>
      </w:tblGrid>
      <w:tr>
        <w:trPr>
          <w:cantSplit/>
          <w:tblHeader/>
        </w:trPr>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(750)، والمركّب يمنع العبور بين المشتركين والتجميعات</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1"/>
        <w:gridCol w:w="2466"/>
        <w:gridCol w:w="5137"/>
      </w:tblGrid>
      <w:tr>
        <w:trPr>
          <w:cantSplit/>
          <w:tblHeader/>
        </w:trPr>
        <w:tc>
          <w:tcPr>
            <w:tcW w:type="dxa" w:w="2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فقط؛ يُنفَّذ به </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5124450"/>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124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(206 منحة)</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وتنفيذه بـ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ومنحه لـ</w:t>
            </w:r>
            <w:r>
              <w:rPr>
                <w:rFonts w:ascii="Courier New" w:cs="Courier New" w:eastAsia="Courier New" w:hAnsi="Courier New"/>
                <w:b w:val="false"/>
                <w:bCs w:val="false"/>
                <w:color w:val="1F2937"/>
                <w:sz w:val="16"/>
                <w:szCs w:val="16"/>
                <w:shd w:fill="F1F3F5" w:color="auto" w:val="clear"/>
                <w:rtl/>
              </w:rPr>
              <w:t xml:space="preserve">‎tp_app‎</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جدولين فقط.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183832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838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457450"/>
            <wp:effectExtent t="0" r="0" b="0" l="0"/>
            <wp:docPr id="1" name="diagrams/erd/m0_tenancy.png" descr="م0 · المشترك والاشتراكات والمشغّلون" title="م0 · المشترك والاشتراكات والمشغّل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457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1"/>
        <w:gridCol w:w="2619"/>
        <w:gridCol w:w="2494"/>
        <w:gridCol w:w="1000"/>
        <w:gridCol w:w="1000"/>
        <w:gridCol w:w="1000"/>
        <w:gridCol w:w="1000"/>
      </w:tblGrid>
      <w:tr>
        <w:trPr>
          <w:cantSplit/>
          <w:tblHeader/>
        </w:trPr>
        <w:tc>
          <w:tcPr>
            <w:tcW w:type="dxa" w:w="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حزمة وحدات وحدود ناعمة (FR-PLT-003/004، Q-PLT-11)</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الباقة (يحل محل Plan.IncludedModules json)</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تطبيق المشترك (tp_app) · حساب مشغّل المنصة: مخزن هوية منفصل عن AppUser (FR-PLT-006)</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فرعية محجوزة للنظام: www · admin · api · app… (FR-PLT-046)</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(FR-PLT-007، BR-PLT-017)</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مباشر لتطبيق المشترك (يقرأ صفّه عبر plat.v_CurrentTenant) · جذر العزل: المشترك (FR-PLT-001/002/046، BR-PLT-001/002)</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للمشترك (FR-PLT-003، BR-PLT-003)</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409"/>
        <w:gridCol w:w="1000"/>
        <w:gridCol w:w="1000"/>
        <w:gridCol w:w="1000"/>
        <w:gridCol w:w="1000"/>
        <w:gridCol w:w="1000"/>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الهوية والصلاحيات</w:t>
      </w:r>
      <w:bookmarkEnd w:id="35"/>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143250"/>
            <wp:effectExtent t="0" r="0" b="0" l="0"/>
            <wp:docPr id="1" name="diagrams/erd/m0_identity.png" descr="م0 · الهوية والصلاحيات" title="م0 · الهوية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143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(FR-PLT-010..016، BR-PLT-004..006)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يخصصه المشترك أو مبذور (FR-PLT-018)</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تملكه المنصة؛ لا يضيف المشترك صلاحية (FR-PLT-017)</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PERMISSION_LOCKED يُفرض في الخدمة (BR-PLT-019)</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 PermissionId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مستخدم-دور؛ اتحاد الصلاحيات (BR-PLT-007، FR-PLT-018)</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RoleId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تُهمل إن كان CompanyScopeMode=ALL (FR-PLT-020)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OIDC/Entra بالمستخدم؛ جاهزية فقط (FR-PLT-015، §11)</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7"/>
        <w:gridCol w:w="1817"/>
        <w:gridCol w:w="1000"/>
        <w:gridCol w:w="1000"/>
        <w:gridCol w:w="1000"/>
        <w:gridCol w:w="1000"/>
        <w:gridCol w:w="1000"/>
      </w:tblGrid>
      <w:tr>
        <w:trPr>
          <w:cantSplit/>
          <w:tblHeader/>
        </w:trPr>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الجلسات والمفاتيح والمحاولات</w:t>
      </w:r>
      <w:bookmarkEnd w:id="36"/>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800225"/>
            <wp:effectExtent t="0" r="0" b="0" l="0"/>
            <wp:docPr id="1" name="diagrams/erd/m0_sessions.png" descr="م0 · الجلسات والمفاتيح والمحاولات" title="م0 · الجلسات والمفاتيح والمحاول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7"/>
        <w:gridCol w:w="704"/>
        <w:gridCol w:w="2463"/>
        <w:gridCol w:w="1000"/>
        <w:gridCol w:w="1000"/>
        <w:gridCol w:w="1000"/>
        <w:gridCol w:w="1000"/>
      </w:tblGrid>
      <w:tr>
        <w:trPr>
          <w:cantSplit/>
          <w:tblHeader/>
        </w:trPr>
        <w:tc>
          <w:tcPr>
            <w:tcW w:type="dxa" w:w="2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خمول 30 دقيقة ومطلقة 12 ساعة (FR-PLT-014)</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لخنق المعدل ونوافذ القفل؛ الأثر الدائم في aud.AuditLog (BR-PLT-005)</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رموز استرداد لمرة واحدة مُجزَّأة (FR-PLT-011، BR-PLT-006؛ بديل AppUser.RecoveryCodesHash json)</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(48 ساعة) أو إعادة تعيين كلمة المرور (30 دقيقة) لمرة واحدة (FR-PLT-013)</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كلمات مرور لمنع إعادة استعمالها (BR-PLT-004)</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المفتاح ملفوف بمفتاح رئيسي خارج القاعدة (FR-PLT-037، BR-PLT-015)</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إنشاء وتدوير وإبطال (FR-PLT-037؛ شدة عالية BR-PLT-009)</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4"/>
        <w:gridCol w:w="1710"/>
        <w:gridCol w:w="1000"/>
        <w:gridCol w:w="1000"/>
        <w:gridCol w:w="1000"/>
        <w:gridCol w:w="1000"/>
        <w:gridCol w:w="1000"/>
      </w:tblGrid>
      <w:tr>
        <w:trPr>
          <w:cantSplit/>
          <w:tblHeader/>
        </w:trPr>
        <w:tc>
          <w:tcPr>
            <w:tcW w:type="dxa" w:w="3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التدقيق والمستندات</w:t>
      </w:r>
      <w:bookmarkEnd w:id="37"/>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3724275"/>
            <wp:effectExtent t="0" r="0" b="0" l="0"/>
            <wp:docPr id="1" name="diagrams/erd/m0_audit_docs.png" descr="م0 · التدقيق والمستندات" title="م0 · التدقيق والمستن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24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9"/>
        <w:gridCol w:w="2463"/>
        <w:gridCol w:w="2592"/>
        <w:gridCol w:w="1000"/>
        <w:gridCol w:w="1000"/>
        <w:gridCol w:w="1000"/>
        <w:gridCol w:w="1000"/>
      </w:tblGrid>
      <w:tr>
        <w:trPr>
          <w:cantSplit/>
          <w:tblHeader/>
        </w:trPr>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TenantId الفارغ = حدث منصة لا يراه أي مشترك؛ سياسة RLS خاصة (BR-PLT-001/009)</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الهويات والصور والتصدير والتنزيل المقيّد؛ لكشف الشذوذ &gt;20/ساعة وR-PLT-3 (BR-PTY-009)</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بيانات المستند وحالته؛ الملف في doc.DocumentVersion (FR-PLT-027/028، BR-PLT-011)</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بدور وصفحة مرجعية؛ إلغاء الربط منطقي (FR-PLT-028)</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من الملف؛ لا يُستبدل بل يُنشأ إصدار جديد (FR-PLT-027، BR-PLT-011)</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2381"/>
        <w:gridCol w:w="1000"/>
        <w:gridCol w:w="1000"/>
        <w:gridCol w:w="1000"/>
        <w:gridCol w:w="1000"/>
        <w:gridCol w:w="1000"/>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الإعدادات والمهام الخلفية (1/2)</w:t>
      </w:r>
      <w:bookmarkEnd w:id="38"/>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752725"/>
            <wp:effectExtent t="0" r="0" b="0" l="0"/>
            <wp:docPr id="1" name="diagrams/erd/m0_config_1.png" descr="م0 · الإعدادات والمهام الخلفية (1/2)" title="م0 · الإعدادات والمهام الخلف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7527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بيانات المشترك (FR-PLT-039، BR-PLT-016)</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التنبيهات المرسَلة: حدث واحد لكل (عنصر، عتبة) ولا تكرار في اليوم نفسه (FR-PLT-038)</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لكل نوع عنصر (FR-PLT-038، BR-PLT-013)</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المهام الخلفية: آخر تشغيل ومدته ونتيجته ظاهر لمدير الحساب (FR-PLT-044)</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الفارغ = عطلة المنصة للقراءة فقط (FR-PLT-035، BR-PLT-014)</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الملغى لا يُعاد استعماله (FR-PLT-026، BR-PLT-010)</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لكل (تعريف، شركة اختيارية، فترة)؛ يُقفل صفه عند التخصيص داخل معاملة المستدعي (BR-PLT-010)</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7"/>
        <w:gridCol w:w="2907"/>
        <w:gridCol w:w="1000"/>
        <w:gridCol w:w="1000"/>
        <w:gridCol w:w="1000"/>
        <w:gridCol w:w="1000"/>
        <w:gridCol w:w="1000"/>
      </w:tblGrid>
      <w:tr>
        <w:trPr>
          <w:cantSplit/>
          <w:tblHeader/>
        </w:trPr>
        <w:tc>
          <w:tcPr>
            <w:tcW w:type="dxa" w:w="1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الإعدادات والمهام الخلفية (2/2)</w:t>
      </w:r>
      <w:bookmarkEnd w:id="39"/>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962025"/>
            <wp:effectExtent t="0" r="0" b="0" l="0"/>
            <wp:docPr id="1" name="diagrams/erd/m0_config_2.png" descr="م0 · الإعدادات والمهام الخلفية (2/2)" title="م0 · الإعدادات والمهام الخلف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962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72"/>
        <w:gridCol w:w="2214"/>
        <w:gridCol w:w="2878"/>
        <w:gridCol w:w="1000"/>
        <w:gridCol w:w="1000"/>
        <w:gridCol w:w="1000"/>
        <w:gridCol w:w="1000"/>
      </w:tblGrid>
      <w:tr>
        <w:trPr>
          <w:cantSplit/>
          <w:tblHeader/>
        </w:trPr>
        <w:tc>
          <w:tcPr>
            <w:tcW w:type="dxa" w:w="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بصيغة بوسوم مثل {seq:000}-{erp}-{yy} (FR-PLT-026)</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تسليم مرة واحدة على الأقل؛ الحمولة معرّفات بلا بيانات مقيّدة (FR-PLT-042)</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المُرقَّم لكل حزمة؛ تكرار التشغيل لا يكرر شيئًا (FR-PLT-008)</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إعداد بحدود المنصة الدنيا والقصوى (BR-PLT-018، FR-PLT-043)</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والمهل والعتبات وwork.start/work.end (FR-PLT-043)</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4"/>
        <w:gridCol w:w="1000"/>
        <w:gridCol w:w="1381"/>
        <w:gridCol w:w="1381"/>
        <w:gridCol w:w="1184"/>
        <w:gridCol w:w="1000"/>
        <w:gridCol w:w="1184"/>
      </w:tblGrid>
      <w:tr>
        <w:trPr>
          <w:cantSplit/>
          <w:tblHeader/>
        </w:trPr>
        <w:tc>
          <w:tcPr>
            <w:tcW w:type="dxa" w:w="2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0" w:id="40"/>
      <w:r>
        <w:rPr>
          <w:rFonts w:ascii="Arial" w:cs="Arial" w:eastAsia="Arial" w:hAnsi="Arial"/>
          <w:b/>
          <w:bCs/>
          <w:color w:val="2B5C8A"/>
          <w:sz w:val="26"/>
          <w:szCs w:val="26"/>
          <w:rtl/>
        </w:rPr>
        <w:t xml:space="preserve">10.4 م1 · الهيكل المؤسسي والأشخاص</w:t>
      </w:r>
      <w:bookmarkEnd w:id="40"/>
    </w:p>
    <w:p>
      <w:pPr>
        <w:pStyle w:val="Heading3"/>
        <w:bidi/>
      </w:pPr>
      <w:bookmarkStart w:name="_sec41" w:id="41"/>
      <w:r>
        <w:rPr>
          <w:rFonts w:ascii="Arial" w:cs="Arial" w:eastAsia="Arial" w:hAnsi="Arial"/>
          <w:b/>
          <w:bCs/>
          <w:color w:val="2B5C8A"/>
          <w:sz w:val="23"/>
          <w:szCs w:val="23"/>
          <w:rtl/>
        </w:rPr>
        <w:t xml:space="preserve">م1 · الشركات والحوكمة</w:t>
      </w:r>
      <w:bookmarkEnd w:id="41"/>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067050"/>
            <wp:effectExtent t="0" r="0" b="0" l="0"/>
            <wp:docPr id="1" name="diagrams/erd/m1_company.png" descr="م1 · الشركات والحوكمة" title="م1 · الشركات والحوكم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067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جذر الهيكل المؤسسي (FR-ORG-001..010، BR-ORG-001..004)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فارغ = افتراضي المشترك (FR-ORG-007، BR-ORG-005)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(FR-ORG-014، BR-ORG-016، Q-ORG-09: على مستوى المشترك وشركة اختيارية)</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بتاريخ سريان؛ المالك Party فرد أو جهة (FR-ORG-015..018، BR-ORG-006..008، G-7)</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(FR-ORG-019، BR-ORG-009)</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في هيئة (FR-ORG-020، FR-ORG-021، BR-ORG-010)</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تفويض/منحة صلاحية لشركة (FR-ORG-023..028، BR-ORG-011..014)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58"/>
        <w:gridCol w:w="2106"/>
        <w:gridCol w:w="1000"/>
        <w:gridCol w:w="1000"/>
        <w:gridCol w:w="1000"/>
        <w:gridCol w:w="1000"/>
        <w:gridCol w:w="1000"/>
      </w:tblGrid>
      <w:tr>
        <w:trPr>
          <w:cantSplit/>
          <w:tblHeader/>
        </w:trPr>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م1 · ملف الشركة والاكتمال</w:t>
      </w:r>
      <w:bookmarkEnd w:id="4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933575"/>
            <wp:effectExtent t="0" r="0" b="0" l="0"/>
            <wp:docPr id="1" name="diagrams/erd/m1_company_kyc.png" descr="م1 · ملف الشركة والاكتمال" title="م1 · ملف الشركة والاكت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1933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والاكتمال</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771"/>
        <w:gridCol w:w="3100"/>
        <w:gridCol w:w="1000"/>
        <w:gridCol w:w="1000"/>
        <w:gridCol w:w="1000"/>
        <w:gridCol w:w="100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الشركة 1:1 (G-1)</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فرع/مستودع/تابعة خارج الحساب كنص (G-3)</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المالي KYC بتاريخ سريان: شريحة الإيرادات والغرض (G-4)</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الحركة المتوقعة الشهرية CTP: اتجاه × 5 بنود (G-4)</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الأموال والثروة: قائمة متعددة (G-4)</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FinancialProfileId, WealthSourceId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إفصاحات الشركة (G-5)</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أصحاب العلاقة: مدققون، مستشار قانوني، جهات تنظيمية، أبرز العملاء/الموردين (G-6)</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8"/>
        <w:gridCol w:w="2666"/>
        <w:gridCol w:w="1000"/>
        <w:gridCol w:w="1000"/>
        <w:gridCol w:w="1000"/>
        <w:gridCol w:w="1000"/>
        <w:gridCol w:w="1000"/>
      </w:tblGrid>
      <w:tr>
        <w:trPr>
          <w:cantSplit/>
          <w:tblHeader/>
        </w:trPr>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م1 · الأشخاص والهوية والاكتمال (1/2)</w:t>
      </w:r>
      <w:bookmarkEnd w:id="4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638550"/>
            <wp:effectExtent t="0" r="0" b="0" l="0"/>
            <wp:docPr id="1" name="diagrams/erd/m1_party_1.png" descr="م1 · الأشخاص والهوية والاكتمال (1/2)" title="م1 · الأشخاص والهوية والاكتمال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والاكتمال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9"/>
        <w:gridCol w:w="2042"/>
        <w:gridCol w:w="2763"/>
        <w:gridCol w:w="1000"/>
        <w:gridCol w:w="1000"/>
        <w:gridCol w:w="1000"/>
        <w:gridCol w:w="1000"/>
      </w:tblGrid>
      <w:tr>
        <w:trPr>
          <w:cantSplit/>
          <w:tblHeader/>
        </w:trPr>
        <w:tc>
          <w:tcPr>
            <w:tcW w:type="dxa" w:w="1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متعدد الملكية: OwnerType+OwnerId بلا FK (مزوّد المالك يتحقق منه التطبيق) (FR-PTY-011، BR-PTY-015)</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متعددة الملكية (FR-PTY-012، BR-PTY-015)</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مخصص (FR-PTY-013، BR-PTY-014)</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الرقم مشفّر والصور مستندات مقيَّدة (FR-PTY-004..009، FR-PTY-020..022، BR-PTY-002..008)</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KYC لكل بنك ودور (FR-PTY-023، BR-PTY-012..013، G-8، G-14)</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(FR-PTY-023، FR-PTY-024، G-14)</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ظهور البند بحسب الشكل القانوني؛ غياب الصفوف = ينطبق على الكل (G-15)</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 LegalEntityTypeId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1"/>
        <w:gridCol w:w="2013"/>
        <w:gridCol w:w="1000"/>
        <w:gridCol w:w="1000"/>
        <w:gridCol w:w="1000"/>
        <w:gridCol w:w="1000"/>
        <w:gridCol w:w="1000"/>
      </w:tblGrid>
      <w:tr>
        <w:trPr>
          <w:cantSplit/>
          <w:tblHeader/>
        </w:trPr>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م1 · الأشخاص والهوية والاكتمال (2/2)</w:t>
      </w:r>
      <w:bookmarkEnd w:id="4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476500"/>
            <wp:effectExtent t="0" r="0" b="0" l="0"/>
            <wp:docPr id="1" name="diagrams/erd/m1_party_2.png" descr="م1 · الأشخاص والهوية والاكتمال (2/2)" title="م1 · الأشخاص والهوية والاكتمال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76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والاكتمال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392"/>
        <w:gridCol w:w="2533"/>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لا دور مخزَّن (FR-PTY-001..003، BR-PTY-001..004، BR-PTY-016..018)</w:t>
            </w:r>
          </w:p>
        </w:tc>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امتثال بتاريخ لكل شخص بصفته: PEP، عقوبات، تحقيقات، حصانة (G-9)</w:t>
            </w:r>
          </w:p>
        </w:tc>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مخصص لشخص (FR-PTY-013، FR-PTY-014)</w:t>
            </w:r>
          </w:p>
        </w:tc>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 والإقرار الضريبي FATCA/CRS (G-13)</w:t>
            </w:r>
          </w:p>
        </w:tc>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2"/>
        <w:gridCol w:w="2652"/>
        <w:gridCol w:w="1000"/>
        <w:gridCol w:w="1000"/>
        <w:gridCol w:w="1000"/>
        <w:gridCol w:w="1000"/>
        <w:gridCol w:w="1000"/>
      </w:tblGrid>
      <w:tr>
        <w:trPr>
          <w:cantSplit/>
          <w:tblHeader/>
        </w:trPr>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‎pty.Party.LinkedCompanyId‎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10.5 م2–م3 · الجهات المالية والحسابات</w:t>
      </w:r>
      <w:bookmarkEnd w:id="45"/>
    </w:p>
    <w:p>
      <w:pPr>
        <w:pStyle w:val="Heading3"/>
        <w:bidi/>
      </w:pPr>
      <w:bookmarkStart w:name="_sec46" w:id="46"/>
      <w:r>
        <w:rPr>
          <w:rFonts w:ascii="Arial" w:cs="Arial" w:eastAsia="Arial" w:hAnsi="Arial"/>
          <w:b/>
          <w:bCs/>
          <w:color w:val="2B5C8A"/>
          <w:sz w:val="23"/>
          <w:szCs w:val="23"/>
          <w:rtl/>
        </w:rPr>
        <w:t xml:space="preserve">م2–م3 · الجهات المالية والحسابات والمفوّضون (1/2)</w:t>
      </w:r>
      <w:bookmarkEnd w:id="4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486275"/>
            <wp:effectExtent t="0" r="0" b="0" l="0"/>
            <wp:docPr id="1" name="diagrams/erd/m2_3_institutions_1.png" descr="م2–م3 · الجهات المالية والحسابات والمفوّضون (1/2)" title="م2–م3 · الجهات المالية والحسابات والمفوّضون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4486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13"/>
        <w:gridCol w:w="2399"/>
        <w:gridCol w:w="2652"/>
        <w:gridCol w:w="1000"/>
        <w:gridCol w:w="1000"/>
        <w:gridCol w:w="1000"/>
        <w:gridCol w:w="1000"/>
      </w:tblGrid>
      <w:tr>
        <w:trPr>
          <w:cantSplit/>
          <w:tblHeader/>
        </w:trPr>
        <w:tc>
          <w:tcPr>
            <w:tcW w:type="dxa" w:w="8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لدى البنك: سجل خفيف بلا هوية، PartyId اختياري للترقية (FR-INS-007/008، BR-INS-005/006/014)</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(FR-INS-001..004، BR-INS-001..003، BR-INS-012)؛ Locality محلي/أجنبي مشتقة (BR-INS-002) فلا تُخزَّن</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حتى 4 مستويات (FR-INS-005/006، BR-INS-004)</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شركة–منشأة (D-4)؛ فريدة مهما كانت حالتها (FR-INS-009، BR-INS-007/011)</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جهة اتصال بدور ورتبة وفترة (FR-INS-010، BR-INS-008/009)</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 (FR-INS-011..013، BR-INS-010)</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صلاحية المفوّض بالحوكمة وقرار المراجع (S1-ب) (FR-ACC-018، BR-ACC-015)</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9"/>
        <w:gridCol w:w="2128"/>
        <w:gridCol w:w="1000"/>
        <w:gridCol w:w="1000"/>
        <w:gridCol w:w="1000"/>
        <w:gridCol w:w="1000"/>
        <w:gridCol w:w="1257"/>
      </w:tblGrid>
      <w:tr>
        <w:trPr>
          <w:cantSplit/>
          <w:tblHeader/>
        </w:trPr>
        <w:tc>
          <w:tcPr>
            <w:tcW w:type="dxa" w:w="2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م2–م3 · الجهات المالية والحسابات والمفوّضون (2/2)</w:t>
      </w:r>
      <w:bookmarkEnd w:id="4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2047875"/>
            <wp:effectExtent t="0" r="0" b="0" l="0"/>
            <wp:docPr id="1" name="diagrams/erd/m2_3_institutions_2.png" descr="م2–م3 · الجهات المالية والحسابات والمفوّضون (2/2)" title="م2–م3 · الجهات المالية والحسابات والمفوّضون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047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4"/>
        <w:gridCol w:w="2239"/>
        <w:gridCol w:w="2351"/>
        <w:gridCol w:w="1000"/>
        <w:gridCol w:w="1000"/>
        <w:gridCol w:w="1000"/>
        <w:gridCol w:w="1000"/>
      </w:tblGrid>
      <w:tr>
        <w:trPr>
          <w:cantSplit/>
          <w:tblHeader/>
        </w:trPr>
        <w:tc>
          <w:tcPr>
            <w:tcW w:type="dxa" w:w="1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(FR-ACC-001..009، BR-ACC-001..006، BR-ACC-016)؛ الرقم وIBAN مشفّران بفهرس أعمى للفرادة</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(FR-ACC-010، BR-ACC-007)؛ يُملأ من شاشة التسهيل</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(S1-ب) (FR-ACC-012، FR-ACC-023، BR-ACC-008/009) + إضافات docs/05 G-10</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(S1-ب) (FR-ACC-013/014/017، BR-ACC-010/011)؛ لا تعديل في مكانه: الإغلاق والفتح؛ حالتها مشتقة فلا تُخزَّن</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التوقيع المطلوبة للتوقيع المشترك (JointClassIds) (BR-ACC-013) -- جدول وسيط جديد؛ لا حذف: التعديل بصف صلاحية جديد</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SignatureClassId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9"/>
        <w:gridCol w:w="1904"/>
        <w:gridCol w:w="1000"/>
        <w:gridCol w:w="1000"/>
        <w:gridCol w:w="1000"/>
        <w:gridCol w:w="1000"/>
        <w:gridCol w:w="1211"/>
      </w:tblGrid>
      <w:tr>
        <w:trPr>
          <w:cantSplit/>
          <w:tblHeader/>
        </w:trPr>
        <w:tc>
          <w:tcPr>
            <w:tcW w:type="dxa" w:w="2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10.6 م4 · الكتالوجات والمراجع</w:t>
      </w:r>
      <w:bookmarkEnd w:id="48"/>
    </w:p>
    <w:p>
      <w:pPr>
        <w:pStyle w:val="Heading3"/>
        <w:bidi/>
      </w:pPr>
      <w:bookmarkStart w:name="_sec49" w:id="49"/>
      <w:r>
        <w:rPr>
          <w:rFonts w:ascii="Arial" w:cs="Arial" w:eastAsia="Arial" w:hAnsi="Arial"/>
          <w:b/>
          <w:bCs/>
          <w:color w:val="2B5C8A"/>
          <w:sz w:val="23"/>
          <w:szCs w:val="23"/>
          <w:rtl/>
        </w:rPr>
        <w:t xml:space="preserve">م4 · المنتجات والرسوم والتمويل والضمانات (1/2)</w:t>
      </w:r>
      <w:bookmarkEnd w:id="49"/>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676775"/>
            <wp:effectExtent t="0" r="0" b="0" l="0"/>
            <wp:docPr id="1" name="diagrams/erd/m4_products_1.png" descr="م4 · المنتجات والرسوم والتمويل والضمانات (1/2)" title="م4 · المنتجات والرسوم والتمويل و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6767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8"/>
        <w:gridCol w:w="1789"/>
        <w:gridCol w:w="2907"/>
        <w:gridCol w:w="1000"/>
        <w:gridCol w:w="1000"/>
        <w:gridCol w:w="1000"/>
        <w:gridCol w:w="1000"/>
      </w:tblGrid>
      <w:tr>
        <w:trPr>
          <w:cantSplit/>
          <w:tblHeader/>
        </w:trPr>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المنتجات: مسطّح (FR-CAT-007)</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البنكي بأعلامه (FR-CAT-007، BR-CAT-004)</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المصروف: فئة عريضة لا بند تعرفة (FR-CAT-008، BR-CAT-005، Q-CAT-10)</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التمويل (FR-CAT-009، BR-CAT-006)</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المسموحة للمنتج؛ تعطيل الربط = حذفه ولا يمس قواعد تسعير قائمة (FR-CAT-010، BR-CAT-007) -- يبقى بمفتاح بديل لأنه يحمل سمة</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المسموحة للمنتج (FR-CAT-010، BR-CAT-007)</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التسهيل (FR-CAT-011)</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82"/>
        <w:gridCol w:w="1000"/>
        <w:gridCol w:w="1000"/>
        <w:gridCol w:w="1000"/>
        <w:gridCol w:w="1000"/>
        <w:gridCol w:w="1000"/>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م4 · المنتجات والرسوم والتمويل والضمانات (2/2)</w:t>
      </w:r>
      <w:bookmarkEnd w:id="5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2447925"/>
            <wp:effectExtent t="0" r="0" b="0" l="0"/>
            <wp:docPr id="1" name="diagrams/erd/m4_products_2.png" descr="م4 · المنتجات والرسوم والتمويل والضمانات (2/2)" title="م4 · المنتجات والرسوم والتمويل و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447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1496"/>
        <w:gridCol w:w="3117"/>
        <w:gridCol w:w="1000"/>
        <w:gridCol w:w="1000"/>
        <w:gridCol w:w="1000"/>
        <w:gridCol w:w="1000"/>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الحد: رئيسي/جزئي (FR-CAT-012، BR-CAT-008)</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لنوع الحد؛ غياب الصفوف = أي منتج بعلامة ظاهرة (BR-CAT-008) -- جدول وسيط جديد</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الضمان بنوع بنية وقالب سمات (FR-CAT-013)</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سمة في قالب نوع الضمان؛ لا تُحذف بل تُرمَّز Retired (BR-CAT-009) -- جدول جديد</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الالتزام بأربع عائلات (FR-CAT-014، BR-CAT-010)</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5"/>
        <w:gridCol w:w="1909"/>
        <w:gridCol w:w="1000"/>
        <w:gridCol w:w="1000"/>
        <w:gridCol w:w="1000"/>
        <w:gridCol w:w="1000"/>
        <w:gridCol w:w="1000"/>
      </w:tblGrid>
      <w:tr>
        <w:trPr>
          <w:cantSplit/>
          <w:tblHeader/>
        </w:trPr>
        <w:tc>
          <w:tcPr>
            <w:tcW w:type="dxa" w:w="2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م4 · الكتالوجات المرجعية</w:t>
      </w:r>
      <w:bookmarkEnd w:id="51"/>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476375"/>
            <wp:effectExtent t="0" r="0" b="0" l="0"/>
            <wp:docPr id="1" name="diagrams/erd/m4_reference.png" descr="م4 · الكتالوجات المرجعية" title="م4 · الكتالوجات المرجع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476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3"/>
        <w:gridCol w:w="2218"/>
        <w:gridCol w:w="2543"/>
        <w:gridCol w:w="1000"/>
        <w:gridCol w:w="1000"/>
        <w:gridCol w:w="1000"/>
        <w:gridCol w:w="1000"/>
      </w:tblGrid>
      <w:tr>
        <w:trPr>
          <w:cantSplit/>
          <w:tblHeader/>
        </w:trPr>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العملات المفعّلة للمشترك: تفعيل مجموعة جزئية من المرجع العالمي (FR-CAT-023، Q-CAT-08) -- جدول بنيوي جديد</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المالية: بنك، شركة تمويل، استثمارية، مالية، فرد (FR-INS-001)</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(FR-ACC-001)</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 الكيان وسماته يعرّفها 10 (FR-ORG-002، BR-CAT-017) وتبذره هذه الوحدة؛ أعمدة الكتالوج مكتوبة يدويًا لأن فرادة الرمز بالدولة (10 §6.2) ل…</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يطبّق 10 أعلامه عند الرفع (FR-CAT-018، BR-CAT-016، FR-PLT-028)</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المنصب: السمات يعرّفها 10 §6.2 وحده وتبذر هذه الوحدة صفوفه (FR-CAT-019، BR-CAT-017)؛ SortOrder من أساس الكتالوج</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الصلاحية: السمات يعرّفها 10 §6.2 وحده وتبذر هذه الوحدة صفوفه (FR-CAT-019، FR-ORG-024)</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0"/>
        <w:gridCol w:w="1644"/>
        <w:gridCol w:w="1000"/>
        <w:gridCol w:w="1000"/>
        <w:gridCol w:w="1000"/>
        <w:gridCol w:w="1000"/>
        <w:gridCol w:w="1000"/>
      </w:tblGrid>
      <w:tr>
        <w:trPr>
          <w:cantSplit/>
          <w:tblHeader/>
        </w:trPr>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م4 · الأسعار المرجعية والقوائم</w:t>
      </w:r>
      <w:bookmarkEnd w:id="52"/>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876550"/>
            <wp:effectExtent t="0" r="0" b="0" l="0"/>
            <wp:docPr id="1" name="diagrams/erd/m4_rates_lookups.png" descr="م4 · الأسعار المرجعية والقوائم" title="م4 · الأسعار المرجعية والقوا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876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052"/>
        <w:gridCol w:w="2189"/>
        <w:gridCol w:w="1000"/>
        <w:gridCol w:w="1000"/>
        <w:gridCol w:w="1000"/>
        <w:gridCol w:w="1000"/>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العملية البنكية المفوَّض بها (FR-ACC-013، BR-CAT-014)</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عملية بنوع/أنواع صلاحية حوكمة؛ «أي واحد يكفي» (BR-CAT-014، FR-CAT-019، Q-ACC-05) -- جدول وسيط جديد</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PowerTypeId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سوق (InstitutionId فارغ) أو داخلي لبنك (FR-CAT-015، BR-CAT-011)؛ الأسماء البديلة في BaseRateAlias</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بديل لسعر أساس (SIBOR ≡ SAIBOR) بحث بلا حساسية حالة وفريد ضمن النطاق (BR-CAT-011، FR-CAT-015) -- جدول وسيط جديد يحل «Aliases set»</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الأساس بتاريخ سريان؛ لا حذف: التصحيح صف جديد والقديم SUPERSEDED (FR-CAT-016، BR-CAT-012/013)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قيم؛ TenantId فارغ = قائمة عالمية يملكها المشغّل للقراءة (FR-CAT-020، BR-CAT-015)</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قائمة قيم؛ TenantId فارغ = بند عالمي للقراءة فقط؛ أعمدة الكتالوج يدوية لأن فرادة الرمز داخل القائمة لا المشترك (FR-CAT-020)</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1"/>
        <w:gridCol w:w="1784"/>
        <w:gridCol w:w="1000"/>
        <w:gridCol w:w="1000"/>
        <w:gridCol w:w="1000"/>
        <w:gridCol w:w="1000"/>
        <w:gridCol w:w="1049"/>
      </w:tblGrid>
      <w:tr>
        <w:trPr>
          <w:cantSplit/>
          <w:tblHeader/>
        </w:trPr>
        <w:tc>
          <w:tcPr>
            <w:tcW w:type="dxa" w:w="3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‎cat.BaseRateAlias.InstitutionId‎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المراجع العامة (ref)</w:t>
      </w:r>
      <w:bookmarkEnd w:id="53"/>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352550"/>
            <wp:effectExtent t="0" r="0" b="0" l="0"/>
            <wp:docPr id="1" name="diagrams/erd/m4_global_ref.png" descr="المراجع العامة (ref)" title="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4"/>
        <w:gridCol w:w="2444"/>
        <w:gridCol w:w="2166"/>
        <w:gridCol w:w="1000"/>
        <w:gridCol w:w="1000"/>
        <w:gridCol w:w="1000"/>
        <w:gridCol w:w="1000"/>
      </w:tblGrid>
      <w:tr>
        <w:trPr>
          <w:cantSplit/>
          <w:tblHeader/>
        </w:trPr>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مرجع عالمي للقراءة فقط يديره مشغّل المنصة (FR-CAT-026، BR-CAT-018،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مرجع عالمي ISO 4217 للقراءة فقط (FR-CAT-021، Q-CAT-08)</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 تسليم Incoterms: مرجع عالمي للقراءة فقط يديره المشغّل؛ القديم LEGACY للعرض لا للاختيار (FR-LCT-013، FR-CAT-021،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UCP 600 مرجعية: TenantId الفارغ = صف عام للقراءة فقط ينشره المشغّل وحده (FR-LCT-006، BR-LCT-018، BR-PLT-001)</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4"/>
        <w:gridCol w:w="2690"/>
        <w:gridCol w:w="1000"/>
        <w:gridCol w:w="1000"/>
        <w:gridCol w:w="1000"/>
        <w:gridCol w:w="1000"/>
        <w:gridCol w:w="1000"/>
      </w:tblGrid>
      <w:tr>
        <w:trPr>
          <w:cantSplit/>
          <w:tblHeader/>
        </w:trPr>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54"/>
    </w:p>
    <w:p>
      <w:pPr>
        <w:pStyle w:val="Heading3"/>
        <w:bidi/>
      </w:pPr>
      <w:bookmarkStart w:name="_sec55" w:id="55"/>
      <w:r>
        <w:rPr>
          <w:rFonts w:ascii="Arial" w:cs="Arial" w:eastAsia="Arial" w:hAnsi="Arial"/>
          <w:b/>
          <w:bCs/>
          <w:color w:val="2B5C8A"/>
          <w:sz w:val="23"/>
          <w:szCs w:val="23"/>
          <w:rtl/>
        </w:rPr>
        <w:t xml:space="preserve">م5 · التسهيلات والمراجعات</w:t>
      </w:r>
      <w:bookmarkEnd w:id="55"/>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6 جدولًا</w:t>
      </w:r>
    </w:p>
    <w:p>
      <w:pPr>
        <w:keepNext/>
        <w:bidi/>
        <w:spacing w:after="60" w:before="160"/>
        <w:jc w:val="center"/>
      </w:pPr>
      <w:r>
        <w:drawing>
          <wp:inline distT="0" distB="0" distL="0" distR="0">
            <wp:extent cx="6096000" cy="1838325"/>
            <wp:effectExtent t="0" r="0" b="0" l="0"/>
            <wp:docPr id="1" name="diagrams/erd/m5_facility_core.png" descr="م5 · التسهيلات والمراجعات" title="م5 · التسهيلات والمراجع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838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5"/>
        <w:gridCol w:w="823"/>
        <w:gridCol w:w="2406"/>
        <w:gridCol w:w="1000"/>
        <w:gridCol w:w="1000"/>
        <w:gridCol w:w="1000"/>
        <w:gridCol w:w="1000"/>
      </w:tblGrid>
      <w:tr>
        <w:trPr>
          <w:cantSplit/>
          <w:tblHeader/>
        </w:trPr>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الائتمانية: جذر التجميعة (FR-FAC-001..008، BR-FAC-001/005/006)</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 (FR-FAC-024، BR-FAC-003/004، §8)</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ضمن الحزمة بأسبقية (FR-FAC-004، BR-FAC-008، V-FAC-03)؛ نوعها من doc.Document.DocumentTypeId</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وحصته (FR-FAC-003، BR-FAC-007، V-FAC-02)؛ مجموع الحصص 100 ووكيل واحد يتحقق منهما التطبيق</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الرصيد المعترف به (FR-FAC-009، BR-FAC-017)؛ PctOfLimit مشتق لا يُخزَّن</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 (FR-FAC-026، BR-FAC-019، BR-FAC-008)</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4"/>
        <w:gridCol w:w="1915"/>
        <w:gridCol w:w="1000"/>
        <w:gridCol w:w="1000"/>
        <w:gridCol w:w="1000"/>
        <w:gridCol w:w="1000"/>
        <w:gridCol w:w="1245"/>
      </w:tblGrid>
      <w:tr>
        <w:trPr>
          <w:cantSplit/>
          <w:tblHeader/>
        </w:trPr>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6" w:id="56"/>
      <w:r>
        <w:rPr>
          <w:rFonts w:ascii="Arial" w:cs="Arial" w:eastAsia="Arial" w:hAnsi="Arial"/>
          <w:b/>
          <w:bCs/>
          <w:color w:val="2B5C8A"/>
          <w:sz w:val="23"/>
          <w:szCs w:val="23"/>
          <w:rtl/>
        </w:rPr>
        <w:t xml:space="preserve">م5 · الحدود والاستخدام والحجوزات</w:t>
      </w:r>
      <w:bookmarkEnd w:id="56"/>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295775"/>
            <wp:effectExtent t="0" r="0" b="0" l="0"/>
            <wp:docPr id="1" name="diagrams/erd/m5_limits.png" descr="م5 · الحدود والاستخدام والحجوزات" title="م5 · الحدود والاستخدام والحجوز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957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(FR-FAC-010/011، BR-FAC-009/010، V-FAC-04..07)</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سقف اختياري SHARED_CAP دائمًا (FR-FAC-012، V-FAC-08)</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 (FR-FAC-013، BR-FAC-012، V-FAC-09)</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الفارغ = «غير محدد» لا صفر (FR-FAC-014، BR-FAC-016)</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مرتبط باعتماد مستندي؛ لا حذف (FR-FAC-016/030، BR-FAC-013/020)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ExposureAmount (FR-FAC-017/018/020، BR-FAC-015)</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حركة على حجز أو استخدام؛ لا تعديل ولا حذف؛ مفتاح عدم التكرار (BR-FAC-015/020)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5"/>
        <w:gridCol w:w="1993"/>
        <w:gridCol w:w="1000"/>
        <w:gridCol w:w="1000"/>
        <w:gridCol w:w="1000"/>
        <w:gridCol w:w="1000"/>
        <w:gridCol w:w="1096"/>
      </w:tblGrid>
      <w:tr>
        <w:trPr>
          <w:cantSplit/>
          <w:tblHeader/>
        </w:trPr>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7" w:id="57"/>
      <w:r>
        <w:rPr>
          <w:rFonts w:ascii="Arial" w:cs="Arial" w:eastAsia="Arial" w:hAnsi="Arial"/>
          <w:b/>
          <w:bCs/>
          <w:color w:val="2B5C8A"/>
          <w:sz w:val="23"/>
          <w:szCs w:val="23"/>
          <w:rtl/>
        </w:rPr>
        <w:t xml:space="preserve">م5 · التسعير وشروط المقارنة</w:t>
      </w:r>
      <w:bookmarkEnd w:id="57"/>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647950"/>
            <wp:effectExtent t="0" r="0" b="0" l="0"/>
            <wp:docPr id="1" name="diagrams/erd/m5_pricing.png" descr="م5 · التسعير وشروط المقارنة" title="م5 · التسعير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647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ووراثة وطرق (FR-PRC-006..017، BR-PRC-006..012، V-PRC-02)</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قاعدة TIERED بالمبلغ و/أو المدة (FR-PRC-003، BR-PRC-002)</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في جدول التعرفة (FR-PRC-002، BR-PRC-002..005)</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بخاص بتسهيل اختياريًا (FR-PRC-001، BR-PRC-001، V-PRC-01)</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بالمبلغ و/أو المدة (FR-PRC-003، BR-PRC-002)</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(FR-CMP-001)؛ الرمز بنمط PRC.MARGIN_PCT؛ النظامي لا يُحذف ولا تتغير وحدته (IsSystem)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 بنطاقها ومصدرها (FR-CMP-002..006، BR-CMP-001..006، V-CMP-01)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16"/>
        <w:gridCol w:w="2099"/>
        <w:gridCol w:w="1000"/>
        <w:gridCol w:w="1000"/>
        <w:gridCol w:w="1000"/>
        <w:gridCol w:w="1000"/>
        <w:gridCol w:w="1049"/>
      </w:tblGrid>
      <w:tr>
        <w:trPr>
          <w:cantSplit/>
          <w:tblHeader/>
        </w:trPr>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م5 · الضمانات</w:t>
      </w:r>
      <w:bookmarkEnd w:id="5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962150"/>
            <wp:effectExtent t="0" r="0" b="0" l="0"/>
            <wp:docPr id="1" name="diagrams/erd/m5_collateral.png" descr="م5 · الضمانات" title="م5 ·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1962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
        <w:gridCol w:w="2411"/>
        <w:gridCol w:w="2830"/>
        <w:gridCol w:w="1000"/>
        <w:gridCol w:w="1000"/>
        <w:gridCol w:w="1000"/>
        <w:gridCol w:w="1000"/>
      </w:tblGrid>
      <w:tr>
        <w:trPr>
          <w:cantSplit/>
          <w:tblHeader/>
        </w:trPr>
        <w:tc>
          <w:tcPr>
            <w:tcW w:type="dxa" w:w="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اعتماد مستقل عن مراجعة التسهيل والتعديل نسخة جديدة (FR-COL-001/014، V-COL-01، §8)</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 أو حد؛ ضمان واحد لعدة تسهيلات (FR-COL-002، BR-COL-005)</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الكفيل Party دائمًا ولا أرقام هوية هنا (FR-COL-003/004، BR-COL-001)</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مفتاح الفرادة (CollateralId,PolicyNo) يسمح بتجديد الوثيقة (FR-COL-006، BR-COL-003)</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 مبلغ مستقل قد يفوق الحد (FR-COL-005، BR-COL-002)؛ NextRenewalDue وPNRatio مشتقان</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موقّعو السند (SignerPartyIds) -- جدول وسيط جديد؛ مزوّد PromissoryNote signer (FR-COL-015)</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 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 (FR-COL-008، BR-COL-004)؛ مثل 3 مقيّمين في السنة الأولى ثم مقيّم سنويًا</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7"/>
        <w:gridCol w:w="1827"/>
        <w:gridCol w:w="1000"/>
        <w:gridCol w:w="1000"/>
        <w:gridCol w:w="1000"/>
        <w:gridCol w:w="1000"/>
        <w:gridCol w:w="1000"/>
      </w:tblGrid>
      <w:tr>
        <w:trPr>
          <w:cantSplit/>
          <w:tblHeader/>
        </w:trPr>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م5 · الالتزامات والتعهدات (1/2)</w:t>
      </w:r>
      <w:bookmarkEnd w:id="5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23850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238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6"/>
        <w:gridCol w:w="2529"/>
        <w:gridCol w:w="2529"/>
        <w:gridCol w:w="1000"/>
        <w:gridCol w:w="1000"/>
        <w:gridCol w:w="1000"/>
        <w:gridCol w:w="1000"/>
      </w:tblGrid>
      <w:tr>
        <w:trPr>
          <w:cantSplit/>
          <w:tblHeader/>
        </w:trPr>
        <w:tc>
          <w:tcPr>
            <w:tcW w:type="dxa" w:w="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الحدود المتدرجة = عدة نسخ (FR-OBL-006، BR-OBL-001/005/006، Q-OBL-01)</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AccountIds لـ SELECTED_ACCOUNTS -- جدول وسيط جديد؛ الحذف لصفوف مسودة المراجعة فقط (يفرضه التطبيق)</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 BankAccountId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 المخزَّن لا يُعدَّل (FR-OBL-011، FR-FIN-012/013، BR-OBL-006/007، §8)</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(أو حد/خط/شركات)؛ العائلة من ObligationType ولا تُحرَّر (FR-OBL-001، BR-OBL-001)</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 (FR-OBL-012، BR-OBL-009/011، §8)</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AppliesToCompanyIds -- جدول وسيط جديد؛ الحذف لصفوف مسودة المراجعة فقط (يفرضه التطبيق)</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 (FR-OBL-003..005، BR-OBL-003، §8)؛ DUE_SOON/OVERDUE مشتقتان</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1"/>
        <w:gridCol w:w="2203"/>
        <w:gridCol w:w="1000"/>
        <w:gridCol w:w="1000"/>
        <w:gridCol w:w="1000"/>
        <w:gridCol w:w="1000"/>
        <w:gridCol w:w="1000"/>
      </w:tblGrid>
      <w:tr>
        <w:trPr>
          <w:cantSplit/>
          <w:tblHeader/>
        </w:trPr>
        <w:tc>
          <w:tcPr>
            <w:tcW w:type="dxa" w:w="2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م5 · الالتزامات والتعهدات (2/2)</w:t>
      </w:r>
      <w:bookmarkEnd w:id="6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521017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5210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01"/>
        <w:gridCol w:w="2758"/>
        <w:gridCol w:w="1000"/>
        <w:gridCol w:w="1000"/>
        <w:gridCol w:w="1000"/>
        <w:gridCol w:w="1000"/>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 مع Obligation (FR-OBL-002/003، BR-OBL-002، V-OBL-01)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5"/>
        <w:gridCol w:w="2339"/>
        <w:gridCol w:w="1000"/>
        <w:gridCol w:w="1000"/>
        <w:gridCol w:w="1000"/>
        <w:gridCol w:w="1000"/>
        <w:gridCol w:w="1000"/>
      </w:tblGrid>
      <w:tr>
        <w:trPr>
          <w:cantSplit/>
          <w:tblHeader/>
        </w:trPr>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2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2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2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م5 · البيانات المالية والأرصدة</w:t>
      </w:r>
      <w:bookmarkEnd w:id="6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504950"/>
            <wp:effectExtent t="0" r="0" b="0" l="0"/>
            <wp:docPr id="1" name="diagrams/erd/m5_financials.png" descr="م5 · البيانات المالية والأرصدة" title="م5 · البيانات المالية والأرص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6"/>
        <w:gridCol w:w="2432"/>
        <w:gridCol w:w="2676"/>
        <w:gridCol w:w="1000"/>
        <w:gridCol w:w="1000"/>
        <w:gridCol w:w="1000"/>
        <w:gridCol w:w="1000"/>
      </w:tblGrid>
      <w:tr>
        <w:trPr>
          <w:cantSplit/>
          <w:tblHeader/>
        </w:trPr>
        <w:tc>
          <w:tcPr>
            <w:tcW w:type="dxa" w:w="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بعملة الحساب (FR-FIN-008، BR-FIN-005/006، V-FIN-02)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 تجميع سنوي آلي (FR-FIN-009/010، BR-FIN-007/008)</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سري جدًا (FR-FIN-002/005/006، BR-FIN-001..004، §8)</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39 بندًا مزروعًا؛ النظامي في الصيغ لا يُحذف (FR-FIN-001، CatalogBase)</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البديلة للبند (Aliases) للصق والمطابقة -- جدول جديد يحل «Aliases set» (FR-FIN-003)</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 بإصدارات؛ لا تُنفَّذ نصًا (FR-FIN-011، BR-FIN-009، §12)</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قائمة؛ بعملة الرأس والمخزَّن = المُدخل x UnitScale؛ Variance مشتق؛ سري جدًا (BR-FIN-001/002)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0"/>
        <w:gridCol w:w="2284"/>
        <w:gridCol w:w="1000"/>
        <w:gridCol w:w="1000"/>
        <w:gridCol w:w="1000"/>
        <w:gridCol w:w="1000"/>
        <w:gridCol w:w="1000"/>
      </w:tblGrid>
      <w:tr>
        <w:trPr>
          <w:cantSplit/>
          <w:tblHeader/>
        </w:trPr>
        <w:tc>
          <w:tcPr>
            <w:tcW w:type="dxa" w:w="2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2" w:id="62"/>
      <w:r>
        <w:rPr>
          <w:rFonts w:ascii="Arial" w:cs="Arial" w:eastAsia="Arial" w:hAnsi="Arial"/>
          <w:b/>
          <w:bCs/>
          <w:color w:val="2B5C8A"/>
          <w:sz w:val="26"/>
          <w:szCs w:val="26"/>
          <w:rtl/>
        </w:rPr>
        <w:t xml:space="preserve">10.8 م6 · الطلبات ودورات العمل والإشعارات</w:t>
      </w:r>
      <w:bookmarkEnd w:id="62"/>
    </w:p>
    <w:p>
      <w:pPr>
        <w:pStyle w:val="Heading3"/>
        <w:bidi/>
      </w:pPr>
      <w:bookmarkStart w:name="_sec63" w:id="63"/>
      <w:r>
        <w:rPr>
          <w:rFonts w:ascii="Arial" w:cs="Arial" w:eastAsia="Arial" w:hAnsi="Arial"/>
          <w:b/>
          <w:bCs/>
          <w:color w:val="2B5C8A"/>
          <w:sz w:val="23"/>
          <w:szCs w:val="23"/>
          <w:rtl/>
        </w:rPr>
        <w:t xml:space="preserve">م6 · قوالب دورات العمل (1/2)</w:t>
      </w:r>
      <w:bookmarkEnd w:id="63"/>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124325"/>
            <wp:effectExtent t="0" r="0" b="0" l="0"/>
            <wp:docPr id="1" name="diagrams/erd/m6_wf_templates_1.png" descr="م6 · قوالب دورات العمل (1/2)" title="م6 · قوالب دورات العمل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1"/>
        <w:gridCol w:w="2494"/>
        <w:gridCol w:w="2619"/>
        <w:gridCol w:w="1000"/>
        <w:gridCol w:w="1000"/>
        <w:gridCol w:w="1000"/>
        <w:gridCol w:w="1000"/>
      </w:tblGrid>
      <w:tr>
        <w:trPr>
          <w:cantSplit/>
          <w:tblHeader/>
        </w:trPr>
        <w:tc>
          <w:tcPr>
            <w:tcW w:type="dxa" w:w="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(FR-REQ-001، BR-REQ-001، V-REQ-01)؛ الأنواع الجديدة بلا كود (FR-REQ-021)</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من يحق له الطلب؛ غياب الصفوف = لا أحد (فشل مغلق) (FR-REQ-007)</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للطالب: DRAFT · IN_APPROVAL · RETURNED · AWAITING_REQUESTER · IN_PROGRESS · COMPLETED · REJECTED · CANCELLED (BR-WFL-011، D-6)</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دورة عمل؛ المنشورة ثابتة (FR-WFL-001/028، BR-WFL-019، AC-WFL-6)</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في نسخة قالب (FR-WFL-003/004/005، BR-WFL-002/010/012)؛ حذف فعلي لمسودة النسخة فقط</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في مرحلة APPROVAL؛ ALL = كل الخانات، ودور بشخصين يلزمان معًا = خانتان (FR-WFL-007/041، BR-WFL-003/004)</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بين مرحلتين بشرط وأولوية؛ دورة خطية بتفرع شرطي بسيط (FR-WFL-006، BR-WFL-001، D-8)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2"/>
        <w:gridCol w:w="2121"/>
        <w:gridCol w:w="1000"/>
        <w:gridCol w:w="1000"/>
        <w:gridCol w:w="1000"/>
        <w:gridCol w:w="1000"/>
        <w:gridCol w:w="1061"/>
      </w:tblGrid>
      <w:tr>
        <w:trPr>
          <w:cantSplit/>
          <w:tblHeader/>
        </w:trPr>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م6 · قوالب دورات العمل (2/2)</w:t>
      </w:r>
      <w:bookmarkEnd w:id="6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505075"/>
            <wp:effectExtent t="0" r="0" b="0" l="0"/>
            <wp:docPr id="1" name="diagrams/erd/m6_wf_templates_2.png" descr="م6 · قوالب دورات العمل (2/2)" title="م6 · قوالب دورات العمل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505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042"/>
        <w:gridCol w:w="2883"/>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مسجَّل بالكود على مرحلة: مفتاح ومعاملات لا شيفرة (FR-WFL-021، BR-WFL-015، §5.4)</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يولّد النموذج بلا كود واجهة (FR-REQ-002..005، BR-REQ-003/004)</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على نسخة قالب (FR-REQ-006، BR-REQ-005، FR-WFL-024/025)</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2144"/>
        <w:gridCol w:w="1000"/>
        <w:gridCol w:w="1000"/>
        <w:gridCol w:w="1000"/>
        <w:gridCol w:w="1000"/>
        <w:gridCol w:w="1000"/>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م6 · الطلبات وإجراءاتها (1/2)</w:t>
      </w:r>
      <w:bookmarkEnd w:id="6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905000"/>
            <wp:effectExtent t="0" r="0" b="0" l="0"/>
            <wp:docPr id="1" name="diagrams/erd/m6_requests_1.png" descr="م6 · الطلبات وإجراءاتها (1/2)" title="م6 · الطلبات وإجراءاتها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1905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6"/>
        <w:gridCol w:w="2432"/>
        <w:gridCol w:w="2676"/>
        <w:gridCol w:w="1000"/>
        <w:gridCol w:w="1000"/>
        <w:gridCol w:w="1000"/>
        <w:gridCol w:w="1000"/>
      </w:tblGrid>
      <w:tr>
        <w:trPr>
          <w:cantSplit/>
          <w:tblHeader/>
        </w:trPr>
        <w:tc>
          <w:tcPr>
            <w:tcW w:type="dxa" w:w="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أكثر الجداول ازدحامًا؛ الحالة الداخلية منفصلة عن المرحلة الظاهرة (FR-WFL-001، FR-REQ-009، D-6، BR-REQ-002/003)</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أو داخلي؛ غير قابل للتعديل (سحب مع بقاء الأصل) (FR-REQ-017، BR-REQ-014)</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ينشئ DocumentLink (EntityType=Request) (FR-REQ-006، BR-REQ-005)</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بنص حر؛ تعديل بالإحلال ويبقى التاريخ؛ بلا تحقق خارجي (FR-REQ-010، X-DAT-7، BR-REQ-006)</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مصدر مقاييس الأزمنة والسحب والـ SLA (BR-WFL-002/007/012، §8)</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تُنشأ لكل دخول ودورة؛ الدورة الجديدة بخانات جديدة (BR-WFL-003، FR-WFL-007/008/011)</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يغطي كل حدث؛ غير AuditLog الأمني (FR-WFL-033/034، §6.2)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0"/>
        <w:gridCol w:w="2344"/>
        <w:gridCol w:w="1000"/>
        <w:gridCol w:w="1000"/>
        <w:gridCol w:w="1000"/>
        <w:gridCol w:w="1000"/>
        <w:gridCol w:w="1270"/>
      </w:tblGrid>
      <w:tr>
        <w:trPr>
          <w:cantSplit/>
          <w:tblHeader/>
        </w:trPr>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م6 · الطلبات وإجراءاتها (2/2)</w:t>
      </w:r>
      <w:bookmarkEnd w:id="66"/>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2219325"/>
            <wp:effectExtent t="0" r="0" b="0" l="0"/>
            <wp:docPr id="1" name="diagrams/erd/m6_requests_2.png" descr="م6 · الطلبات وإجراءاتها (2/2)" title="م6 · الطلبات وإجراءاتها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19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1937"/>
        <w:gridCol w:w="2583"/>
        <w:gridCol w:w="1000"/>
        <w:gridCol w:w="1000"/>
        <w:gridCol w:w="1000"/>
        <w:gridCol w:w="1000"/>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خطاف بمفتاح عدم تكرار يعيد النتيجة المخزَّنة (FR-WFL-021، BR-WFL-015) -- جدول جديد</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 بفترة ونطاق؛ لا تفويض متسلسل (FR-WFL-020، BR-WFL-021، V-WFL-06)</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3"/>
        <w:gridCol w:w="2601"/>
        <w:gridCol w:w="1000"/>
        <w:gridCol w:w="1000"/>
        <w:gridCol w:w="1000"/>
        <w:gridCol w:w="1000"/>
        <w:gridCol w:w="1000"/>
      </w:tblGrid>
      <w:tr>
        <w:trPr>
          <w:cantSplit/>
          <w:tblHeader/>
        </w:trPr>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م6 · الإشعارات</w:t>
      </w:r>
      <w:bookmarkEnd w:id="67"/>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009900"/>
            <wp:effectExtent t="0" r="0" b="0" l="0"/>
            <wp:docPr id="1" name="diagrams/erd/m6_notifications.png" descr="م6 · الإشعارات" title="م6 ·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009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4"/>
        <w:gridCol w:w="510"/>
        <w:gridCol w:w="2570"/>
        <w:gridCol w:w="1000"/>
        <w:gridCol w:w="1000"/>
        <w:gridCol w:w="1000"/>
        <w:gridCol w:w="1000"/>
      </w:tblGrid>
      <w:tr>
        <w:trPr>
          <w:cantSplit/>
          <w:tblHeader/>
        </w:trPr>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ملخص لمستخدم وقناة وفترة؛ لا يُرسل فارغًا (FR-NTF-014، BR-NTF-004، JOB-NTF-DIGEST) -- جدول جديد يحل DigestBatchId</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المحتوى بلا قيم مقيّدة (FR-NTF-005/006/007/021، BR-NTF-001/002/007/008/011)</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لكل قناة بحالاته وإعادة المحاولة (FR-NTF-019، BR-NTF-009، §8)</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تملكه 13 لكل الوحدات وتبذر فيه الوحدات أحداثها (FR-NTF-001، §9.2، §9.2-ب)</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لكل مجموعة أحداث وقناة (FR-NTF-010، BR-NTF-003/014)؛ الإلزامي لا يُوقَف في التطبيق</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لحدث؛ التعديل يسري على الأحداث التالية فقط (FR-NTF-003، BR-NTF-001، V-NTF-02)</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لكل (حدث، قناة، لغة)؛ الحذف = العودة إلى قالب البذرة (FR-NTF-012، FR-NTF-025)</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8"/>
        <w:gridCol w:w="2596"/>
        <w:gridCol w:w="1000"/>
        <w:gridCol w:w="1000"/>
        <w:gridCol w:w="1000"/>
        <w:gridCol w:w="1000"/>
        <w:gridCol w:w="1000"/>
      </w:tblGrid>
      <w:tr>
        <w:trPr>
          <w:cantSplit/>
          <w:tblHeader/>
        </w:trPr>
        <w:tc>
          <w:tcPr>
            <w:tcW w:type="dxa" w:w="2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8" w:id="68"/>
      <w:r>
        <w:rPr>
          <w:rFonts w:ascii="Arial" w:cs="Arial" w:eastAsia="Arial" w:hAnsi="Arial"/>
          <w:b/>
          <w:bCs/>
          <w:color w:val="2B5C8A"/>
          <w:sz w:val="26"/>
          <w:szCs w:val="26"/>
          <w:rtl/>
        </w:rPr>
        <w:t xml:space="preserve">10.9 م7/م8 · الاعتمادات المستندية والبروفورما</w:t>
      </w:r>
      <w:bookmarkEnd w:id="68"/>
    </w:p>
    <w:p>
      <w:pPr>
        <w:pStyle w:val="Heading3"/>
        <w:bidi/>
      </w:pPr>
      <w:bookmarkStart w:name="_sec69" w:id="69"/>
      <w:r>
        <w:rPr>
          <w:rFonts w:ascii="Arial" w:cs="Arial" w:eastAsia="Arial" w:hAnsi="Arial"/>
          <w:b/>
          <w:bCs/>
          <w:color w:val="2B5C8A"/>
          <w:sz w:val="23"/>
          <w:szCs w:val="23"/>
          <w:rtl/>
        </w:rPr>
        <w:t xml:space="preserve">م7/م8 · شروط الاعتماد والنماذج (1/2)</w:t>
      </w:r>
      <w:bookmarkEnd w:id="6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867150"/>
            <wp:effectExtent t="0" r="0" b="0" l="0"/>
            <wp:docPr id="1" name="diagrams/erd/m7_8_lc_terms_1.png" descr="م7/م8 · شروط الاعتماد والنماذج (1/2)" title="م7/م8 · شروط الاعتماد والنماذج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867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0"/>
        <w:gridCol w:w="2767"/>
        <w:gridCol w:w="2657"/>
        <w:gridCol w:w="1000"/>
        <w:gridCol w:w="1000"/>
        <w:gridCol w:w="1000"/>
        <w:gridCol w:w="1000"/>
      </w:tblGrid>
      <w:tr>
        <w:trPr>
          <w:cantSplit/>
          <w:tblHeader/>
        </w:trPr>
        <w:tc>
          <w:tcPr>
            <w:tcW w:type="dxa" w:w="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في شروط الاعتماد: بيانات تُبذر لكل مشترك (FR-LCT-004، BR-LCT-002)؛ مراجع UCP في lc.LcFieldUcpRef</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لحقل: مادة + فقرة (UcpRefs في المواصفة)؛ يغذّي الشارة وR-LCT-01 وBR-LCT-018 -- وسيط جديد</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مورّد/عميل خفيف بلا هوية؛ يُرقّى إلى Party عند الحاجة (FR-LCT-036/037، BR-LCT-022، Q-PTY-03)</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بإصدارات: نص قالب بمعاملات (FR-LCT-017..019، BR-LCT-012)؛ مراجع UCP في lc.LcDocumentClauseUcpRef</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لبند مستند: مادة + فقرة (UcpRefs في المواصفة) -- وسيط جديد</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اعتماد: صف لكل نسخة بأعمدة قاموس §6.2؛ مشترك بين البروفورما والطلب والاعتماد والتعديل (FR-LCT-001..035)</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86</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مختار في الشروط ومعاملاته؛ النص المصيَّر يُجمَّد عند القفل (FR-LCT-018، BR-LCT-012) -- جديد</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7"/>
        <w:gridCol w:w="2077"/>
        <w:gridCol w:w="1000"/>
        <w:gridCol w:w="1000"/>
        <w:gridCol w:w="1000"/>
        <w:gridCol w:w="1000"/>
        <w:gridCol w:w="1000"/>
      </w:tblGrid>
      <w:tr>
        <w:trPr>
          <w:cantSplit/>
          <w:tblHeader/>
        </w:trPr>
        <w:tc>
          <w:tcPr>
            <w:tcW w:type="dxa" w:w="2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م7/م8 · شروط الاعتماد والنماذج (2/2)</w:t>
      </w:r>
      <w:bookmarkEnd w:id="70"/>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00425"/>
            <wp:effectExtent t="0" r="0" b="0" l="0"/>
            <wp:docPr id="1" name="diagrams/erd/m7_8_lc_terms_2.png" descr="م7/م8 · شروط الاعتماد والنماذج (2/2)" title="م7/م8 · شروط الاعتماد والنماذج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400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8"/>
        <w:gridCol w:w="1906"/>
        <w:gridCol w:w="2700"/>
        <w:gridCol w:w="1000"/>
        <w:gridCol w:w="1000"/>
        <w:gridCol w:w="1000"/>
        <w:gridCol w:w="1000"/>
      </w:tblGrid>
      <w:tr>
        <w:trPr>
          <w:cantSplit/>
          <w:tblHeader/>
        </w:trPr>
        <w:tc>
          <w:tcPr>
            <w:tcW w:type="dxa" w:w="1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صف لكل فئة (6 صفوف كاملة يتحقق منها التطبيق V-LCT-12) (FR-LCT-020، BR-LCT-014)</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بنك/منتج/نوع نموذج بإصدار وفترة نفاذ وملحق عقدي (FR-LCT-026، BR-LCT-017، 02 F-14)</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حقل نظام إلى حقل PDF أو بند في ورقة البوابة (FR-LCT-027، BR-LCT-020) -- جديد</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4"/>
        <w:gridCol w:w="1950"/>
        <w:gridCol w:w="1000"/>
        <w:gridCol w:w="1000"/>
        <w:gridCol w:w="1000"/>
        <w:gridCol w:w="1000"/>
        <w:gridCol w:w="1000"/>
      </w:tblGrid>
      <w:tr>
        <w:trPr>
          <w:cantSplit/>
          <w:tblHeader/>
        </w:trPr>
        <w:tc>
          <w:tcPr>
            <w:tcW w:type="dxa" w:w="2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م7/م8 · الاعتمادات والبروفورما (1/2)</w:t>
      </w:r>
      <w:bookmarkEnd w:id="7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095500"/>
            <wp:effectExtent t="0" r="0" b="0" l="0"/>
            <wp:docPr id="1" name="diagrams/erd/m7_8_lc_ops_1.png" descr="م7/م8 · الاعتمادات والبروفورما (1/2)" title="م7/م8 · الاعتمادات والبروفورما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6"/>
        <w:gridCol w:w="2619"/>
        <w:gridCol w:w="2619"/>
        <w:gridCol w:w="1000"/>
        <w:gridCol w:w="1000"/>
        <w:gridCol w:w="1000"/>
        <w:gridCol w:w="1000"/>
      </w:tblGrid>
      <w:tr>
        <w:trPr>
          <w:cantSplit/>
          <w:tblHeader/>
        </w:trPr>
        <w:tc>
          <w:tcPr>
            <w:tcW w:type="dxa" w:w="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مشتريات (نحن الطالب) ومبيعات (نحن المستفيد) (FR-LCI-011..016، FR-LCE-009، BR-LCI-004/008/016، BR-LCE-007/009)</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للاعتماد (ERP...)؛ بلا تفرّد؛ البحث بالمطبَّع (FR-LCI-013، BR-REQ-006) -- جديد</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أو مستلَم (FR-LCI-018/019، FR-LCE-020، BR-LCI-011/012، BR-LCE-014)؛ الحالات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تحت اعتماد؛ في التصدير يشمل تحويل التخصيص (FR-LCI-023، BR-LCI-013، BR-LCE-011)؛ الحالات §8</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لا يقابله حد ائتماني (FR-LCE-013..015، BR-LCE-009..013)؛ الحالات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بيع (FR-LCE-016/017، BR-LCE-011/013) -- جديد؛ Σ التوزيع ≤ مبلغ السحب وكل جزء ≤ متبقي أمره يتحقق منهما التطبيق</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على مستندات سحب أو اعتماد؛ القرار يتطلب lc.discrepancy.decide (FR-LCI-024، FR-LCE-021، §8) -- جديد</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1"/>
        <w:gridCol w:w="2099"/>
        <w:gridCol w:w="1000"/>
        <w:gridCol w:w="1000"/>
        <w:gridCol w:w="1000"/>
        <w:gridCol w:w="1000"/>
        <w:gridCol w:w="1364"/>
      </w:tblGrid>
      <w:tr>
        <w:trPr>
          <w:cantSplit/>
          <w:tblHeader/>
        </w:trPr>
        <w:tc>
          <w:tcPr>
            <w:tcW w:type="dxa" w:w="2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م7/م8 · الاعتمادات والبروفورما (2/2)</w:t>
      </w:r>
      <w:bookmarkEnd w:id="7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52675"/>
            <wp:effectExtent t="0" r="0" b="0" l="0"/>
            <wp:docPr id="1" name="diagrams/erd/m7_8_lc_ops_2.png" descr="م7/م8 · الاعتمادات والبروفورما (2/2)" title="م7/م8 · الاعتمادات والبروفورما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2352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
        <w:gridCol w:w="2403"/>
        <w:gridCol w:w="2763"/>
        <w:gridCol w:w="1000"/>
        <w:gridCol w:w="1000"/>
        <w:gridCol w:w="1000"/>
        <w:gridCol w:w="1000"/>
      </w:tblGrid>
      <w:tr>
        <w:trPr>
          <w:cantSplit/>
          <w:tblHeader/>
        </w:trPr>
        <w:tc>
          <w:tcPr>
            <w:tcW w:type="dxa" w:w="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لا تعديل بعد الإصدار؛ الرقم {seq:000}-{erp}-{yy} (FR-LCE-005..008، BR-LCE-001..006)</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البروفورما (FR-LCE-003، BR-LCE-001)؛ يُثبَّت بعد الإصدار</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شروط الاعتماد المستلَم بالبروفورما (FR-LCT-031، FR-LCE-023، BR-LCT-021) -- جديد (Could)</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واحد وحكمه وقرار الخزينة (FR-LCT-031، BR-LCT-021) -- جديد (Could)</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8"/>
        <w:gridCol w:w="2144"/>
        <w:gridCol w:w="1000"/>
        <w:gridCol w:w="1000"/>
        <w:gridCol w:w="1000"/>
        <w:gridCol w:w="1000"/>
        <w:gridCol w:w="1072"/>
      </w:tblGrid>
      <w:tr>
        <w:trPr>
          <w:cantSplit/>
          <w:tblHeader/>
        </w:trPr>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73" w:id="73"/>
      <w:r>
        <w:rPr>
          <w:rFonts w:ascii="Arial" w:cs="Arial" w:eastAsia="Arial" w:hAnsi="Arial"/>
          <w:b/>
          <w:bCs/>
          <w:color w:val="1F3A5F"/>
          <w:sz w:val="32"/>
          <w:szCs w:val="32"/>
          <w:rtl/>
        </w:rPr>
        <w:t xml:space="preserve">11. أنماط التصميم للمجالات الرئيسية</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7"/>
        <w:gridCol w:w="8037"/>
      </w:tblGrid>
      <w:tr>
        <w:trPr>
          <w:cantSplit/>
          <w:tblHeader/>
        </w:trPr>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74" w:id="74"/>
      <w:r>
        <w:rPr>
          <w:rFonts w:ascii="Arial" w:cs="Arial" w:eastAsia="Arial" w:hAnsi="Arial"/>
          <w:b/>
          <w:bCs/>
          <w:color w:val="2B5C8A"/>
          <w:sz w:val="26"/>
          <w:szCs w:val="26"/>
          <w:rtl/>
        </w:rPr>
        <w:t xml:space="preserve">11.1 إقفال دورة العمل بيد إدارة الخزينة (C-7)</w:t>
      </w:r>
      <w:bookmarkEnd w:id="74"/>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1"/>
        <w:bidi/>
      </w:pPr>
      <w:bookmarkStart w:name="_sec75" w:id="75"/>
      <w:r>
        <w:rPr>
          <w:rFonts w:ascii="Arial" w:cs="Arial" w:eastAsia="Arial" w:hAnsi="Arial"/>
          <w:b/>
          <w:bCs/>
          <w:color w:val="1F3A5F"/>
          <w:sz w:val="32"/>
          <w:szCs w:val="32"/>
          <w:rtl/>
        </w:rPr>
        <w:t xml:space="preserve">12. النشر وإدارة التغيير</w:t>
      </w:r>
      <w:bookmarkEnd w:id="75"/>
    </w:p>
    <w:p>
      <w:pPr>
        <w:pStyle w:val="Heading2"/>
        <w:bidi/>
      </w:pPr>
      <w:bookmarkStart w:name="_sec76" w:id="76"/>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76"/>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&lt;server&gt; -E -I -f 65001 -i db\deploy.sql -v DbName=BankFas</w:t>
      </w:r>
    </w:p>
    <w:p>
      <w:pPr>
        <w:pStyle w:val="ListParagraph"/>
        <w:numPr>
          <w:ilvl w:val="0"/>
          <w:numId w:val="6"/>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(الإجراء بـ</w:t>
      </w:r>
      <w:r>
        <w:rPr>
          <w:rFonts w:ascii="Courier New" w:cs="Courier New" w:eastAsia="Courier New" w:hAnsi="Courier New"/>
          <w:b w:val="false"/>
          <w:bCs w:val="false"/>
          <w:color w:val="1F2937"/>
          <w:sz w:val="18"/>
          <w:szCs w:val="18"/>
          <w:shd w:fill="F1F3F5" w:color="auto" w:val="clear"/>
          <w:rtl/>
        </w:rPr>
        <w:t xml:space="preserve">‎EXECUTE AS tp_auth‎</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بعد النشر:</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على الملفات المنشورة (لا على القاعدة)،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77" w:id="77"/>
      <w:r>
        <w:rPr>
          <w:rFonts w:ascii="Arial" w:cs="Arial" w:eastAsia="Arial" w:hAnsi="Arial"/>
          <w:b/>
          <w:bCs/>
          <w:color w:val="2B5C8A"/>
          <w:sz w:val="26"/>
          <w:szCs w:val="26"/>
          <w:rtl/>
        </w:rPr>
        <w:t xml:space="preserve">12.2 تغيير النموذج</w:t>
      </w:r>
      <w:bookmarkEnd w:id="77"/>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78" w:id="78"/>
      <w:r>
        <w:rPr>
          <w:rFonts w:ascii="Arial" w:cs="Arial" w:eastAsia="Arial" w:hAnsi="Arial"/>
          <w:b/>
          <w:bCs/>
          <w:color w:val="2B5C8A"/>
          <w:sz w:val="26"/>
          <w:szCs w:val="26"/>
          <w:rtl/>
        </w:rPr>
        <w:t xml:space="preserve">12.3 النسخ الاحتياطي والاستعادة (توصيات للتشغيل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w:t>
      </w:r>
      <w:bookmarkEnd w:id="78"/>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79" w:id="79"/>
      <w:r>
        <w:rPr>
          <w:rFonts w:ascii="Arial" w:cs="Arial" w:eastAsia="Arial" w:hAnsi="Arial"/>
          <w:b/>
          <w:bCs/>
          <w:color w:val="2B5C8A"/>
          <w:sz w:val="26"/>
          <w:szCs w:val="26"/>
          <w:rtl/>
        </w:rPr>
        <w:t xml:space="preserve">12.4 الأداء والحمل</w:t>
      </w:r>
      <w:bookmarkEnd w:id="79"/>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80" w:id="80"/>
      <w:r>
        <w:rPr>
          <w:rFonts w:ascii="Arial" w:cs="Arial" w:eastAsia="Arial" w:hAnsi="Arial"/>
          <w:b/>
          <w:bCs/>
          <w:color w:val="1F3A5F"/>
          <w:sz w:val="32"/>
          <w:szCs w:val="32"/>
          <w:rtl/>
        </w:rPr>
        <w:t xml:space="preserve">13. البذور وتهيئة المشترك (خطة — لم تُنفَّذ بعد)</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6"/>
        <w:gridCol w:w="6655"/>
        <w:gridCol w:w="2073"/>
      </w:tblGrid>
      <w:tr>
        <w:trPr>
          <w:cantSplit/>
          <w:tblHeader/>
        </w:trPr>
        <w:tc>
          <w:tcPr>
            <w:tcW w:type="dxa" w:w="11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6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بمفتاح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p>
        </w:tc>
      </w:tr>
      <w:tr>
        <w:trPr>
          <w:cantSplit/>
        </w:trPr>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6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والكتالوجات الافتراضية، والأدوار القياسية وربطها بالصلاحيات، وقوالب دورات العمل، وملفات KYC المسبقة، وقواعد الإشعارات</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في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ينفّذه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بموافقة مشغّل؛ لأن المشترك لم يُنشأ بعد لا يمكن تعيين سياقه بالطريقة المعتادة (O-12)</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81" w:id="81"/>
      <w:r>
        <w:rPr>
          <w:rFonts w:ascii="Arial" w:cs="Arial" w:eastAsia="Arial" w:hAnsi="Arial"/>
          <w:b/>
          <w:bCs/>
          <w:color w:val="1F3A5F"/>
          <w:sz w:val="32"/>
          <w:szCs w:val="32"/>
          <w:rtl/>
        </w:rPr>
        <w:t xml:space="preserve">14. أدلة التحقق وحدودها (بصراحة)</w:t>
      </w:r>
      <w:bookmarkEnd w:id="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1"/>
        <w:gridCol w:w="2804"/>
        <w:gridCol w:w="3289"/>
      </w:tblGrid>
      <w:tr>
        <w:trPr>
          <w:cantSplit/>
          <w:tblHeader/>
        </w:trPr>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3,261 عمودًا؛ لا مراجع معلّقة؛ لا مخالفة لقواعد النطاق</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750 مفتاحًا أجنبيًا / 691 قيد فريد أو أساسي</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206 منحة في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و36 منحة حذف و7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28 عمودًا مقيّدًا، القواعد R1–R10</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يحدث</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يتوفر المحرك في بيئة العمل. </w:t>
            </w:r>
            <w:r>
              <w:rPr>
                <w:rFonts w:ascii="Arial" w:cs="Arial" w:eastAsia="Arial" w:hAnsi="Arial"/>
                <w:b/>
                <w:bCs/>
                <w:sz w:val="18"/>
                <w:szCs w:val="18"/>
                <w:rtl/>
              </w:rPr>
              <w:t xml:space="preserve">أول خطوة قبل أي اعتماد.</w:t>
            </w:r>
            <w:r>
              <w:rPr>
                <w:rFonts w:ascii="Arial" w:cs="Arial" w:eastAsia="Arial" w:hAnsi="Arial"/>
                <w:b w:val="false"/>
                <w:bCs w:val="false"/>
                <w:sz w:val="18"/>
                <w:szCs w:val="18"/>
                <w:rtl/>
              </w:rPr>
              <w:t xml:space="preserve"> متوقع: أخطاء صيغة في </w:t>
            </w:r>
            <w:r>
              <w:rPr>
                <w:rFonts w:ascii="Courier New" w:cs="Courier New" w:eastAsia="Courier New" w:hAnsi="Courier New"/>
                <w:b w:val="false"/>
                <w:bCs w:val="false"/>
                <w:color w:val="1F2937"/>
                <w:sz w:val="16"/>
                <w:szCs w:val="16"/>
                <w:shd w:fill="F1F3F5" w:color="auto" w:val="clear"/>
                <w:rtl/>
              </w:rPr>
              <w:t xml:space="preserve">‎CREATE SECURITY POLICY‎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وترتيب النشر</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تُكتب</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مطلوبة في S0–S2: مشتركان ومستخدمان ومحاولات عبور، وربط مستخدم مشترك A بسياق مشترك B يجب أن يُرفض، ومحاولة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w:t>
            </w:r>
            <w:r>
              <w:rPr>
                <w:rFonts w:ascii="Courier New" w:cs="Courier New" w:eastAsia="Courier New" w:hAnsi="Courier New"/>
                <w:b w:val="false"/>
                <w:bCs w:val="false"/>
                <w:color w:val="1F2937"/>
                <w:sz w:val="16"/>
                <w:szCs w:val="16"/>
                <w:shd w:fill="F1F3F5" w:color="auto" w:val="clear"/>
                <w:rtl/>
              </w:rPr>
              <w:t xml:space="preserve">‎ref.Currency‎</w:t>
            </w:r>
            <w:r>
              <w:rPr>
                <w:rFonts w:ascii="Arial" w:cs="Arial" w:eastAsia="Arial" w:hAnsi="Arial"/>
                <w:b w:val="false"/>
                <w:bCs w:val="false"/>
                <w:sz w:val="18"/>
                <w:szCs w:val="18"/>
                <w:rtl/>
              </w:rPr>
              <w:t xml:space="preserve"> يجب أن تُرفض</w:t>
            </w:r>
          </w:p>
        </w:tc>
      </w:tr>
    </w:tbl>
    <w:p>
      <w:pPr>
        <w:bidi/>
        <w:spacing w:after="120" w:before="0"/>
      </w:pPr>
    </w:p>
    <w:p>
      <w:pPr>
        <w:pStyle w:val="Heading1"/>
        <w:bidi/>
      </w:pPr>
      <w:bookmarkStart w:name="_sec82" w:id="82"/>
      <w:r>
        <w:rPr>
          <w:rFonts w:ascii="Arial" w:cs="Arial" w:eastAsia="Arial" w:hAnsi="Arial"/>
          <w:b/>
          <w:bCs/>
          <w:color w:val="1F3A5F"/>
          <w:sz w:val="32"/>
          <w:szCs w:val="32"/>
          <w:rtl/>
        </w:rPr>
        <w:t xml:space="preserve">15. القرارات المتخذة (تُعتمد ما لم تعترض)</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316"/>
        <w:gridCol w:w="4548"/>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يتحقق من المستخدم النشط المنتمي للمشترك، ويعمل بصفة </w:t>
            </w:r>
            <w:r>
              <w:rPr>
                <w:rFonts w:ascii="Courier New" w:cs="Courier New" w:eastAsia="Courier New" w:hAnsi="Courier New"/>
                <w:b w:val="false"/>
                <w:bCs w:val="false"/>
                <w:color w:val="1F2937"/>
                <w:sz w:val="16"/>
                <w:szCs w:val="16"/>
                <w:shd w:fill="F1F3F5" w:color="auto" w:val="clear"/>
                <w:rtl/>
              </w:rPr>
              <w:t xml:space="preserve">‎tp_auth‎</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bl>
    <w:p>
      <w:pPr>
        <w:bidi/>
        <w:spacing w:after="120" w:before="0"/>
      </w:pPr>
    </w:p>
    <w:p>
      <w:pPr>
        <w:pStyle w:val="Heading1"/>
        <w:bidi/>
      </w:pPr>
      <w:bookmarkStart w:name="_sec83" w:id="83"/>
      <w:r>
        <w:rPr>
          <w:rFonts w:ascii="Arial" w:cs="Arial" w:eastAsia="Arial" w:hAnsi="Arial"/>
          <w:b/>
          <w:bCs/>
          <w:color w:val="1F3A5F"/>
          <w:sz w:val="32"/>
          <w:szCs w:val="32"/>
          <w:rtl/>
        </w:rPr>
        <w:t xml:space="preserve">16. حدود معروفة ونقاط مفتوحة</w:t>
      </w:r>
      <w:bookmarkEnd w:id="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3345"/>
        <w:gridCol w:w="1644"/>
        <w:gridCol w:w="3875"/>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تُنفَّذ السكربتات على SQL Server</w:t>
            </w:r>
            <w:r>
              <w:rPr>
                <w:rFonts w:ascii="Arial" w:cs="Arial" w:eastAsia="Arial" w:hAnsi="Arial"/>
                <w:b w:val="false"/>
                <w:bCs w:val="false"/>
                <w:sz w:val="18"/>
                <w:szCs w:val="18"/>
                <w:rtl/>
              </w:rPr>
              <w:t xml:space="preserve"> (§14)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تظهر أخطاء صيغة وتتغير المنح عند التنفيذ</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مهمة: نشر على SQL Server 2025 نظيف + حزمة اختبار السلوك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غير مكتوبة (§13)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فارغة بعد النشر</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كتابتها مع شريحة S0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w:t>
            </w:r>
            <w:r>
              <w:rPr>
                <w:rFonts w:ascii="Courier New" w:cs="Courier New" w:eastAsia="Courier New" w:hAnsi="Courier New"/>
                <w:b w:val="false"/>
                <w:bCs w:val="false"/>
                <w:color w:val="1F2937"/>
                <w:sz w:val="16"/>
                <w:szCs w:val="16"/>
                <w:shd w:fill="F1F3F5" w:color="auto" w:val="clear"/>
                <w:rtl/>
              </w:rPr>
              <w:t xml:space="preserve">‎sec.usp_SetAuthContext(@TenantId)‎</w:t>
            </w:r>
            <w:r>
              <w:rPr>
                <w:rFonts w:ascii="Arial" w:cs="Arial" w:eastAsia="Arial" w:hAnsi="Arial"/>
                <w:b w:val="false"/>
                <w:bCs w:val="false"/>
                <w:sz w:val="18"/>
                <w:szCs w:val="18"/>
                <w:rtl/>
              </w:rPr>
              <w:t xml:space="preserve"> يضبط المشترك فقط بعد فحص حالته، ويقتصر على قراءة صفوف الدخول؛ يُنظر فيه في S1 مع حدّ قراءة يضيّقه (عرض بأعمدة محددة)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مخترق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يستطيع اختيار مستخدم نشط من أي مشترك</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تطبيق لكل مشترك (</w:t>
            </w:r>
            <w:r>
              <w:rPr>
                <w:rFonts w:ascii="Courier New" w:cs="Courier New" w:eastAsia="Courier New" w:hAnsi="Courier New"/>
                <w:b w:val="false"/>
                <w:bCs w:val="false"/>
                <w:color w:val="1F2937"/>
                <w:sz w:val="16"/>
                <w:szCs w:val="16"/>
                <w:shd w:fill="F1F3F5" w:color="auto" w:val="clear"/>
                <w:rtl/>
              </w:rPr>
              <w:t xml:space="preserve">‎sp_setapprole‎</w:t>
            </w:r>
            <w:r>
              <w:rPr>
                <w:rFonts w:ascii="Arial" w:cs="Arial" w:eastAsia="Arial" w:hAnsi="Arial"/>
                <w:b w:val="false"/>
                <w:bCs w:val="false"/>
                <w:sz w:val="18"/>
                <w:szCs w:val="18"/>
                <w:rtl/>
              </w:rPr>
              <w:t xml:space="preserve">) أو رمز موقَّع يتحقق منه الإجراء؛ يُختار في S1</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في S0 وتتحقق من </w:t>
            </w:r>
            <w:r>
              <w:rPr>
                <w:rFonts w:ascii="Courier New" w:cs="Courier New" w:eastAsia="Courier New" w:hAnsi="Courier New"/>
                <w:b w:val="false"/>
                <w:bCs w:val="false"/>
                <w:color w:val="1F2937"/>
                <w:sz w:val="16"/>
                <w:szCs w:val="16"/>
                <w:shd w:fill="F1F3F5" w:color="auto" w:val="clear"/>
                <w:rtl/>
              </w:rPr>
              <w:t xml:space="preserve">‎SupportAccessGrant‎</w:t>
            </w:r>
            <w:r>
              <w:rPr>
                <w:rFonts w:ascii="Arial" w:cs="Arial" w:eastAsia="Arial" w:hAnsi="Arial"/>
                <w:b w:val="false"/>
                <w:bCs w:val="false"/>
                <w:sz w:val="18"/>
                <w:szCs w:val="18"/>
                <w:rtl/>
              </w:rPr>
              <w:t xml:space="preserve"> أو من تهيئة المشترك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bl>
    <w:p>
      <w:pPr>
        <w:bidi/>
        <w:spacing w:after="120" w:before="0"/>
      </w:pPr>
    </w:p>
    <w:p>
      <w:pPr>
        <w:pStyle w:val="Heading1"/>
        <w:bidi/>
      </w:pPr>
      <w:bookmarkStart w:name="_sec84" w:id="84"/>
      <w:r>
        <w:rPr>
          <w:rFonts w:ascii="Arial" w:cs="Arial" w:eastAsia="Arial" w:hAnsi="Arial"/>
          <w:b/>
          <w:bCs/>
          <w:color w:val="1F3A5F"/>
          <w:sz w:val="32"/>
          <w:szCs w:val="32"/>
          <w:rtl/>
        </w:rPr>
        <w:t xml:space="preserve">17. الخطوة التالية</w:t>
      </w:r>
      <w:bookmarkEnd w:id="84"/>
    </w:p>
    <w:p>
      <w:pPr>
        <w:pStyle w:val="ListParagraph"/>
        <w:numPr>
          <w:ilvl w:val="0"/>
          <w:numId w:val="7"/>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DB-20 والنقاط O-9 إلى O-13، والأسئلة التي تحتاج قرارك: </w:t>
      </w:r>
      <w:r>
        <w:rPr>
          <w:rFonts w:ascii="Arial" w:cs="Arial" w:eastAsia="Arial" w:hAnsi="Arial"/>
          <w:b/>
          <w:bCs/>
          <w:sz w:val="21"/>
          <w:szCs w:val="21"/>
          <w:rtl/>
        </w:rPr>
        <w:t xml:space="preserve">هل تعتمد تعديل المواصفة 13 (O-10)؟</w:t>
      </w:r>
    </w:p>
    <w:p>
      <w:pPr>
        <w:pStyle w:val="ListParagraph"/>
        <w:numPr>
          <w:ilvl w:val="0"/>
          <w:numId w:val="7"/>
        </w:numPr>
        <w:bidi/>
        <w:spacing w:after="70" w:before="0" w:line="300"/>
      </w:pPr>
      <w:r>
        <w:rPr>
          <w:rFonts w:ascii="Arial" w:cs="Arial" w:eastAsia="Arial" w:hAnsi="Arial"/>
          <w:b w:val="false"/>
          <w:bCs w:val="false"/>
          <w:sz w:val="21"/>
          <w:szCs w:val="21"/>
          <w:rtl/>
        </w:rPr>
        <w:t xml:space="preserve">نشر على </w:t>
      </w:r>
      <w:r>
        <w:rPr>
          <w:rFonts w:ascii="Arial" w:cs="Arial" w:eastAsia="Arial" w:hAnsi="Arial"/>
          <w:b/>
          <w:bCs/>
          <w:sz w:val="21"/>
          <w:szCs w:val="21"/>
          <w:rtl/>
        </w:rPr>
        <w:t xml:space="preserve">SQL Server 2025</w:t>
      </w:r>
      <w:r>
        <w:rPr>
          <w:rFonts w:ascii="Arial" w:cs="Arial" w:eastAsia="Arial" w:hAnsi="Arial"/>
          <w:b w:val="false"/>
          <w:bCs w:val="false"/>
          <w:sz w:val="21"/>
          <w:szCs w:val="21"/>
          <w:rtl/>
        </w:rPr>
        <w:t xml:space="preserve"> فعلي وتصحيح ما يظهر (O-1)، مع اختبارات السلوك المذكورة في §14.</w:t>
      </w:r>
    </w:p>
    <w:p>
      <w:pPr>
        <w:pStyle w:val="ListParagraph"/>
        <w:numPr>
          <w:ilvl w:val="0"/>
          <w:numId w:val="7"/>
        </w:numPr>
        <w:bidi/>
        <w:spacing w:after="70" w:before="0" w:line="300"/>
      </w:pPr>
      <w:r>
        <w:rPr>
          <w:rFonts w:ascii="Arial" w:cs="Arial" w:eastAsia="Arial" w:hAnsi="Arial"/>
          <w:b w:val="false"/>
          <w:bCs w:val="false"/>
          <w:sz w:val="21"/>
          <w:szCs w:val="21"/>
          <w:rtl/>
        </w:rPr>
        <w:t xml:space="preserve">ثم الواجهات والشريحة الرأسية S0، بعد حسم O-9 و O-11 و O-12.</w:t>
      </w:r>
    </w:p>
    <w:p>
      <w:pPr>
        <w:bidi/>
        <w:spacing w:after="60" w:before="0"/>
      </w:pPr>
    </w:p>
    <w:p>
      <w:pPr>
        <w:pStyle w:val="Heading1"/>
        <w:bidi/>
      </w:pPr>
      <w:bookmarkStart w:name="_sec85" w:id="85"/>
      <w:r>
        <w:rPr>
          <w:rFonts w:ascii="Arial" w:cs="Arial" w:eastAsia="Arial" w:hAnsi="Arial"/>
          <w:b/>
          <w:bCs/>
          <w:color w:val="1F3A5F"/>
          <w:sz w:val="32"/>
          <w:szCs w:val="32"/>
          <w:rtl/>
        </w:rPr>
        <w:t xml:space="preserve">18. مراجعة التصميم (Design review)</w:t>
      </w:r>
      <w:bookmarkEnd w:id="85"/>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لم يُعدَّل النموذج بعد؛ القرار المطلوب في §18.3.</w:t>
      </w:r>
    </w:p>
    <w:p>
      <w:pPr>
        <w:pStyle w:val="Heading2"/>
        <w:bidi/>
      </w:pPr>
      <w:bookmarkStart w:name="_sec86" w:id="86"/>
      <w:r>
        <w:rPr>
          <w:rFonts w:ascii="Arial" w:cs="Arial" w:eastAsia="Arial" w:hAnsi="Arial"/>
          <w:b/>
          <w:bCs/>
          <w:color w:val="2B5C8A"/>
          <w:sz w:val="26"/>
          <w:szCs w:val="26"/>
          <w:rtl/>
        </w:rPr>
        <w:t xml:space="preserve">18.1 النتائج الحرجة</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2471"/>
        <w:gridCol w:w="1000"/>
        <w:gridCol w:w="3193"/>
        <w:gridCol w:w="2200"/>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18.2 النتائج الرئيسية والطفيفة</w:t>
      </w:r>
      <w:bookmarkEnd w:id="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2422"/>
        <w:gridCol w:w="1000"/>
        <w:gridCol w:w="1063"/>
        <w:gridCol w:w="2658"/>
        <w:gridCol w:w="1721"/>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18.3 القرار المطلوب</w:t>
      </w:r>
      <w:bookmarkEnd w:id="88"/>
    </w:p>
    <w:p>
      <w:pPr>
        <w:bidi/>
        <w:spacing w:after="110" w:before="0" w:line="312"/>
      </w:pPr>
      <w:r>
        <w:rPr>
          <w:rFonts w:ascii="Arial" w:cs="Arial" w:eastAsia="Arial" w:hAnsi="Arial"/>
          <w:b w:val="false"/>
          <w:bCs w:val="false"/>
          <w:sz w:val="21"/>
          <w:szCs w:val="21"/>
          <w:rtl/>
        </w:rPr>
        <w:t xml:space="preserve">المطلوب قبل أي تنفيذ على SQL Server:</w:t>
      </w:r>
    </w:p>
    <w:p>
      <w:pPr>
        <w:pStyle w:val="ListParagraph"/>
        <w:numPr>
          <w:ilvl w:val="0"/>
          <w:numId w:val="8"/>
        </w:numPr>
        <w:bidi/>
        <w:spacing w:after="70" w:before="0" w:line="300"/>
      </w:pPr>
      <w:r>
        <w:rPr>
          <w:rFonts w:ascii="Arial" w:cs="Arial" w:eastAsia="Arial" w:hAnsi="Arial"/>
          <w:b/>
          <w:bCs/>
          <w:sz w:val="21"/>
          <w:szCs w:val="21"/>
          <w:rtl/>
        </w:rPr>
        <w:t xml:space="preserve">اعتماد الإصلاحات الحرجة العشر</w:t>
      </w:r>
      <w:r>
        <w:rPr>
          <w:rFonts w:ascii="Arial" w:cs="Arial" w:eastAsia="Arial" w:hAnsi="Arial"/>
          <w:b w:val="false"/>
          <w:bCs w:val="false"/>
          <w:sz w:val="21"/>
          <w:szCs w:val="21"/>
          <w:rtl/>
        </w:rPr>
        <w:t xml:space="preserve"> أو تعديلها، لأن كل منها يغيّر مفتاحًا أجنبيًا أو ملكية جدول. أكثرها أثرًا: تحويل كتالوج القيم المختلط (</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إلى نسخ لكل مشترك وربط المراجع مركّبًا (DR-03 و DR-05 و DR-07)، وتحويل عنوان المالك المتعدد </w:t>
      </w:r>
      <w:r>
        <w:rPr>
          <w:rFonts w:ascii="Courier New" w:cs="Courier New" w:eastAsia="Courier New" w:hAnsi="Courier New"/>
          <w:b w:val="false"/>
          <w:bCs w:val="false"/>
          <w:color w:val="1F2937"/>
          <w:sz w:val="18"/>
          <w:szCs w:val="18"/>
          <w:shd w:fill="F1F3F5" w:color="auto" w:val="clear"/>
          <w:rtl/>
        </w:rPr>
        <w:t xml:space="preserve">‎pty.Address‎</w:t>
      </w:r>
      <w:r>
        <w:rPr>
          <w:rFonts w:ascii="Arial" w:cs="Arial" w:eastAsia="Arial" w:hAnsi="Arial"/>
          <w:b w:val="false"/>
          <w:bCs w:val="false"/>
          <w:sz w:val="21"/>
          <w:szCs w:val="21"/>
          <w:rtl/>
        </w:rPr>
        <w:t xml:space="preserve"> إلى أقواس خارجية متعددة الأعمدة (DR-04)، ومراجعة ملكية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(DR-01).</w:t>
      </w:r>
    </w:p>
    <w:p>
      <w:pPr>
        <w:pStyle w:val="ListParagraph"/>
        <w:numPr>
          <w:ilvl w:val="0"/>
          <w:numId w:val="8"/>
        </w:numPr>
        <w:bidi/>
        <w:spacing w:after="70" w:before="0" w:line="300"/>
      </w:pPr>
      <w:r>
        <w:rPr>
          <w:rFonts w:ascii="Arial" w:cs="Arial" w:eastAsia="Arial" w:hAnsi="Arial"/>
          <w:b/>
          <w:bCs/>
          <w:sz w:val="21"/>
          <w:szCs w:val="21"/>
          <w:rtl/>
        </w:rPr>
        <w:t xml:space="preserve">تحديد مفتاح الغرض في مفاتيح التشفير</w:t>
      </w:r>
      <w:r>
        <w:rPr>
          <w:rFonts w:ascii="Arial" w:cs="Arial" w:eastAsia="Arial" w:hAnsi="Arial"/>
          <w:b w:val="false"/>
          <w:bCs w:val="false"/>
          <w:sz w:val="21"/>
          <w:szCs w:val="21"/>
          <w:rtl/>
        </w:rPr>
        <w:t xml:space="preserve"> (DR-02): إضافة </w:t>
      </w:r>
      <w:r>
        <w:rPr>
          <w:rFonts w:ascii="Courier New" w:cs="Courier New" w:eastAsia="Courier New" w:hAnsi="Courier New"/>
          <w:b w:val="false"/>
          <w:bCs w:val="false"/>
          <w:color w:val="1F2937"/>
          <w:sz w:val="18"/>
          <w:szCs w:val="18"/>
          <w:shd w:fill="F1F3F5" w:color="auto" w:val="clear"/>
          <w:rtl/>
        </w:rPr>
        <w:t xml:space="preserve">‎KeyPurpose‎</w:t>
      </w:r>
      <w:r>
        <w:rPr>
          <w:rFonts w:ascii="Arial" w:cs="Arial" w:eastAsia="Arial" w:hAnsi="Arial"/>
          <w:b w:val="false"/>
          <w:bCs w:val="false"/>
          <w:sz w:val="21"/>
          <w:szCs w:val="21"/>
          <w:rtl/>
        </w:rPr>
        <w:t xml:space="preserve"> وقيد مركّب، أو الإبقاء على الحالي مع فحص آلي.</w:t>
      </w:r>
    </w:p>
    <w:p>
      <w:pPr>
        <w:pStyle w:val="ListParagraph"/>
        <w:numPr>
          <w:ilvl w:val="0"/>
          <w:numId w:val="8"/>
        </w:numPr>
        <w:bidi/>
        <w:spacing w:after="70" w:before="0" w:line="300"/>
      </w:pPr>
      <w:r>
        <w:rPr>
          <w:rFonts w:ascii="Arial" w:cs="Arial" w:eastAsia="Arial" w:hAnsi="Arial"/>
          <w:b/>
          <w:bCs/>
          <w:sz w:val="21"/>
          <w:szCs w:val="21"/>
          <w:rtl/>
        </w:rPr>
        <w:t xml:space="preserve">إعادة توليد النموذج</w:t>
      </w:r>
      <w:r>
        <w:rPr>
          <w:rFonts w:ascii="Arial" w:cs="Arial" w:eastAsia="Arial" w:hAnsi="Arial"/>
          <w:b w:val="false"/>
          <w:bCs w:val="false"/>
          <w:sz w:val="21"/>
          <w:szCs w:val="21"/>
          <w:rtl/>
        </w:rPr>
        <w:t xml:space="preserve"> بعد الموافقة، ثم تشغيل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والتحقق البنيوي والتحقق من المخططات، ثم تحديث الـ ERD وفق النتائج.</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c470ac567d42eedd91ab7ee555441b02367e1bd1.png"/><Relationship Id="rId11" Type="http://schemas.openxmlformats.org/officeDocument/2006/relationships/image" Target="media/023b31d707ef814fb37a6f78c983f37d17f3be09.png"/><Relationship Id="rId12" Type="http://schemas.openxmlformats.org/officeDocument/2006/relationships/image" Target="media/61b6c35024ab28041d7d687b0d7f47e617dbe1b4.png"/><Relationship Id="rId13" Type="http://schemas.openxmlformats.org/officeDocument/2006/relationships/image" Target="media/fca40a4fa681c3eefd3f239df45e811ed04cece1.png"/><Relationship Id="rId14" Type="http://schemas.openxmlformats.org/officeDocument/2006/relationships/image" Target="media/42c076f45866303c793be26b365a7b9a9bb52046.png"/><Relationship Id="rId15" Type="http://schemas.openxmlformats.org/officeDocument/2006/relationships/image" Target="media/cf31b8d910948162ab4b702cf181cf61031b086a.png"/><Relationship Id="rId16" Type="http://schemas.openxmlformats.org/officeDocument/2006/relationships/image" Target="media/bea930643d25907b2b54aec6345460c53044d547.png"/><Relationship Id="rId17" Type="http://schemas.openxmlformats.org/officeDocument/2006/relationships/image" Target="media/fb18f1ab0c00396f5822212cd16eb5bbae1c0367.png"/><Relationship Id="rId18" Type="http://schemas.openxmlformats.org/officeDocument/2006/relationships/image" Target="media/1750bf75c337518a61a2a91cca8b0eccb0cc8fd8.png"/><Relationship Id="rId19" Type="http://schemas.openxmlformats.org/officeDocument/2006/relationships/image" Target="media/04f82a080134aa03928cc6dcd1329a26a8ab6272.png"/><Relationship Id="rId20" Type="http://schemas.openxmlformats.org/officeDocument/2006/relationships/image" Target="media/531dc38f8646e831a34e83b219bcbaaaf3d0da50.png"/><Relationship Id="rId21" Type="http://schemas.openxmlformats.org/officeDocument/2006/relationships/image" Target="media/05d8913912533f1862a0d4e7c1b93692b95e534d.png"/><Relationship Id="rId22" Type="http://schemas.openxmlformats.org/officeDocument/2006/relationships/image" Target="media/71ad352161ac63c43eb68804732380a1821c8760.png"/><Relationship Id="rId23" Type="http://schemas.openxmlformats.org/officeDocument/2006/relationships/image" Target="media/752813ea820f05f588aeb820653fbc71bd3b4b79.png"/><Relationship Id="rId24" Type="http://schemas.openxmlformats.org/officeDocument/2006/relationships/image" Target="media/b6c382edc0783bcca5b1c148550af6df58adaab1.png"/><Relationship Id="rId25" Type="http://schemas.openxmlformats.org/officeDocument/2006/relationships/image" Target="media/6915dff6e3072f08c4d945977e26afe3d6b226e8.png"/><Relationship Id="rId26" Type="http://schemas.openxmlformats.org/officeDocument/2006/relationships/image" Target="media/30531685e1e1e529916d18bdb3accd6b91956af3.png"/><Relationship Id="rId27" Type="http://schemas.openxmlformats.org/officeDocument/2006/relationships/image" Target="media/73dc0ed5775a38ef9b6c5126ec77a96012c4d189.png"/><Relationship Id="rId28" Type="http://schemas.openxmlformats.org/officeDocument/2006/relationships/image" Target="media/a73fae9c0a6e46affa227a18da5924e6ff12bc70.png"/><Relationship Id="rId29" Type="http://schemas.openxmlformats.org/officeDocument/2006/relationships/image" Target="media/47a62ca87f935981152c9540effede00df048039.png"/><Relationship Id="rId30" Type="http://schemas.openxmlformats.org/officeDocument/2006/relationships/image" Target="media/1ff6007d5d5b479cc6716e05dabdac308ba0aa74.png"/><Relationship Id="rId31" Type="http://schemas.openxmlformats.org/officeDocument/2006/relationships/image" Target="media/ad456ed9b4ad15a9b5a826c5a7db03e62b76e6f2.png"/><Relationship Id="rId32" Type="http://schemas.openxmlformats.org/officeDocument/2006/relationships/image" Target="media/2dc7231a8084eb2f48a0107a9795f446590739d5.png"/><Relationship Id="rId33" Type="http://schemas.openxmlformats.org/officeDocument/2006/relationships/image" Target="media/98c144785e68f65b7a804f7456ab008fe9d1f029.png"/><Relationship Id="rId34" Type="http://schemas.openxmlformats.org/officeDocument/2006/relationships/image" Target="media/8af799cdaf7bbc826681872366f481033603f109.png"/><Relationship Id="rId35" Type="http://schemas.openxmlformats.org/officeDocument/2006/relationships/image" Target="media/8640aec2dc55d34bf0240500ab824f07d7b731e6.png"/><Relationship Id="rId36" Type="http://schemas.openxmlformats.org/officeDocument/2006/relationships/image" Target="media/c69dcb7ce1c4e01bdfc73a5f4d6ebc0b50f3b5cd.png"/><Relationship Id="rId37" Type="http://schemas.openxmlformats.org/officeDocument/2006/relationships/image" Target="media/c4615e65950bd144b092d288c8d633a3d5b84454.png"/><Relationship Id="rId38" Type="http://schemas.openxmlformats.org/officeDocument/2006/relationships/image" Target="media/5e172e2f481a593c48cb5f3e53d361b46d057276.png"/><Relationship Id="rId39" Type="http://schemas.openxmlformats.org/officeDocument/2006/relationships/image" Target="media/5e3412575ca9447636425629efe8844c2db67af8.png"/><Relationship Id="rId40" Type="http://schemas.openxmlformats.org/officeDocument/2006/relationships/image" Target="media/8cad7f53e7f790586740edfe1d9580a81c231906.png"/><Relationship Id="rId41" Type="http://schemas.openxmlformats.org/officeDocument/2006/relationships/image" Target="media/3a4f9ed2a5ebfc6ba057967d3acc1732c93c2ab2.png"/><Relationship Id="rId42" Type="http://schemas.openxmlformats.org/officeDocument/2006/relationships/image" Target="media/a88f36267d46f73e233b1d2cfbf9b2dba0ee7d5c.png"/><Relationship Id="rId43" Type="http://schemas.openxmlformats.org/officeDocument/2006/relationships/image" Target="media/d8d6294b90c5fcdded058ed87334e507bd88210b.png"/><Relationship Id="rId44" Type="http://schemas.openxmlformats.org/officeDocument/2006/relationships/image" Target="media/20863b92992a5ad4ae5f2559551c3ef0ad1dc404.png"/><Relationship Id="rId45" Type="http://schemas.openxmlformats.org/officeDocument/2006/relationships/image" Target="media/8a60545d579139d80b5b3e3be2277d235d4030e5.png"/><Relationship Id="rId46" Type="http://schemas.openxmlformats.org/officeDocument/2006/relationships/image" Target="media/7008bc244f86ea28562c3e07ecd466b89506f6b3.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2026-10-11T00:10:10.387Z</dcterms:created>
  <dcterms:modified xsi:type="dcterms:W3CDTF">2026-10-11T00:10:10.389Z</dcterms:modified>
</cp:coreProperties>
</file>

<file path=docProps/custom.xml><?xml version="1.0" encoding="utf-8"?>
<Properties xmlns="http://schemas.openxmlformats.org/officeDocument/2006/custom-properties" xmlns:vt="http://schemas.openxmlformats.org/officeDocument/2006/docPropsVTypes"/>
</file>