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db/deploy.sql on the target Windows server.</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Known gap. The test records it as KNOWN GAP O-16 and tools/ci/db_ci.sh counts it, so the build stays green only while the gap is recorded.</w:t>
            </w:r>
          </w:p>
        </w:tc>
        <w:tc>
          <w:tcPr>
            <w:tcW w:type="dxa" w:w="2721"/>
            <w:shd w:val="clear" w:color="auto" w:fill="E8EEF6"/>
          </w:tcPr>
          <w:p>
            <w:pPr>
              <w:spacing w:after="0" w:before="0"/>
            </w:pPr>
            <w:r/>
            <w:r>
              <w:rPr>
                <w:rFonts w:ascii="Arial" w:hAnsi="Arial"/>
                <w:b w:val="0"/>
                <w:sz w:val="15"/>
              </w:rPr>
              <w:t>Decide between (a) binding the tenant to the session in a table that only tp_auth can write and that the row filters check, and (b) accepting that the application process is trusted and recording that as a residual risk. Then change the expectation in db/tests/tenant_isolation_tests.sql and tools/ci/db_ci.sh.</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