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249 tables · 20 schemas · 923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2026-10-18</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249 tables in 20 schemas; 923 foreign keys; 655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249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12</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54</w:t>
            </w:r>
          </w:p>
        </w:tc>
        <w:tc>
          <w:tcPr>
            <w:tcW w:type="dxa" w:w="1701"/>
          </w:tcPr>
          <w:p>
            <w:pPr>
              <w:spacing w:after="0" w:before="0"/>
            </w:pPr>
            <w:r/>
            <w:r>
              <w:rPr>
                <w:rFonts w:ascii="Arial" w:hAnsi="Arial"/>
                <w:b w:val="0"/>
                <w:sz w:val="17"/>
              </w:rPr>
              <w:t>28</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9</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10</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10</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15</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acc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13</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wfl</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acc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fin</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7</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7</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ref</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lc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90 diagrams cover 249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43</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5</w:t>
            </w:r>
          </w:p>
        </w:tc>
        <w:tc>
          <w:tcPr>
            <w:tcW w:type="dxa" w:w="2268"/>
          </w:tcPr>
          <w:p>
            <w:pPr>
              <w:spacing w:after="0" w:before="0"/>
            </w:pPr>
            <w:r/>
            <w:r>
              <w:rPr>
                <w:rFonts w:ascii="Arial" w:hAnsi="Arial"/>
                <w:b w:val="0"/>
                <w:sz w:val="17"/>
              </w:rPr>
              <w:t>31</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34</w:t>
            </w:r>
          </w:p>
        </w:tc>
        <w:tc>
          <w:tcPr>
            <w:tcW w:type="dxa" w:w="2268"/>
          </w:tcPr>
          <w:p>
            <w:pPr>
              <w:spacing w:after="0" w:before="0"/>
            </w:pPr>
            <w:r/>
            <w:r>
              <w:rPr>
                <w:rFonts w:ascii="Arial" w:hAnsi="Arial"/>
                <w:b w:val="0"/>
                <w:sz w:val="17"/>
              </w:rPr>
              <w:t>91</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12</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support access</w:t>
      </w:r>
    </w:p>
    <w:p>
      <w:pPr>
        <w:spacing w:after="80"/>
      </w:pPr>
      <w:r>
        <w:rPr>
          <w:rFonts w:ascii="Arial" w:hAnsi="Arial"/>
          <w:b w:val="0"/>
          <w:i/>
          <w:color w:val="6B7280"/>
          <w:sz w:val="18"/>
        </w:rPr>
        <w:t>plat schema: tenants, plans and modules, reserved sub-domains, support access grants</w:t>
      </w:r>
    </w:p>
    <w:p>
      <w:pPr>
        <w:keepNext/>
        <w:jc w:val="center"/>
      </w:pPr>
      <w:r>
        <w:drawing>
          <wp:inline xmlns:a="http://schemas.openxmlformats.org/drawingml/2006/main" xmlns:pic="http://schemas.openxmlformats.org/drawingml/2006/picture">
            <wp:extent cx="6292850" cy="5045918"/>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045918"/>
                    </a:xfrm>
                    <a:prstGeom prst="rect"/>
                  </pic:spPr>
                </pic:pic>
              </a:graphicData>
            </a:graphic>
          </wp:inline>
        </w:drawing>
      </w:r>
    </w:p>
    <w:p>
      <w:pPr>
        <w:spacing w:after="120"/>
        <w:jc w:val="center"/>
      </w:pPr>
      <w:r>
        <w:rPr>
          <w:rFonts w:ascii="Arial" w:hAnsi="Arial"/>
          <w:b w:val="0"/>
          <w:i/>
          <w:color w:val="6B7280"/>
          <w:sz w:val="16"/>
        </w:rPr>
        <w:t>Figure 2  Tenancy, plans and support access  ·  6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plat.Tenant</w:t>
            </w:r>
          </w:p>
        </w:tc>
        <w:tc>
          <w:tcPr>
            <w:tcW w:type="dxa" w:w="6690"/>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tcPr>
          <w:p>
            <w:pPr>
              <w:spacing w:after="0" w:before="0"/>
            </w:pPr>
            <w:r/>
            <w:r>
              <w:rPr>
                <w:rFonts w:ascii="Arial" w:hAnsi="Arial"/>
                <w:b w:val="0"/>
                <w:sz w:val="15"/>
              </w:rPr>
              <w:t>TenantId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w:t>
            </w:r>
          </w:p>
        </w:tc>
        <w:tc>
          <w:tcPr>
            <w:tcW w:type="dxa" w:w="6690"/>
            <w:shd w:val="clear" w:color="auto" w:fill="E8EEF6"/>
          </w:tcPr>
          <w:p>
            <w:pPr>
              <w:spacing w:after="0" w:before="0"/>
            </w:pPr>
            <w:r/>
            <w:r>
              <w:rPr>
                <w:rFonts w:ascii="Arial" w:hAnsi="Arial"/>
                <w:b w:val="0"/>
                <w:sz w:val="15"/>
              </w:rPr>
              <w:t>Subscription plan: a bundle of modules and soft limits (FR-PLT-003/004, Q-PLT-11)</w:t>
            </w:r>
          </w:p>
        </w:tc>
        <w:tc>
          <w:tcPr>
            <w:tcW w:type="dxa" w:w="2948"/>
            <w:shd w:val="clear" w:color="auto" w:fill="E8EEF6"/>
          </w:tcPr>
          <w:p>
            <w:pPr>
              <w:spacing w:after="0" w:before="0"/>
            </w:pPr>
            <w:r/>
            <w:r>
              <w:rPr>
                <w:rFonts w:ascii="Arial" w:hAnsi="Arial"/>
                <w:b w:val="0"/>
                <w:sz w:val="15"/>
              </w:rPr>
              <w:t>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plat.PlanModule</w:t>
            </w:r>
          </w:p>
        </w:tc>
        <w:tc>
          <w:tcPr>
            <w:tcW w:type="dxa" w:w="6690"/>
          </w:tcPr>
          <w:p>
            <w:pPr>
              <w:spacing w:after="0" w:before="0"/>
            </w:pPr>
            <w:r/>
            <w:r>
              <w:rPr>
                <w:rFonts w:ascii="Arial" w:hAnsi="Arial"/>
                <w:b w:val="0"/>
                <w:sz w:val="15"/>
              </w:rPr>
              <w:t>Modules included in a plan (replaces the Plan.IncludedModules JSON column)</w:t>
            </w:r>
          </w:p>
        </w:tc>
        <w:tc>
          <w:tcPr>
            <w:tcW w:type="dxa" w:w="2948"/>
          </w:tcPr>
          <w:p>
            <w:pPr>
              <w:spacing w:after="0" w:before="0"/>
            </w:pPr>
            <w:r/>
            <w:r>
              <w:rPr>
                <w:rFonts w:ascii="Arial" w:hAnsi="Arial"/>
                <w:b w:val="0"/>
                <w:sz w:val="15"/>
              </w:rPr>
              <w:t>PlanId, ModuleCode</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plat.TenantModule</w:t>
            </w:r>
          </w:p>
        </w:tc>
        <w:tc>
          <w:tcPr>
            <w:tcW w:type="dxa" w:w="6690"/>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shd w:val="clear" w:color="auto" w:fill="E8EEF6"/>
          </w:tcPr>
          <w:p>
            <w:pPr>
              <w:spacing w:after="0" w:before="0"/>
            </w:pPr>
            <w:r/>
            <w:r>
              <w:rPr>
                <w:rFonts w:ascii="Arial" w:hAnsi="Arial"/>
                <w:b w:val="0"/>
                <w:sz w:val="15"/>
              </w:rPr>
              <w:t>TenantModuleId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plat.ReservedSubdomain</w:t>
            </w:r>
          </w:p>
        </w:tc>
        <w:tc>
          <w:tcPr>
            <w:tcW w:type="dxa" w:w="6690"/>
          </w:tcPr>
          <w:p>
            <w:pPr>
              <w:spacing w:after="0" w:before="0"/>
            </w:pPr>
            <w:r/>
            <w:r>
              <w:rPr>
                <w:rFonts w:ascii="Arial" w:hAnsi="Arial"/>
                <w:b w:val="0"/>
                <w:sz w:val="15"/>
              </w:rPr>
              <w:t>Subdomains reserved for the system: www, admin, api, app and others (FR-PLT-046)</w:t>
            </w:r>
          </w:p>
        </w:tc>
        <w:tc>
          <w:tcPr>
            <w:tcW w:type="dxa" w:w="2948"/>
          </w:tcPr>
          <w:p>
            <w:pPr>
              <w:spacing w:after="0" w:before="0"/>
            </w:pPr>
            <w:r/>
            <w:r>
              <w:rPr>
                <w:rFonts w:ascii="Arial" w:hAnsi="Arial"/>
                <w:b w:val="0"/>
                <w:sz w:val="15"/>
              </w:rPr>
              <w:t>ReservedSubdomainId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plat.SupportAccessGrant</w:t>
            </w:r>
          </w:p>
        </w:tc>
        <w:tc>
          <w:tcPr>
            <w:tcW w:type="dxa" w:w="6690"/>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2948"/>
            <w:shd w:val="clear" w:color="auto" w:fill="E8EEF6"/>
          </w:tcPr>
          <w:p>
            <w:pPr>
              <w:spacing w:after="0" w:before="0"/>
            </w:pPr>
            <w:r/>
            <w:r>
              <w:rPr>
                <w:rFonts w:ascii="Arial" w:hAnsi="Arial"/>
                <w:b w:val="0"/>
                <w:sz w:val="15"/>
              </w:rPr>
              <w:t>SupportAccessGrantId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plat.TenantModule</w:t>
            </w:r>
          </w:p>
        </w:tc>
        <w:tc>
          <w:tcPr>
            <w:tcW w:type="dxa" w:w="2948"/>
            <w:shd w:val="clear" w:color="auto" w:fill="E8EEF6"/>
          </w:tcPr>
          <w:p>
            <w:pPr>
              <w:spacing w:after="0" w:before="0"/>
            </w:pPr>
            <w:r/>
            <w:r>
              <w:rPr>
                <w:rFonts w:ascii="Arial" w:hAnsi="Arial"/>
                <w:b w:val="0"/>
                <w:sz w:val="15"/>
              </w:rPr>
              <w:t>EnabledBy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GrantedBy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Platform operators</w:t>
      </w:r>
    </w:p>
    <w:p>
      <w:pPr>
        <w:spacing w:after="80"/>
      </w:pPr>
      <w:r>
        <w:rPr>
          <w:rFonts w:ascii="Arial" w:hAnsi="Arial"/>
          <w:b w:val="0"/>
          <w:i/>
          <w:color w:val="6B7280"/>
          <w:sz w:val="18"/>
        </w:rPr>
        <w:t>plat schema: operator accounts, their sessions and set-up links (ADR 0004)</w:t>
      </w:r>
    </w:p>
    <w:p>
      <w:pPr>
        <w:keepNext/>
        <w:jc w:val="center"/>
      </w:pPr>
      <w:r>
        <w:drawing>
          <wp:inline xmlns:a="http://schemas.openxmlformats.org/drawingml/2006/main" xmlns:pic="http://schemas.openxmlformats.org/drawingml/2006/picture">
            <wp:extent cx="5947410" cy="2610044"/>
            <wp:docPr id="3" name="Picture 3"/>
            <wp:cNvGraphicFramePr>
              <a:graphicFrameLocks noChangeAspect="1"/>
            </wp:cNvGraphicFramePr>
            <a:graphic>
              <a:graphicData uri="http://schemas.openxmlformats.org/drawingml/2006/picture">
                <pic:pic>
                  <pic:nvPicPr>
                    <pic:cNvPr id="0" name="m0_operators.png"/>
                    <pic:cNvPicPr/>
                  </pic:nvPicPr>
                  <pic:blipFill>
                    <a:blip r:embed="rId13"/>
                    <a:stretch>
                      <a:fillRect/>
                    </a:stretch>
                  </pic:blipFill>
                  <pic:spPr>
                    <a:xfrm>
                      <a:off x="0" y="0"/>
                      <a:ext cx="5947410" cy="2610044"/>
                    </a:xfrm>
                    <a:prstGeom prst="rect"/>
                  </pic:spPr>
                </pic:pic>
              </a:graphicData>
            </a:graphic>
          </wp:inline>
        </w:drawing>
      </w:r>
    </w:p>
    <w:p>
      <w:pPr>
        <w:spacing w:after="120"/>
        <w:jc w:val="center"/>
      </w:pPr>
      <w:r>
        <w:rPr>
          <w:rFonts w:ascii="Arial" w:hAnsi="Arial"/>
          <w:b w:val="0"/>
          <w:i/>
          <w:color w:val="6B7280"/>
          <w:sz w:val="16"/>
        </w:rPr>
        <w:t>Figure 3  Platform operators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plat.OperatorSession</w:t>
            </w:r>
          </w:p>
        </w:tc>
        <w:tc>
          <w:tcPr>
            <w:tcW w:type="dxa" w:w="6690"/>
            <w:shd w:val="clear" w:color="auto" w:fill="E8EEF6"/>
          </w:tcPr>
          <w:p>
            <w:pPr>
              <w:spacing w:after="0" w:before="0"/>
            </w:pPr>
            <w:r/>
            <w:r>
              <w:rPr>
                <w:rFonts w:ascii="Arial" w:hAnsi="Arial"/>
                <w:b w:val="0"/>
                <w:sz w:val="15"/>
              </w:rPr>
              <w:t>Platform operator sessions: 15-minute idle and 8-hour absolute timeout (FR-PLT-006)</w:t>
            </w:r>
          </w:p>
        </w:tc>
        <w:tc>
          <w:tcPr>
            <w:tcW w:type="dxa" w:w="2948"/>
            <w:shd w:val="clear" w:color="auto" w:fill="E8EEF6"/>
          </w:tcPr>
          <w:p>
            <w:pPr>
              <w:spacing w:after="0" w:before="0"/>
            </w:pPr>
            <w:r/>
            <w:r>
              <w:rPr>
                <w:rFonts w:ascii="Arial" w:hAnsi="Arial"/>
                <w:b w:val="0"/>
                <w:sz w:val="15"/>
              </w:rPr>
              <w:t>OperatorSessionId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plat.OperatorToken</w:t>
            </w:r>
          </w:p>
        </w:tc>
        <w:tc>
          <w:tcPr>
            <w:tcW w:type="dxa" w:w="6690"/>
          </w:tcPr>
          <w:p>
            <w:pPr>
              <w:spacing w:after="0" w:before="0"/>
            </w:pPr>
            <w:r/>
            <w:r>
              <w:rPr>
                <w:rFonts w:ascii="Arial" w:hAnsi="Arial"/>
                <w:b w:val="0"/>
                <w:sz w:val="15"/>
              </w:rPr>
              <w:t>One-time operator set-up links: password and MFA (FR-PLT-006)</w:t>
            </w:r>
          </w:p>
        </w:tc>
        <w:tc>
          <w:tcPr>
            <w:tcW w:type="dxa" w:w="2948"/>
          </w:tcPr>
          <w:p>
            <w:pPr>
              <w:spacing w:after="0" w:before="0"/>
            </w:pPr>
            <w:r/>
            <w:r>
              <w:rPr>
                <w:rFonts w:ascii="Arial" w:hAnsi="Arial"/>
                <w:b w:val="0"/>
                <w:sz w:val="15"/>
              </w:rPr>
              <w:t>OperatorTokenId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plat.OperatorSession</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plat.OperatorToken</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plat.OperatorToken</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4" name="Picture 4"/>
            <wp:cNvGraphicFramePr>
              <a:graphicFrameLocks noChangeAspect="1"/>
            </wp:cNvGraphicFramePr>
            <a:graphic>
              <a:graphicData uri="http://schemas.openxmlformats.org/drawingml/2006/picture">
                <pic:pic>
                  <pic:nvPicPr>
                    <pic:cNvPr id="0" name="m0_identity.png"/>
                    <pic:cNvPicPr/>
                  </pic:nvPicPr>
                  <pic:blipFill>
                    <a:blip r:embed="rId14"/>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4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5" name="Picture 5"/>
            <wp:cNvGraphicFramePr>
              <a:graphicFrameLocks noChangeAspect="1"/>
            </wp:cNvGraphicFramePr>
            <a:graphic>
              <a:graphicData uri="http://schemas.openxmlformats.org/drawingml/2006/picture">
                <pic:pic>
                  <pic:nvPicPr>
                    <pic:cNvPr id="0" name="m0_sessions_1.png"/>
                    <pic:cNvPicPr/>
                  </pic:nvPicPr>
                  <pic:blipFill>
                    <a:blip r:embed="rId15"/>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5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6" name="Picture 6"/>
            <wp:cNvGraphicFramePr>
              <a:graphicFrameLocks noChangeAspect="1"/>
            </wp:cNvGraphicFramePr>
            <a:graphic>
              <a:graphicData uri="http://schemas.openxmlformats.org/drawingml/2006/picture">
                <pic:pic>
                  <pic:nvPicPr>
                    <pic:cNvPr id="0" name="m0_sessions_2.png"/>
                    <pic:cNvPicPr/>
                  </pic:nvPicPr>
                  <pic:blipFill>
                    <a:blip r:embed="rId16"/>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6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6162040" cy="4175893"/>
            <wp:docPr id="7" name="Picture 7"/>
            <wp:cNvGraphicFramePr>
              <a:graphicFrameLocks noChangeAspect="1"/>
            </wp:cNvGraphicFramePr>
            <a:graphic>
              <a:graphicData uri="http://schemas.openxmlformats.org/drawingml/2006/picture">
                <pic:pic>
                  <pic:nvPicPr>
                    <pic:cNvPr id="0" name="m0_sessions_3.png"/>
                    <pic:cNvPicPr/>
                  </pic:nvPicPr>
                  <pic:blipFill>
                    <a:blip r:embed="rId17"/>
                    <a:stretch>
                      <a:fillRect/>
                    </a:stretch>
                  </pic:blipFill>
                  <pic:spPr>
                    <a:xfrm>
                      <a:off x="0" y="0"/>
                      <a:ext cx="6162040" cy="4175893"/>
                    </a:xfrm>
                    <a:prstGeom prst="rect"/>
                  </pic:spPr>
                </pic:pic>
              </a:graphicData>
            </a:graphic>
          </wp:inline>
        </w:drawing>
      </w:r>
    </w:p>
    <w:p>
      <w:pPr>
        <w:spacing w:after="120"/>
        <w:jc w:val="center"/>
      </w:pPr>
      <w:r>
        <w:rPr>
          <w:rFonts w:ascii="Arial" w:hAnsi="Arial"/>
          <w:b w:val="0"/>
          <w:i/>
          <w:color w:val="6B7280"/>
          <w:sz w:val="16"/>
        </w:rPr>
        <w:t>Figure 7  Sessions, keys and authentication attempts (part 3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sec.SessionBinding</w:t>
            </w:r>
          </w:p>
        </w:tc>
        <w:tc>
          <w:tcPr>
            <w:tcW w:type="dxa" w:w="2948"/>
            <w:shd w:val="clear" w:color="auto" w:fill="E8EEF6"/>
          </w:tcPr>
          <w:p>
            <w:pPr>
              <w:spacing w:after="0" w:before="0"/>
            </w:pPr>
            <w:r/>
            <w:r>
              <w:rPr>
                <w:rFonts w:ascii="Arial" w:hAnsi="Arial"/>
                <w:b w:val="0"/>
                <w:sz w:val="15"/>
              </w:rPr>
              <w:t>BoundOperatorId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10265410" cy="6500040"/>
            <wp:docPr id="8" name="Picture 8"/>
            <wp:cNvGraphicFramePr>
              <a:graphicFrameLocks noChangeAspect="1"/>
            </wp:cNvGraphicFramePr>
            <a:graphic>
              <a:graphicData uri="http://schemas.openxmlformats.org/drawingml/2006/picture">
                <pic:pic>
                  <pic:nvPicPr>
                    <pic:cNvPr id="0" name="m0_audit_docs.png"/>
                    <pic:cNvPicPr/>
                  </pic:nvPicPr>
                  <pic:blipFill>
                    <a:blip r:embed="rId18"/>
                    <a:stretch>
                      <a:fillRect/>
                    </a:stretch>
                  </pic:blipFill>
                  <pic:spPr>
                    <a:xfrm>
                      <a:off x="0" y="0"/>
                      <a:ext cx="10265410" cy="6500040"/>
                    </a:xfrm>
                    <a:prstGeom prst="rect"/>
                  </pic:spPr>
                </pic:pic>
              </a:graphicData>
            </a:graphic>
          </wp:inline>
        </w:drawing>
      </w:r>
    </w:p>
    <w:p>
      <w:pPr>
        <w:spacing w:after="120"/>
        <w:jc w:val="center"/>
      </w:pPr>
      <w:r>
        <w:rPr>
          <w:rFonts w:ascii="Arial" w:hAnsi="Arial"/>
          <w:b w:val="0"/>
          <w:i/>
          <w:color w:val="6B7280"/>
          <w:sz w:val="16"/>
        </w:rPr>
        <w:t>Figure 8  Audit trail and documents  ·  5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doc.DocumentLink</w:t>
            </w:r>
          </w:p>
        </w:tc>
        <w:tc>
          <w:tcPr>
            <w:tcW w:type="dxa" w:w="6690"/>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2948"/>
            <w:shd w:val="clear" w:color="auto" w:fill="E8EEF6"/>
          </w:tcPr>
          <w:p>
            <w:pPr>
              <w:spacing w:after="0" w:before="0"/>
            </w:pPr>
            <w:r/>
            <w:r>
              <w:rPr>
                <w:rFonts w:ascii="Arial" w:hAnsi="Arial"/>
                <w:b w:val="0"/>
                <w:sz w:val="15"/>
              </w:rPr>
              <w:t>DocumentLinkId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doc.DocumentVersion</w:t>
            </w:r>
          </w:p>
        </w:tc>
        <w:tc>
          <w:tcPr>
            <w:tcW w:type="dxa" w:w="6690"/>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2948"/>
          </w:tcPr>
          <w:p>
            <w:pPr>
              <w:spacing w:after="0" w:before="0"/>
            </w:pPr>
            <w:r/>
            <w:r>
              <w:rPr>
                <w:rFonts w:ascii="Arial" w:hAnsi="Arial"/>
                <w:b w:val="0"/>
                <w:sz w:val="15"/>
              </w:rPr>
              <w:t>DocumentVersionId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AuditLogId</w:t>
            </w:r>
          </w:p>
        </w:tc>
        <w:tc>
          <w:tcPr>
            <w:tcW w:type="dxa" w:w="2721"/>
          </w:tcPr>
          <w:p>
            <w:pPr>
              <w:spacing w:after="0" w:before="0"/>
            </w:pPr>
            <w:r/>
            <w:r>
              <w:rPr>
                <w:rFonts w:ascii="Arial" w:hAnsi="Arial"/>
                <w:b w:val="0"/>
                <w:sz w:val="15"/>
              </w:rPr>
              <w:t>aud.AuditLog</w:t>
            </w:r>
          </w:p>
        </w:tc>
        <w:tc>
          <w:tcPr>
            <w:tcW w:type="dxa" w:w="2948"/>
          </w:tcPr>
          <w:p>
            <w:pPr>
              <w:spacing w:after="0" w:before="0"/>
            </w:pPr>
            <w:r/>
            <w:r>
              <w:rPr>
                <w:rFonts w:ascii="Arial" w:hAnsi="Arial"/>
                <w:b w:val="0"/>
                <w:sz w:val="15"/>
              </w:rPr>
              <w:t>AuditLogId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DocumentTypeId</w:t>
            </w:r>
          </w:p>
        </w:tc>
        <w:tc>
          <w:tcPr>
            <w:tcW w:type="dxa" w:w="2721"/>
            <w:shd w:val="clear" w:color="auto" w:fill="E8EEF6"/>
          </w:tcPr>
          <w:p>
            <w:pPr>
              <w:spacing w:after="0" w:before="0"/>
            </w:pPr>
            <w:r/>
            <w:r>
              <w:rPr>
                <w:rFonts w:ascii="Arial" w:hAnsi="Arial"/>
                <w:b w:val="0"/>
                <w:sz w:val="15"/>
              </w:rPr>
              <w:t>cat.DocumentType</w:t>
            </w:r>
          </w:p>
        </w:tc>
        <w:tc>
          <w:tcPr>
            <w:tcW w:type="dxa" w:w="2948"/>
            <w:shd w:val="clear" w:color="auto" w:fill="E8EEF6"/>
          </w:tcPr>
          <w:p>
            <w:pPr>
              <w:spacing w:after="0" w:before="0"/>
            </w:pPr>
            <w:r/>
            <w:r>
              <w:rPr>
                <w:rFonts w:ascii="Arial" w:hAnsi="Arial"/>
                <w:b w:val="0"/>
                <w:sz w:val="15"/>
              </w:rPr>
              <w:t>DocumentTypeId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OwnerCompanyId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 CurrentVersionId</w:t>
            </w:r>
          </w:p>
        </w:tc>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DocumentId, DocumentVersionId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SupersededByDocumentId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DeletedBy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7835808"/>
            <wp:docPr id="9" name="Picture 9"/>
            <wp:cNvGraphicFramePr>
              <a:graphicFrameLocks noChangeAspect="1"/>
            </wp:cNvGraphicFramePr>
            <a:graphic>
              <a:graphicData uri="http://schemas.openxmlformats.org/drawingml/2006/picture">
                <pic:pic>
                  <pic:nvPicPr>
                    <pic:cNvPr id="0" name="m0_config_1.png"/>
                    <pic:cNvPicPr/>
                  </pic:nvPicPr>
                  <pic:blipFill>
                    <a:blip r:embed="rId19"/>
                    <a:stretch>
                      <a:fillRect/>
                    </a:stretch>
                  </pic:blipFill>
                  <pic:spPr>
                    <a:xfrm>
                      <a:off x="0" y="0"/>
                      <a:ext cx="5965190" cy="7835808"/>
                    </a:xfrm>
                    <a:prstGeom prst="rect"/>
                  </pic:spPr>
                </pic:pic>
              </a:graphicData>
            </a:graphic>
          </wp:inline>
        </w:drawing>
      </w:r>
    </w:p>
    <w:p>
      <w:pPr>
        <w:spacing w:after="120"/>
        <w:jc w:val="center"/>
      </w:pPr>
      <w:r>
        <w:rPr>
          <w:rFonts w:ascii="Arial" w:hAnsi="Arial"/>
          <w:b w:val="0"/>
          <w:i/>
          <w:color w:val="6B7280"/>
          <w:sz w:val="16"/>
        </w:rPr>
        <w:t>Figure 9  Configuration and background jobs (part 1 of 2)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cfg.ExpiryAlertRuleRole</w:t>
            </w:r>
          </w:p>
        </w:tc>
        <w:tc>
          <w:tcPr>
            <w:tcW w:type="dxa" w:w="6690"/>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2948"/>
            <w:shd w:val="clear" w:color="auto" w:fill="E8EEF6"/>
          </w:tcPr>
          <w:p>
            <w:pPr>
              <w:spacing w:after="0" w:before="0"/>
            </w:pPr>
            <w:r/>
            <w:r>
              <w:rPr>
                <w:rFonts w:ascii="Arial" w:hAnsi="Arial"/>
                <w:b w:val="0"/>
                <w:sz w:val="15"/>
              </w:rPr>
              <w:t>TenantId, ExpiryAlertRuleId, RoleId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cfg.JobDefinition</w:t>
            </w:r>
          </w:p>
        </w:tc>
        <w:tc>
          <w:tcPr>
            <w:tcW w:type="dxa" w:w="6690"/>
          </w:tcPr>
          <w:p>
            <w:pPr>
              <w:spacing w:after="0" w:before="0"/>
            </w:pPr>
            <w:r/>
            <w:r>
              <w:rPr>
                <w:rFonts w:ascii="Arial" w:hAnsi="Arial"/>
                <w:b w:val="0"/>
                <w:sz w:val="15"/>
              </w:rPr>
              <w:t>Background job catalogue: the only JobKey values a job connection may bind with (FR-PLT-044)</w:t>
            </w:r>
          </w:p>
        </w:tc>
        <w:tc>
          <w:tcPr>
            <w:tcW w:type="dxa" w:w="2948"/>
          </w:tcPr>
          <w:p>
            <w:pPr>
              <w:spacing w:after="0" w:before="0"/>
            </w:pPr>
            <w:r/>
            <w:r>
              <w:rPr>
                <w:rFonts w:ascii="Arial" w:hAnsi="Arial"/>
                <w:b w:val="0"/>
                <w:sz w:val="15"/>
              </w:rPr>
              <w:t>JobDefinitionId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cfg.JobRun</w:t>
            </w:r>
          </w:p>
        </w:tc>
        <w:tc>
          <w:tcPr>
            <w:tcW w:type="dxa" w:w="6690"/>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2948"/>
            <w:shd w:val="clear" w:color="auto" w:fill="E8EEF6"/>
          </w:tcPr>
          <w:p>
            <w:pPr>
              <w:spacing w:after="0" w:before="0"/>
            </w:pPr>
            <w:r/>
            <w:r>
              <w:rPr>
                <w:rFonts w:ascii="Arial" w:hAnsi="Arial"/>
                <w:b w:val="0"/>
                <w:sz w:val="15"/>
              </w:rPr>
              <w:t>JobRunId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cfg.NonWorkingDay</w:t>
            </w:r>
          </w:p>
        </w:tc>
        <w:tc>
          <w:tcPr>
            <w:tcW w:type="dxa" w:w="6690"/>
          </w:tcPr>
          <w:p>
            <w:pPr>
              <w:spacing w:after="0" w:before="0"/>
            </w:pPr>
            <w:r/>
            <w:r>
              <w:rPr>
                <w:rFonts w:ascii="Arial" w:hAnsi="Arial"/>
                <w:b w:val="0"/>
                <w:sz w:val="15"/>
              </w:rPr>
              <w:t>Non-working day; NULL TenantId = platform holiday, read-only (FR-PLT-035, BR-PLT-014)</w:t>
            </w:r>
          </w:p>
        </w:tc>
        <w:tc>
          <w:tcPr>
            <w:tcW w:type="dxa" w:w="2948"/>
          </w:tcPr>
          <w:p>
            <w:pPr>
              <w:spacing w:after="0" w:before="0"/>
            </w:pPr>
            <w:r/>
            <w:r>
              <w:rPr>
                <w:rFonts w:ascii="Arial" w:hAnsi="Arial"/>
                <w:b w:val="0"/>
                <w:sz w:val="15"/>
              </w:rPr>
              <w:t>NonWorkingDayId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cfg.ExpiryAlertRuleRole</w:t>
            </w:r>
          </w:p>
        </w:tc>
        <w:tc>
          <w:tcPr>
            <w:tcW w:type="dxa" w:w="2948"/>
          </w:tcPr>
          <w:p>
            <w:pPr>
              <w:spacing w:after="0" w:before="0"/>
            </w:pPr>
            <w:r/>
            <w:r>
              <w:rPr>
                <w:rFonts w:ascii="Arial" w:hAnsi="Arial"/>
                <w:b w:val="0"/>
                <w:sz w:val="15"/>
              </w:rPr>
              <w:t>ExpiryAlertRuleId</w:t>
            </w:r>
          </w:p>
        </w:tc>
        <w:tc>
          <w:tcPr>
            <w:tcW w:type="dxa" w:w="2721"/>
          </w:tcPr>
          <w:p>
            <w:pPr>
              <w:spacing w:after="0" w:before="0"/>
            </w:pPr>
            <w:r/>
            <w:r>
              <w:rPr>
                <w:rFonts w:ascii="Arial" w:hAnsi="Arial"/>
                <w:b w:val="0"/>
                <w:sz w:val="15"/>
              </w:rPr>
              <w:t>cfg.ExpiryAlertRule</w:t>
            </w:r>
          </w:p>
        </w:tc>
        <w:tc>
          <w:tcPr>
            <w:tcW w:type="dxa" w:w="2948"/>
          </w:tcPr>
          <w:p>
            <w:pPr>
              <w:spacing w:after="0" w:before="0"/>
            </w:pPr>
            <w:r/>
            <w:r>
              <w:rPr>
                <w:rFonts w:ascii="Arial" w:hAnsi="Arial"/>
                <w:b w:val="0"/>
                <w:sz w:val="15"/>
              </w:rPr>
              <w:t>ExpiryAlertRuleId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cfg.ExpiryAlertRuleRole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9732010" cy="7072536"/>
            <wp:docPr id="10" name="Picture 10"/>
            <wp:cNvGraphicFramePr>
              <a:graphicFrameLocks noChangeAspect="1"/>
            </wp:cNvGraphicFramePr>
            <a:graphic>
              <a:graphicData uri="http://schemas.openxmlformats.org/drawingml/2006/picture">
                <pic:pic>
                  <pic:nvPicPr>
                    <pic:cNvPr id="0" name="m0_config_2.png"/>
                    <pic:cNvPicPr/>
                  </pic:nvPicPr>
                  <pic:blipFill>
                    <a:blip r:embed="rId20"/>
                    <a:stretch>
                      <a:fillRect/>
                    </a:stretch>
                  </pic:blipFill>
                  <pic:spPr>
                    <a:xfrm>
                      <a:off x="0" y="0"/>
                      <a:ext cx="9732010" cy="7072536"/>
                    </a:xfrm>
                    <a:prstGeom prst="rect"/>
                  </pic:spPr>
                </pic:pic>
              </a:graphicData>
            </a:graphic>
          </wp:inline>
        </w:drawing>
      </w:r>
    </w:p>
    <w:p>
      <w:pPr>
        <w:spacing w:after="120"/>
        <w:jc w:val="center"/>
      </w:pPr>
      <w:r>
        <w:rPr>
          <w:rFonts w:ascii="Arial" w:hAnsi="Arial"/>
          <w:b w:val="0"/>
          <w:i/>
          <w:color w:val="6B7280"/>
          <w:sz w:val="16"/>
        </w:rPr>
        <w:t>Figure 10  Configuration and background jobs (part 2 of 2)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w:t>
            </w:r>
          </w:p>
        </w:tc>
        <w:tc>
          <w:tcPr>
            <w:tcW w:type="dxa" w:w="6690"/>
            <w:shd w:val="clear" w:color="auto" w:fill="E8EEF6"/>
          </w:tcPr>
          <w:p>
            <w:pPr>
              <w:spacing w:after="0" w:before="0"/>
            </w:pPr>
            <w:r/>
            <w:r>
              <w:rPr>
                <w:rFonts w:ascii="Arial" w:hAnsi="Arial"/>
                <w:b w:val="0"/>
                <w:sz w:val="15"/>
              </w:rPr>
              <w:t>Counter per (definition, optional company, period); its row is locked on allocation inside the caller's transaction (BR-PLT-010)</w:t>
            </w:r>
          </w:p>
        </w:tc>
        <w:tc>
          <w:tcPr>
            <w:tcW w:type="dxa" w:w="2948"/>
            <w:shd w:val="clear" w:color="auto" w:fill="E8EEF6"/>
          </w:tcPr>
          <w:p>
            <w:pPr>
              <w:spacing w:after="0" w:before="0"/>
            </w:pPr>
            <w:r/>
            <w:r>
              <w:rPr>
                <w:rFonts w:ascii="Arial" w:hAnsi="Arial"/>
                <w:b w:val="0"/>
                <w:sz w:val="15"/>
              </w:rPr>
              <w:t>NumberSequenceId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cfg.NumberSequenceDefinition</w:t>
            </w:r>
          </w:p>
        </w:tc>
        <w:tc>
          <w:tcPr>
            <w:tcW w:type="dxa" w:w="6690"/>
          </w:tcPr>
          <w:p>
            <w:pPr>
              <w:spacing w:after="0" w:before="0"/>
            </w:pPr>
            <w:r/>
            <w:r>
              <w:rPr>
                <w:rFonts w:ascii="Arial" w:hAnsi="Arial"/>
                <w:b w:val="0"/>
                <w:sz w:val="15"/>
              </w:rPr>
              <w:t>Numbering-type definition with a tag-based format, for example {seq:000}-{erp}-{yy} (FR-PLT-026)</w:t>
            </w:r>
          </w:p>
        </w:tc>
        <w:tc>
          <w:tcPr>
            <w:tcW w:type="dxa" w:w="2948"/>
          </w:tcPr>
          <w:p>
            <w:pPr>
              <w:spacing w:after="0" w:before="0"/>
            </w:pPr>
            <w:r/>
            <w:r>
              <w:rPr>
                <w:rFonts w:ascii="Arial" w:hAnsi="Arial"/>
                <w:b w:val="0"/>
                <w:sz w:val="15"/>
              </w:rPr>
              <w:t>NumberSequenceDefinitionId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cfg.OutboxEvent</w:t>
            </w:r>
          </w:p>
        </w:tc>
        <w:tc>
          <w:tcPr>
            <w:tcW w:type="dxa" w:w="6690"/>
            <w:shd w:val="clear" w:color="auto" w:fill="E8EEF6"/>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2948"/>
            <w:shd w:val="clear" w:color="auto" w:fill="E8EEF6"/>
          </w:tcPr>
          <w:p>
            <w:pPr>
              <w:spacing w:after="0" w:before="0"/>
            </w:pPr>
            <w:r/>
            <w:r>
              <w:rPr>
                <w:rFonts w:ascii="Arial" w:hAnsi="Arial"/>
                <w:b w:val="0"/>
                <w:sz w:val="15"/>
              </w:rPr>
              <w:t>OutboxEventId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cfg.SeedRun</w:t>
            </w:r>
          </w:p>
        </w:tc>
        <w:tc>
          <w:tcPr>
            <w:tcW w:type="dxa" w:w="6690"/>
          </w:tcPr>
          <w:p>
            <w:pPr>
              <w:spacing w:after="0" w:before="0"/>
            </w:pPr>
            <w:r/>
            <w:r>
              <w:rPr>
                <w:rFonts w:ascii="Arial" w:hAnsi="Arial"/>
                <w:b w:val="0"/>
                <w:sz w:val="15"/>
              </w:rPr>
              <w:t>Numbered seed-run log per package; re-running a seed adds nothing (FR-PLT-008)</w:t>
            </w:r>
          </w:p>
        </w:tc>
        <w:tc>
          <w:tcPr>
            <w:tcW w:type="dxa" w:w="2948"/>
          </w:tcPr>
          <w:p>
            <w:pPr>
              <w:spacing w:after="0" w:before="0"/>
            </w:pPr>
            <w:r/>
            <w:r>
              <w:rPr>
                <w:rFonts w:ascii="Arial" w:hAnsi="Arial"/>
                <w:b w:val="0"/>
                <w:sz w:val="15"/>
              </w:rPr>
              <w:t>SeedRunId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cfg.SettingDefinition</w:t>
            </w:r>
          </w:p>
        </w:tc>
        <w:tc>
          <w:tcPr>
            <w:tcW w:type="dxa" w:w="6690"/>
            <w:shd w:val="clear" w:color="auto" w:fill="E8EEF6"/>
          </w:tcPr>
          <w:p>
            <w:pPr>
              <w:spacing w:after="0" w:before="0"/>
            </w:pPr>
            <w:r/>
            <w:r>
              <w:rPr>
                <w:rFonts w:ascii="Arial" w:hAnsi="Arial"/>
                <w:b w:val="0"/>
                <w:sz w:val="15"/>
              </w:rPr>
              <w:t>Setting-key definition with platform minimum and maximum bounds (BR-PLT-018, FR-PLT-043)</w:t>
            </w:r>
          </w:p>
        </w:tc>
        <w:tc>
          <w:tcPr>
            <w:tcW w:type="dxa" w:w="2948"/>
            <w:shd w:val="clear" w:color="auto" w:fill="E8EEF6"/>
          </w:tcPr>
          <w:p>
            <w:pPr>
              <w:spacing w:after="0" w:before="0"/>
            </w:pPr>
            <w:r/>
            <w:r>
              <w:rPr>
                <w:rFonts w:ascii="Arial" w:hAnsi="Arial"/>
                <w:b w:val="0"/>
                <w:sz w:val="15"/>
              </w:rPr>
              <w:t>SettingDefinitionId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cfg.TenantSetting</w:t>
            </w:r>
          </w:p>
        </w:tc>
        <w:tc>
          <w:tcPr>
            <w:tcW w:type="dxa" w:w="6690"/>
          </w:tcPr>
          <w:p>
            <w:pPr>
              <w:spacing w:after="0" w:before="0"/>
            </w:pPr>
            <w:r/>
            <w:r>
              <w:rPr>
                <w:rFonts w:ascii="Arial" w:hAnsi="Arial"/>
                <w:b w:val="0"/>
                <w:sz w:val="15"/>
              </w:rPr>
              <w:t>Tenant settings: security policies, timeouts, thresholds, and work start and end times (FR-PLT-043)</w:t>
            </w:r>
          </w:p>
        </w:tc>
        <w:tc>
          <w:tcPr>
            <w:tcW w:type="dxa" w:w="2948"/>
          </w:tcPr>
          <w:p>
            <w:pPr>
              <w:spacing w:after="0" w:before="0"/>
            </w:pPr>
            <w:r/>
            <w:r>
              <w:rPr>
                <w:rFonts w:ascii="Arial" w:hAnsi="Arial"/>
                <w:b w:val="0"/>
                <w:sz w:val="15"/>
              </w:rPr>
              <w:t>TenantSettingId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SequenceId</w:t>
            </w:r>
          </w:p>
        </w:tc>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NumberSequenceId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VoidedBy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919970" cy="7463873"/>
            <wp:docPr id="11" name="Picture 11"/>
            <wp:cNvGraphicFramePr>
              <a:graphicFrameLocks noChangeAspect="1"/>
            </wp:cNvGraphicFramePr>
            <a:graphic>
              <a:graphicData uri="http://schemas.openxmlformats.org/drawingml/2006/picture">
                <pic:pic>
                  <pic:nvPicPr>
                    <pic:cNvPr id="0" name="m1_company_1.png"/>
                    <pic:cNvPicPr/>
                  </pic:nvPicPr>
                  <pic:blipFill>
                    <a:blip r:embed="rId21"/>
                    <a:stretch>
                      <a:fillRect/>
                    </a:stretch>
                  </pic:blipFill>
                  <pic:spPr>
                    <a:xfrm>
                      <a:off x="0" y="0"/>
                      <a:ext cx="9919970" cy="7463873"/>
                    </a:xfrm>
                    <a:prstGeom prst="rect"/>
                  </pic:spPr>
                </pic:pic>
              </a:graphicData>
            </a:graphic>
          </wp:inline>
        </w:drawing>
      </w:r>
    </w:p>
    <w:p>
      <w:pPr>
        <w:spacing w:after="120"/>
        <w:jc w:val="center"/>
      </w:pPr>
      <w:r>
        <w:rPr>
          <w:rFonts w:ascii="Arial" w:hAnsi="Arial"/>
          <w:b w:val="0"/>
          <w:i/>
          <w:color w:val="6B7280"/>
          <w:sz w:val="16"/>
        </w:rPr>
        <w:t>Figure 11  Company structure and governance (part 1 of 3)  ·  4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PartyKind, 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Kind, 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BaseCurrencyId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org.CompanyTaxRate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ParentDepartmentId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HeadUserId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HolderPartyId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IntermediatePartyId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2" name="Picture 12"/>
            <wp:cNvGraphicFramePr>
              <a:graphicFrameLocks noChangeAspect="1"/>
            </wp:cNvGraphicFramePr>
            <a:graphic>
              <a:graphicData uri="http://schemas.openxmlformats.org/drawingml/2006/picture">
                <pic:pic>
                  <pic:nvPicPr>
                    <pic:cNvPr id="0" name="m1_company_2.png"/>
                    <pic:cNvPicPr/>
                  </pic:nvPicPr>
                  <pic:blipFill>
                    <a:blip r:embed="rId22"/>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12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329680" cy="7676244"/>
            <wp:docPr id="13" name="Picture 13"/>
            <wp:cNvGraphicFramePr>
              <a:graphicFrameLocks noChangeAspect="1"/>
            </wp:cNvGraphicFramePr>
            <a:graphic>
              <a:graphicData uri="http://schemas.openxmlformats.org/drawingml/2006/picture">
                <pic:pic>
                  <pic:nvPicPr>
                    <pic:cNvPr id="0" name="m1_company_3.png"/>
                    <pic:cNvPicPr/>
                  </pic:nvPicPr>
                  <pic:blipFill>
                    <a:blip r:embed="rId23"/>
                    <a:stretch>
                      <a:fillRect/>
                    </a:stretch>
                  </pic:blipFill>
                  <pic:spPr>
                    <a:xfrm>
                      <a:off x="0" y="0"/>
                      <a:ext cx="6329680" cy="7676244"/>
                    </a:xfrm>
                    <a:prstGeom prst="rect"/>
                  </pic:spPr>
                </pic:pic>
              </a:graphicData>
            </a:graphic>
          </wp:inline>
        </w:drawing>
      </w:r>
    </w:p>
    <w:p>
      <w:pPr>
        <w:spacing w:after="120"/>
        <w:jc w:val="center"/>
      </w:pPr>
      <w:r>
        <w:rPr>
          <w:rFonts w:ascii="Arial" w:hAnsi="Arial"/>
          <w:b w:val="0"/>
          <w:i/>
          <w:color w:val="6B7280"/>
          <w:sz w:val="16"/>
        </w:rPr>
        <w:t>Figure 13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4" name="Picture 14"/>
            <wp:cNvGraphicFramePr>
              <a:graphicFrameLocks noChangeAspect="1"/>
            </wp:cNvGraphicFramePr>
            <a:graphic>
              <a:graphicData uri="http://schemas.openxmlformats.org/drawingml/2006/picture">
                <pic:pic>
                  <pic:nvPicPr>
                    <pic:cNvPr id="0" name="m1_company_kyc_1.png"/>
                    <pic:cNvPicPr/>
                  </pic:nvPicPr>
                  <pic:blipFill>
                    <a:blip r:embed="rId24"/>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14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5" name="Picture 15"/>
            <wp:cNvGraphicFramePr>
              <a:graphicFrameLocks noChangeAspect="1"/>
            </wp:cNvGraphicFramePr>
            <a:graphic>
              <a:graphicData uri="http://schemas.openxmlformats.org/drawingml/2006/picture">
                <pic:pic>
                  <pic:nvPicPr>
                    <pic:cNvPr id="0" name="m1_company_kyc_2.png"/>
                    <pic:cNvPicPr/>
                  </pic:nvPicPr>
                  <pic:blipFill>
                    <a:blip r:embed="rId25"/>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15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6" name="Picture 16"/>
            <wp:cNvGraphicFramePr>
              <a:graphicFrameLocks noChangeAspect="1"/>
            </wp:cNvGraphicFramePr>
            <a:graphic>
              <a:graphicData uri="http://schemas.openxmlformats.org/drawingml/2006/picture">
                <pic:pic>
                  <pic:nvPicPr>
                    <pic:cNvPr id="0" name="m1_party_1.png"/>
                    <pic:cNvPicPr/>
                  </pic:nvPicPr>
                  <pic:blipFill>
                    <a:blip r:embed="rId26"/>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16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622790" cy="4044481"/>
            <wp:docPr id="17" name="Picture 17"/>
            <wp:cNvGraphicFramePr>
              <a:graphicFrameLocks noChangeAspect="1"/>
            </wp:cNvGraphicFramePr>
            <a:graphic>
              <a:graphicData uri="http://schemas.openxmlformats.org/drawingml/2006/picture">
                <pic:pic>
                  <pic:nvPicPr>
                    <pic:cNvPr id="0" name="m1_party_2.png"/>
                    <pic:cNvPicPr/>
                  </pic:nvPicPr>
                  <pic:blipFill>
                    <a:blip r:embed="rId27"/>
                    <a:stretch>
                      <a:fillRect/>
                    </a:stretch>
                  </pic:blipFill>
                  <pic:spPr>
                    <a:xfrm>
                      <a:off x="0" y="0"/>
                      <a:ext cx="9622790" cy="4044481"/>
                    </a:xfrm>
                    <a:prstGeom prst="rect"/>
                  </pic:spPr>
                </pic:pic>
              </a:graphicData>
            </a:graphic>
          </wp:inline>
        </w:drawing>
      </w:r>
    </w:p>
    <w:p>
      <w:pPr>
        <w:spacing w:after="120"/>
        <w:jc w:val="center"/>
      </w:pPr>
      <w:r>
        <w:rPr>
          <w:rFonts w:ascii="Arial" w:hAnsi="Arial"/>
          <w:b w:val="0"/>
          <w:i/>
          <w:color w:val="6B7280"/>
          <w:sz w:val="16"/>
        </w:rPr>
        <w:t>Figure 17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4925532"/>
            <wp:docPr id="18" name="Picture 18"/>
            <wp:cNvGraphicFramePr>
              <a:graphicFrameLocks noChangeAspect="1"/>
            </wp:cNvGraphicFramePr>
            <a:graphic>
              <a:graphicData uri="http://schemas.openxmlformats.org/drawingml/2006/picture">
                <pic:pic>
                  <pic:nvPicPr>
                    <pic:cNvPr id="0" name="m1_party_3.png"/>
                    <pic:cNvPicPr/>
                  </pic:nvPicPr>
                  <pic:blipFill>
                    <a:blip r:embed="rId28"/>
                    <a:stretch>
                      <a:fillRect/>
                    </a:stretch>
                  </pic:blipFill>
                  <pic:spPr>
                    <a:xfrm>
                      <a:off x="0" y="0"/>
                      <a:ext cx="9398000" cy="4925532"/>
                    </a:xfrm>
                    <a:prstGeom prst="rect"/>
                  </pic:spPr>
                </pic:pic>
              </a:graphicData>
            </a:graphic>
          </wp:inline>
        </w:drawing>
      </w:r>
    </w:p>
    <w:p>
      <w:pPr>
        <w:spacing w:after="120"/>
        <w:jc w:val="center"/>
      </w:pPr>
      <w:r>
        <w:rPr>
          <w:rFonts w:ascii="Arial" w:hAnsi="Arial"/>
          <w:b w:val="0"/>
          <w:i/>
          <w:color w:val="6B7280"/>
          <w:sz w:val="16"/>
        </w:rPr>
        <w:t>Figure 18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MergedIntoPartyId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19" name="Picture 19"/>
            <wp:cNvGraphicFramePr>
              <a:graphicFrameLocks noChangeAspect="1"/>
            </wp:cNvGraphicFramePr>
            <a:graphic>
              <a:graphicData uri="http://schemas.openxmlformats.org/drawingml/2006/picture">
                <pic:pic>
                  <pic:nvPicPr>
                    <pic:cNvPr id="0" name="m1_party_4.png"/>
                    <pic:cNvPicPr/>
                  </pic:nvPicPr>
                  <pic:blipFill>
                    <a:blip r:embed="rId29"/>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19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0" name="Picture 20"/>
            <wp:cNvGraphicFramePr>
              <a:graphicFrameLocks noChangeAspect="1"/>
            </wp:cNvGraphicFramePr>
            <a:graphic>
              <a:graphicData uri="http://schemas.openxmlformats.org/drawingml/2006/picture">
                <pic:pic>
                  <pic:nvPicPr>
                    <pic:cNvPr id="0" name="m2_3_institutions_1.png"/>
                    <pic:cNvPicPr/>
                  </pic:nvPicPr>
                  <pic:blipFill>
                    <a:blip r:embed="rId30"/>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20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1" name="Picture 21"/>
            <wp:cNvGraphicFramePr>
              <a:graphicFrameLocks noChangeAspect="1"/>
            </wp:cNvGraphicFramePr>
            <a:graphic>
              <a:graphicData uri="http://schemas.openxmlformats.org/drawingml/2006/picture">
                <pic:pic>
                  <pic:nvPicPr>
                    <pic:cNvPr id="0" name="m2_3_institutions_2.png"/>
                    <pic:cNvPicPr/>
                  </pic:nvPicPr>
                  <pic:blipFill>
                    <a:blip r:embed="rId31"/>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21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2" name="Picture 22"/>
            <wp:cNvGraphicFramePr>
              <a:graphicFrameLocks noChangeAspect="1"/>
            </wp:cNvGraphicFramePr>
            <a:graphic>
              <a:graphicData uri="http://schemas.openxmlformats.org/drawingml/2006/picture">
                <pic:pic>
                  <pic:nvPicPr>
                    <pic:cNvPr id="0" name="m2_3_institutions_3.png"/>
                    <pic:cNvPicPr/>
                  </pic:nvPicPr>
                  <pic:blipFill>
                    <a:blip r:embed="rId32"/>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3" name="Picture 23"/>
            <wp:cNvGraphicFramePr>
              <a:graphicFrameLocks noChangeAspect="1"/>
            </wp:cNvGraphicFramePr>
            <a:graphic>
              <a:graphicData uri="http://schemas.openxmlformats.org/drawingml/2006/picture">
                <pic:pic>
                  <pic:nvPicPr>
                    <pic:cNvPr id="0" name="m2_3_institutions_4.png"/>
                    <pic:cNvPicPr/>
                  </pic:nvPicPr>
                  <pic:blipFill>
                    <a:blip r:embed="rId33"/>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4" name="Picture 24"/>
            <wp:cNvGraphicFramePr>
              <a:graphicFrameLocks noChangeAspect="1"/>
            </wp:cNvGraphicFramePr>
            <a:graphic>
              <a:graphicData uri="http://schemas.openxmlformats.org/drawingml/2006/picture">
                <pic:pic>
                  <pic:nvPicPr>
                    <pic:cNvPr id="0" name="m2_3_institutions_5.png"/>
                    <pic:cNvPicPr/>
                  </pic:nvPicPr>
                  <pic:blipFill>
                    <a:blip r:embed="rId34"/>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5" name="Picture 25"/>
            <wp:cNvGraphicFramePr>
              <a:graphicFrameLocks noChangeAspect="1"/>
            </wp:cNvGraphicFramePr>
            <a:graphic>
              <a:graphicData uri="http://schemas.openxmlformats.org/drawingml/2006/picture">
                <pic:pic>
                  <pic:nvPicPr>
                    <pic:cNvPr id="0" name="m2_3_institutions_6.png"/>
                    <pic:cNvPicPr/>
                  </pic:nvPicPr>
                  <pic:blipFill>
                    <a:blip r:embed="rId35"/>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6" name="Picture 26"/>
            <wp:cNvGraphicFramePr>
              <a:graphicFrameLocks noChangeAspect="1"/>
            </wp:cNvGraphicFramePr>
            <a:graphic>
              <a:graphicData uri="http://schemas.openxmlformats.org/drawingml/2006/picture">
                <pic:pic>
                  <pic:nvPicPr>
                    <pic:cNvPr id="0" name="m2_3_institutions_7.png"/>
                    <pic:cNvPicPr/>
                  </pic:nvPicPr>
                  <pic:blipFill>
                    <a:blip r:embed="rId36"/>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10124440" cy="3632496"/>
            <wp:docPr id="27" name="Picture 27"/>
            <wp:cNvGraphicFramePr>
              <a:graphicFrameLocks noChangeAspect="1"/>
            </wp:cNvGraphicFramePr>
            <a:graphic>
              <a:graphicData uri="http://schemas.openxmlformats.org/drawingml/2006/picture">
                <pic:pic>
                  <pic:nvPicPr>
                    <pic:cNvPr id="0" name="m4_products_1.png"/>
                    <pic:cNvPicPr/>
                  </pic:nvPicPr>
                  <pic:blipFill>
                    <a:blip r:embed="rId37"/>
                    <a:stretch>
                      <a:fillRect/>
                    </a:stretch>
                  </pic:blipFill>
                  <pic:spPr>
                    <a:xfrm>
                      <a:off x="0" y="0"/>
                      <a:ext cx="10124440" cy="3632496"/>
                    </a:xfrm>
                    <a:prstGeom prst="rect"/>
                  </pic:spPr>
                </pic:pic>
              </a:graphicData>
            </a:graphic>
          </wp:inline>
        </w:drawing>
      </w:r>
    </w:p>
    <w:p>
      <w:pPr>
        <w:spacing w:after="120"/>
        <w:jc w:val="center"/>
      </w:pPr>
      <w:r>
        <w:rPr>
          <w:rFonts w:ascii="Arial" w:hAnsi="Arial"/>
          <w:b w:val="0"/>
          <w:i/>
          <w:color w:val="6B7280"/>
          <w:sz w:val="16"/>
        </w:rPr>
        <w:t>Figure 27  Products, fees, financing and collateral types (part 1 of 2)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 the pair respects the Shariah classification (DR-30)</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ProductCompliance, 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Compliance, 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FinancingIsIslamic, 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IsIslamic, 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68390" cy="5370323"/>
            <wp:docPr id="28" name="Picture 28"/>
            <wp:cNvGraphicFramePr>
              <a:graphicFrameLocks noChangeAspect="1"/>
            </wp:cNvGraphicFramePr>
            <a:graphic>
              <a:graphicData uri="http://schemas.openxmlformats.org/drawingml/2006/picture">
                <pic:pic>
                  <pic:nvPicPr>
                    <pic:cNvPr id="0" name="m4_products_2.png"/>
                    <pic:cNvPicPr/>
                  </pic:nvPicPr>
                  <pic:blipFill>
                    <a:blip r:embed="rId38"/>
                    <a:stretch>
                      <a:fillRect/>
                    </a:stretch>
                  </pic:blipFill>
                  <pic:spPr>
                    <a:xfrm>
                      <a:off x="0" y="0"/>
                      <a:ext cx="6168390" cy="5370323"/>
                    </a:xfrm>
                    <a:prstGeom prst="rect"/>
                  </pic:spPr>
                </pic:pic>
              </a:graphicData>
            </a:graphic>
          </wp:inline>
        </w:drawing>
      </w:r>
    </w:p>
    <w:p>
      <w:pPr>
        <w:spacing w:after="120"/>
        <w:jc w:val="center"/>
      </w:pPr>
      <w:r>
        <w:rPr>
          <w:rFonts w:ascii="Arial" w:hAnsi="Arial"/>
          <w:b w:val="0"/>
          <w:i/>
          <w:color w:val="6B7280"/>
          <w:sz w:val="16"/>
        </w:rPr>
        <w:t>Figure 28  Products, fees, financing and collateral types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w:t>
            </w:r>
          </w:p>
        </w:tc>
        <w:tc>
          <w:tcPr>
            <w:tcW w:type="dxa" w:w="6690"/>
            <w:shd w:val="clear" w:color="auto" w:fill="E8EEF6"/>
          </w:tcPr>
          <w:p>
            <w:pPr>
              <w:spacing w:after="0" w:before="0"/>
            </w:pPr>
            <w:r/>
            <w:r>
              <w:rPr>
                <w:rFonts w:ascii="Arial" w:hAnsi="Arial"/>
                <w:b w:val="0"/>
                <w:sz w:val="15"/>
              </w:rPr>
              <w:t>Collateral type with its structure type and attribute template (FR-CAT-013)</w:t>
            </w:r>
          </w:p>
        </w:tc>
        <w:tc>
          <w:tcPr>
            <w:tcW w:type="dxa" w:w="2948"/>
            <w:shd w:val="clear" w:color="auto" w:fill="E8EEF6"/>
          </w:tcPr>
          <w:p>
            <w:pPr>
              <w:spacing w:after="0" w:before="0"/>
            </w:pPr>
            <w:r/>
            <w:r>
              <w:rPr>
                <w:rFonts w:ascii="Arial" w:hAnsi="Arial"/>
                <w:b w:val="0"/>
                <w:sz w:val="15"/>
              </w:rPr>
              <w:t>CollateralTypeId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cat.CollateralTypeAttribute</w:t>
            </w:r>
          </w:p>
        </w:tc>
        <w:tc>
          <w:tcPr>
            <w:tcW w:type="dxa" w:w="6690"/>
          </w:tcPr>
          <w:p>
            <w:pPr>
              <w:spacing w:after="0" w:before="0"/>
            </w:pPr>
            <w:r/>
            <w:r>
              <w:rPr>
                <w:rFonts w:ascii="Arial" w:hAnsi="Arial"/>
                <w:b w:val="0"/>
                <w:sz w:val="15"/>
              </w:rPr>
              <w:t>Attribute in a collateral-type template; never deleted, only marked Retired (BR-CAT-009)</w:t>
            </w:r>
          </w:p>
        </w:tc>
        <w:tc>
          <w:tcPr>
            <w:tcW w:type="dxa" w:w="2948"/>
          </w:tcPr>
          <w:p>
            <w:pPr>
              <w:spacing w:after="0" w:before="0"/>
            </w:pPr>
            <w:r/>
            <w:r>
              <w:rPr>
                <w:rFonts w:ascii="Arial" w:hAnsi="Arial"/>
                <w:b w:val="0"/>
                <w:sz w:val="15"/>
              </w:rPr>
              <w:t>CollateralTypeAttributeId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cat.ObligationType</w:t>
            </w:r>
          </w:p>
        </w:tc>
        <w:tc>
          <w:tcPr>
            <w:tcW w:type="dxa" w:w="6690"/>
            <w:shd w:val="clear" w:color="auto" w:fill="E8EEF6"/>
          </w:tcPr>
          <w:p>
            <w:pPr>
              <w:spacing w:after="0" w:before="0"/>
            </w:pPr>
            <w:r/>
            <w:r>
              <w:rPr>
                <w:rFonts w:ascii="Arial" w:hAnsi="Arial"/>
                <w:b w:val="0"/>
                <w:sz w:val="15"/>
              </w:rPr>
              <w:t>Obligation type with four families (FR-CAT-014, BR-CAT-010)</w:t>
            </w:r>
          </w:p>
        </w:tc>
        <w:tc>
          <w:tcPr>
            <w:tcW w:type="dxa" w:w="2948"/>
            <w:shd w:val="clear" w:color="auto" w:fill="E8EEF6"/>
          </w:tcPr>
          <w:p>
            <w:pPr>
              <w:spacing w:after="0" w:before="0"/>
            </w:pPr>
            <w:r/>
            <w:r>
              <w:rPr>
                <w:rFonts w:ascii="Arial" w:hAnsi="Arial"/>
                <w:b w:val="0"/>
                <w:sz w:val="15"/>
              </w:rPr>
              <w:t>ObligationTypeId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cat.CollateralTypeAttribute</w:t>
            </w:r>
          </w:p>
        </w:tc>
        <w:tc>
          <w:tcPr>
            <w:tcW w:type="dxa" w:w="2948"/>
            <w:shd w:val="clear" w:color="auto" w:fill="E8EEF6"/>
          </w:tcPr>
          <w:p>
            <w:pPr>
              <w:spacing w:after="0" w:before="0"/>
            </w:pPr>
            <w:r/>
            <w:r>
              <w:rPr>
                <w:rFonts w:ascii="Arial" w:hAnsi="Arial"/>
                <w:b w:val="0"/>
                <w:sz w:val="15"/>
              </w:rPr>
              <w:t>CollateralTypeId</w:t>
            </w:r>
          </w:p>
        </w:tc>
        <w:tc>
          <w:tcPr>
            <w:tcW w:type="dxa" w:w="2721"/>
            <w:shd w:val="clear" w:color="auto" w:fill="E8EEF6"/>
          </w:tcPr>
          <w:p>
            <w:pPr>
              <w:spacing w:after="0" w:before="0"/>
            </w:pPr>
            <w:r/>
            <w:r>
              <w:rPr>
                <w:rFonts w:ascii="Arial" w:hAnsi="Arial"/>
                <w:b w:val="0"/>
                <w:sz w:val="15"/>
              </w:rPr>
              <w:t>cat.CollateralType</w:t>
            </w:r>
          </w:p>
        </w:tc>
        <w:tc>
          <w:tcPr>
            <w:tcW w:type="dxa" w:w="2948"/>
            <w:shd w:val="clear" w:color="auto" w:fill="E8EEF6"/>
          </w:tcPr>
          <w:p>
            <w:pPr>
              <w:spacing w:after="0" w:before="0"/>
            </w:pPr>
            <w:r/>
            <w:r>
              <w:rPr>
                <w:rFonts w:ascii="Arial" w:hAnsi="Arial"/>
                <w:b w:val="0"/>
                <w:sz w:val="15"/>
              </w:rPr>
              <w:t>CollateralTypeId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29" name="Picture 29"/>
            <wp:cNvGraphicFramePr>
              <a:graphicFrameLocks noChangeAspect="1"/>
            </wp:cNvGraphicFramePr>
            <a:graphic>
              <a:graphicData uri="http://schemas.openxmlformats.org/drawingml/2006/picture">
                <pic:pic>
                  <pic:nvPicPr>
                    <pic:cNvPr id="0" name="m4_reference.png"/>
                    <pic:cNvPicPr/>
                  </pic:nvPicPr>
                  <pic:blipFill>
                    <a:blip r:embed="rId39"/>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29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421267"/>
            <wp:docPr id="30" name="Picture 30"/>
            <wp:cNvGraphicFramePr>
              <a:graphicFrameLocks noChangeAspect="1"/>
            </wp:cNvGraphicFramePr>
            <a:graphic>
              <a:graphicData uri="http://schemas.openxmlformats.org/drawingml/2006/picture">
                <pic:pic>
                  <pic:nvPicPr>
                    <pic:cNvPr id="0" name="m4_rates_lookups.png"/>
                    <pic:cNvPicPr/>
                  </pic:nvPicPr>
                  <pic:blipFill>
                    <a:blip r:embed="rId40"/>
                    <a:stretch>
                      <a:fillRect/>
                    </a:stretch>
                  </pic:blipFill>
                  <pic:spPr>
                    <a:xfrm>
                      <a:off x="0" y="0"/>
                      <a:ext cx="9438640" cy="6421267"/>
                    </a:xfrm>
                    <a:prstGeom prst="rect"/>
                  </pic:spPr>
                </pic:pic>
              </a:graphicData>
            </a:graphic>
          </wp:inline>
        </w:drawing>
      </w:r>
    </w:p>
    <w:p>
      <w:pPr>
        <w:spacing w:after="120"/>
        <w:jc w:val="center"/>
      </w:pPr>
      <w:r>
        <w:rPr>
          <w:rFonts w:ascii="Arial" w:hAnsi="Arial"/>
          <w:b w:val="0"/>
          <w:i/>
          <w:color w:val="6B7280"/>
          <w:sz w:val="16"/>
        </w:rPr>
        <w:t>Figure 30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ScopeKey,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ScopeKey,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w:t>
            </w:r>
          </w:p>
        </w:tc>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BaseRateId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SupersedesId</w:t>
            </w:r>
          </w:p>
        </w:tc>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BaseRateValueId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w:t>
            </w:r>
          </w:p>
        </w:tc>
        <w:tc>
          <w:tcPr>
            <w:tcW w:type="dxa" w:w="2721"/>
          </w:tcPr>
          <w:p>
            <w:pPr>
              <w:spacing w:after="0" w:before="0"/>
            </w:pPr>
            <w:r/>
            <w:r>
              <w:rPr>
                <w:rFonts w:ascii="Arial" w:hAnsi="Arial"/>
                <w:b w:val="0"/>
                <w:sz w:val="15"/>
              </w:rPr>
              <w:t>cat.LookupList</w:t>
            </w:r>
          </w:p>
        </w:tc>
        <w:tc>
          <w:tcPr>
            <w:tcW w:type="dxa" w:w="2948"/>
          </w:tcPr>
          <w:p>
            <w:pPr>
              <w:spacing w:after="0" w:before="0"/>
            </w:pPr>
            <w:r/>
            <w:r>
              <w:rPr>
                <w:rFonts w:ascii="Arial" w:hAnsi="Arial"/>
                <w:b w:val="0"/>
                <w:sz w:val="15"/>
              </w:rPr>
              <w:t>LookupListId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411730" cy="5334915"/>
            <wp:docPr id="31" name="Picture 31"/>
            <wp:cNvGraphicFramePr>
              <a:graphicFrameLocks noChangeAspect="1"/>
            </wp:cNvGraphicFramePr>
            <a:graphic>
              <a:graphicData uri="http://schemas.openxmlformats.org/drawingml/2006/picture">
                <pic:pic>
                  <pic:nvPicPr>
                    <pic:cNvPr id="0" name="m4_global_ref.png"/>
                    <pic:cNvPicPr/>
                  </pic:nvPicPr>
                  <pic:blipFill>
                    <a:blip r:embed="rId41"/>
                    <a:stretch>
                      <a:fillRect/>
                    </a:stretch>
                  </pic:blipFill>
                  <pic:spPr>
                    <a:xfrm>
                      <a:off x="0" y="0"/>
                      <a:ext cx="2411730" cy="5334915"/>
                    </a:xfrm>
                    <a:prstGeom prst="rect"/>
                  </pic:spPr>
                </pic:pic>
              </a:graphicData>
            </a:graphic>
          </wp:inline>
        </w:drawing>
      </w:r>
    </w:p>
    <w:p>
      <w:pPr>
        <w:spacing w:after="120"/>
        <w:jc w:val="center"/>
      </w:pPr>
      <w:r>
        <w:rPr>
          <w:rFonts w:ascii="Arial" w:hAnsi="Arial"/>
          <w:b w:val="0"/>
          <w:i/>
          <w:color w:val="6B7280"/>
          <w:sz w:val="16"/>
        </w:rPr>
        <w:t>Figure 31  Global references (shared, read-only)  ·  5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ref.Industry</w:t>
            </w:r>
          </w:p>
        </w:tc>
        <w:tc>
          <w:tcPr>
            <w:tcW w:type="dxa" w:w="6690"/>
            <w:shd w:val="clear" w:color="auto" w:fill="E8EEF6"/>
          </w:tcPr>
          <w:p>
            <w:pPr>
              <w:spacing w:after="0" w:before="0"/>
            </w:pPr>
            <w:r/>
            <w:r>
              <w:rPr>
                <w:rFonts w:ascii="Arial" w:hAnsi="Arial"/>
                <w:b w:val="0"/>
                <w:sz w:val="15"/>
              </w:rPr>
              <w:t>An economic activity of the Saudi classification of economic activities (GASTAT, ISIC Rev.4): section and division; a company's main activity (docs/35 section 5)</w:t>
            </w:r>
          </w:p>
        </w:tc>
        <w:tc>
          <w:tcPr>
            <w:tcW w:type="dxa" w:w="2948"/>
            <w:shd w:val="clear" w:color="auto" w:fill="E8EEF6"/>
          </w:tcPr>
          <w:p>
            <w:pPr>
              <w:spacing w:after="0" w:before="0"/>
            </w:pPr>
            <w:r/>
            <w:r>
              <w:rPr>
                <w:rFonts w:ascii="Arial" w:hAnsi="Arial"/>
                <w:b w:val="0"/>
                <w:sz w:val="15"/>
              </w:rPr>
              <w:t>IndustryId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ref.UcpArticle</w:t>
            </w:r>
          </w:p>
        </w:tc>
        <w:tc>
          <w:tcPr>
            <w:tcW w:type="dxa" w:w="6690"/>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tcPr>
          <w:p>
            <w:pPr>
              <w:spacing w:after="0" w:before="0"/>
            </w:pPr>
            <w:r/>
            <w:r>
              <w:rPr>
                <w:rFonts w:ascii="Arial" w:hAnsi="Arial"/>
                <w:b w:val="0"/>
                <w:sz w:val="15"/>
              </w:rPr>
              <w:t>UcpArticleId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ParentId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7909469"/>
            <wp:docPr id="32" name="Picture 32"/>
            <wp:cNvGraphicFramePr>
              <a:graphicFrameLocks noChangeAspect="1"/>
            </wp:cNvGraphicFramePr>
            <a:graphic>
              <a:graphicData uri="http://schemas.openxmlformats.org/drawingml/2006/picture">
                <pic:pic>
                  <pic:nvPicPr>
                    <pic:cNvPr id="0" name="m5_facility_core_1.png"/>
                    <pic:cNvPicPr/>
                  </pic:nvPicPr>
                  <pic:blipFill>
                    <a:blip r:embed="rId42"/>
                    <a:stretch>
                      <a:fillRect/>
                    </a:stretch>
                  </pic:blipFill>
                  <pic:spPr>
                    <a:xfrm>
                      <a:off x="0" y="0"/>
                      <a:ext cx="10029190" cy="7909469"/>
                    </a:xfrm>
                    <a:prstGeom prst="rect"/>
                  </pic:spPr>
                </pic:pic>
              </a:graphicData>
            </a:graphic>
          </wp:inline>
        </w:drawing>
      </w:r>
    </w:p>
    <w:p>
      <w:pPr>
        <w:spacing w:after="120"/>
        <w:jc w:val="center"/>
      </w:pPr>
      <w:r>
        <w:rPr>
          <w:rFonts w:ascii="Arial" w:hAnsi="Arial"/>
          <w:b w:val="0"/>
          <w:i/>
          <w:color w:val="6B7280"/>
          <w:sz w:val="16"/>
        </w:rPr>
        <w:t>Figure 32  Facilities and revisions (part 1 of 2)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fac.FacilityLender</w:t>
            </w:r>
          </w:p>
        </w:tc>
        <w:tc>
          <w:tcPr>
            <w:tcW w:type="dxa" w:w="6690"/>
            <w:shd w:val="clear" w:color="auto" w:fill="E8EEF6"/>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shd w:val="clear" w:color="auto" w:fill="E8EEF6"/>
          </w:tcPr>
          <w:p>
            <w:pPr>
              <w:spacing w:after="0" w:before="0"/>
            </w:pPr>
            <w:r/>
            <w:r>
              <w:rPr>
                <w:rFonts w:ascii="Arial" w:hAnsi="Arial"/>
                <w:b w:val="0"/>
                <w:sz w:val="15"/>
              </w:rPr>
              <w:t>FacilityLenderId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RootId, 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 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RootId, FacilityLenderId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63590" cy="6150328"/>
            <wp:docPr id="33" name="Picture 33"/>
            <wp:cNvGraphicFramePr>
              <a:graphicFrameLocks noChangeAspect="1"/>
            </wp:cNvGraphicFramePr>
            <a:graphic>
              <a:graphicData uri="http://schemas.openxmlformats.org/drawingml/2006/picture">
                <pic:pic>
                  <pic:nvPicPr>
                    <pic:cNvPr id="0" name="m5_facility_core_2.png"/>
                    <pic:cNvPicPr/>
                  </pic:nvPicPr>
                  <pic:blipFill>
                    <a:blip r:embed="rId43"/>
                    <a:stretch>
                      <a:fillRect/>
                    </a:stretch>
                  </pic:blipFill>
                  <pic:spPr>
                    <a:xfrm>
                      <a:off x="0" y="0"/>
                      <a:ext cx="5863590" cy="6150328"/>
                    </a:xfrm>
                    <a:prstGeom prst="rect"/>
                  </pic:spPr>
                </pic:pic>
              </a:graphicData>
            </a:graphic>
          </wp:inline>
        </w:drawing>
      </w:r>
    </w:p>
    <w:p>
      <w:pPr>
        <w:spacing w:after="120"/>
        <w:jc w:val="center"/>
      </w:pPr>
      <w:r>
        <w:rPr>
          <w:rFonts w:ascii="Arial" w:hAnsi="Arial"/>
          <w:b w:val="0"/>
          <w:i/>
          <w:color w:val="6B7280"/>
          <w:sz w:val="16"/>
        </w:rPr>
        <w:t>Figure 33  Facilities and revisions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fac.OutstandingSnapshot</w:t>
            </w:r>
          </w:p>
        </w:tc>
        <w:tc>
          <w:tcPr>
            <w:tcW w:type="dxa" w:w="6690"/>
          </w:tcPr>
          <w:p>
            <w:pPr>
              <w:spacing w:after="0" w:before="0"/>
            </w:pPr>
            <w:r/>
            <w:r>
              <w:rPr>
                <w:rFonts w:ascii="Arial" w:hAnsi="Arial"/>
                <w:b w:val="0"/>
                <w:sz w:val="15"/>
              </w:rPr>
              <w:t>Snapshot of the recognised outstanding balance (FR-FAC-009, BR-FAC-017); PctOfLimit is derived and not stored</w:t>
            </w:r>
          </w:p>
        </w:tc>
        <w:tc>
          <w:tcPr>
            <w:tcW w:type="dxa" w:w="2948"/>
          </w:tcPr>
          <w:p>
            <w:pPr>
              <w:spacing w:after="0" w:before="0"/>
            </w:pPr>
            <w:r/>
            <w:r>
              <w:rPr>
                <w:rFonts w:ascii="Arial" w:hAnsi="Arial"/>
                <w:b w:val="0"/>
                <w:sz w:val="15"/>
              </w:rPr>
              <w:t>OutstandingSnapshotId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fac.FacilityLenderDecision</w:t>
            </w:r>
          </w:p>
        </w:tc>
        <w:tc>
          <w:tcPr>
            <w:tcW w:type="dxa" w:w="6690"/>
            <w:shd w:val="clear" w:color="auto" w:fill="E8EEF6"/>
          </w:tcPr>
          <w:p>
            <w:pPr>
              <w:spacing w:after="0" w:before="0"/>
            </w:pPr>
            <w:r/>
            <w:r>
              <w:rPr>
                <w:rFonts w:ascii="Arial" w:hAnsi="Arial"/>
                <w:b w:val="0"/>
                <w:sz w:val="15"/>
              </w:rPr>
              <w:t>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2948"/>
            <w:shd w:val="clear" w:color="auto" w:fill="E8EEF6"/>
          </w:tcPr>
          <w:p>
            <w:pPr>
              <w:spacing w:after="0" w:before="0"/>
            </w:pPr>
            <w:r/>
            <w:r>
              <w:rPr>
                <w:rFonts w:ascii="Arial" w:hAnsi="Arial"/>
                <w:b w:val="0"/>
                <w:sz w:val="15"/>
              </w:rPr>
              <w:t>FacilityLenderDecisionId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LenderInstitutionId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CandidateASourceDocumentId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CandidateBSourceDocumentId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ResolvedBy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4" name="Picture 34"/>
            <wp:cNvGraphicFramePr>
              <a:graphicFrameLocks noChangeAspect="1"/>
            </wp:cNvGraphicFramePr>
            <a:graphic>
              <a:graphicData uri="http://schemas.openxmlformats.org/drawingml/2006/picture">
                <pic:pic>
                  <pic:nvPicPr>
                    <pic:cNvPr id="0" name="m5_limits_1.png"/>
                    <pic:cNvPicPr/>
                  </pic:nvPicPr>
                  <pic:blipFill>
                    <a:blip r:embed="rId44"/>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34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RootId,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RootId,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RootId, 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RootId, 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338810" cy="7885236"/>
            <wp:docPr id="35" name="Picture 35"/>
            <wp:cNvGraphicFramePr>
              <a:graphicFrameLocks noChangeAspect="1"/>
            </wp:cNvGraphicFramePr>
            <a:graphic>
              <a:graphicData uri="http://schemas.openxmlformats.org/drawingml/2006/picture">
                <pic:pic>
                  <pic:nvPicPr>
                    <pic:cNvPr id="0" name="m5_limits_2.png"/>
                    <pic:cNvPicPr/>
                  </pic:nvPicPr>
                  <pic:blipFill>
                    <a:blip r:embed="rId45"/>
                    <a:stretch>
                      <a:fillRect/>
                    </a:stretch>
                  </pic:blipFill>
                  <pic:spPr>
                    <a:xfrm>
                      <a:off x="0" y="0"/>
                      <a:ext cx="13338810" cy="7885236"/>
                    </a:xfrm>
                    <a:prstGeom prst="rect"/>
                  </pic:spPr>
                </pic:pic>
              </a:graphicData>
            </a:graphic>
          </wp:inline>
        </w:drawing>
      </w:r>
    </w:p>
    <w:p>
      <w:pPr>
        <w:spacing w:after="120"/>
        <w:jc w:val="center"/>
      </w:pPr>
      <w:r>
        <w:rPr>
          <w:rFonts w:ascii="Arial" w:hAnsi="Arial"/>
          <w:b w:val="0"/>
          <w:i/>
          <w:color w:val="6B7280"/>
          <w:sz w:val="16"/>
        </w:rPr>
        <w:t>Figure 35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 SourceRequestId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TransferredToFacilityId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PreviousFacilityId, 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TransferredToFacilityId, TransferredToId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ConvertedUtilizationId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LimitReservationId</w:t>
            </w:r>
          </w:p>
        </w:tc>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LimitReservationId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6" name="Picture 36"/>
            <wp:cNvGraphicFramePr>
              <a:graphicFrameLocks noChangeAspect="1"/>
            </wp:cNvGraphicFramePr>
            <a:graphic>
              <a:graphicData uri="http://schemas.openxmlformats.org/drawingml/2006/picture">
                <pic:pic>
                  <pic:nvPicPr>
                    <pic:cNvPr id="0" name="m5_pricing_1.png"/>
                    <pic:cNvPicPr/>
                  </pic:nvPicPr>
                  <pic:blipFill>
                    <a:blip r:embed="rId46"/>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36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RootId, 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7" name="Picture 37"/>
            <wp:cNvGraphicFramePr>
              <a:graphicFrameLocks noChangeAspect="1"/>
            </wp:cNvGraphicFramePr>
            <a:graphic>
              <a:graphicData uri="http://schemas.openxmlformats.org/drawingml/2006/picture">
                <pic:pic>
                  <pic:nvPicPr>
                    <pic:cNvPr id="0" name="m5_pricing_2.png"/>
                    <pic:cNvPicPr/>
                  </pic:nvPicPr>
                  <pic:blipFill>
                    <a:blip r:embed="rId47"/>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37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38" name="Picture 38"/>
            <wp:cNvGraphicFramePr>
              <a:graphicFrameLocks noChangeAspect="1"/>
            </wp:cNvGraphicFramePr>
            <a:graphic>
              <a:graphicData uri="http://schemas.openxmlformats.org/drawingml/2006/picture">
                <pic:pic>
                  <pic:nvPicPr>
                    <pic:cNvPr id="0" name="m5_pricing_3.png"/>
                    <pic:cNvPicPr/>
                  </pic:nvPicPr>
                  <pic:blipFill>
                    <a:blip r:embed="rId48"/>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38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RootId, 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39" name="Picture 39"/>
            <wp:cNvGraphicFramePr>
              <a:graphicFrameLocks noChangeAspect="1"/>
            </wp:cNvGraphicFramePr>
            <a:graphic>
              <a:graphicData uri="http://schemas.openxmlformats.org/drawingml/2006/picture">
                <pic:pic>
                  <pic:nvPicPr>
                    <pic:cNvPr id="0" name="m5_pricing_4.png"/>
                    <pic:cNvPicPr/>
                  </pic:nvPicPr>
                  <pic:blipFill>
                    <a:blip r:embed="rId49"/>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39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0" name="Picture 40"/>
            <wp:cNvGraphicFramePr>
              <a:graphicFrameLocks noChangeAspect="1"/>
            </wp:cNvGraphicFramePr>
            <a:graphic>
              <a:graphicData uri="http://schemas.openxmlformats.org/drawingml/2006/picture">
                <pic:pic>
                  <pic:nvPicPr>
                    <pic:cNvPr id="0" name="m5_pricing_5.png"/>
                    <pic:cNvPicPr/>
                  </pic:nvPicPr>
                  <pic:blipFill>
                    <a:blip r:embed="rId50"/>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40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RootId, 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68840" cy="7070977"/>
            <wp:docPr id="41" name="Picture 41"/>
            <wp:cNvGraphicFramePr>
              <a:graphicFrameLocks noChangeAspect="1"/>
            </wp:cNvGraphicFramePr>
            <a:graphic>
              <a:graphicData uri="http://schemas.openxmlformats.org/drawingml/2006/picture">
                <pic:pic>
                  <pic:nvPicPr>
                    <pic:cNvPr id="0" name="m5_collateral_1.png"/>
                    <pic:cNvPicPr/>
                  </pic:nvPicPr>
                  <pic:blipFill>
                    <a:blip r:embed="rId51"/>
                    <a:stretch>
                      <a:fillRect/>
                    </a:stretch>
                  </pic:blipFill>
                  <pic:spPr>
                    <a:xfrm>
                      <a:off x="0" y="0"/>
                      <a:ext cx="9768840" cy="7070977"/>
                    </a:xfrm>
                    <a:prstGeom prst="rect"/>
                  </pic:spPr>
                </pic:pic>
              </a:graphicData>
            </a:graphic>
          </wp:inline>
        </w:drawing>
      </w:r>
    </w:p>
    <w:p>
      <w:pPr>
        <w:spacing w:after="120"/>
        <w:jc w:val="center"/>
      </w:pPr>
      <w:r>
        <w:rPr>
          <w:rFonts w:ascii="Arial" w:hAnsi="Arial"/>
          <w:b w:val="0"/>
          <w:i/>
          <w:color w:val="6B7280"/>
          <w:sz w:val="16"/>
        </w:rPr>
        <w:t>Figure 41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StructureKind, 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RootId, 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RootId, 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708140" cy="6329924"/>
            <wp:docPr id="42" name="Picture 42"/>
            <wp:cNvGraphicFramePr>
              <a:graphicFrameLocks noChangeAspect="1"/>
            </wp:cNvGraphicFramePr>
            <a:graphic>
              <a:graphicData uri="http://schemas.openxmlformats.org/drawingml/2006/picture">
                <pic:pic>
                  <pic:nvPicPr>
                    <pic:cNvPr id="0" name="m5_collateral_2.png"/>
                    <pic:cNvPicPr/>
                  </pic:nvPicPr>
                  <pic:blipFill>
                    <a:blip r:embed="rId52"/>
                    <a:stretch>
                      <a:fillRect/>
                    </a:stretch>
                  </pic:blipFill>
                  <pic:spPr>
                    <a:xfrm>
                      <a:off x="0" y="0"/>
                      <a:ext cx="6708140" cy="6329924"/>
                    </a:xfrm>
                    <a:prstGeom prst="rect"/>
                  </pic:spPr>
                </pic:pic>
              </a:graphicData>
            </a:graphic>
          </wp:inline>
        </w:drawing>
      </w:r>
    </w:p>
    <w:p>
      <w:pPr>
        <w:spacing w:after="120"/>
        <w:jc w:val="center"/>
      </w:pPr>
      <w:r>
        <w:rPr>
          <w:rFonts w:ascii="Arial" w:hAnsi="Arial"/>
          <w:b w:val="0"/>
          <w:i/>
          <w:color w:val="6B7280"/>
          <w:sz w:val="16"/>
        </w:rPr>
        <w:t>Figure 42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GuarantorPartyId, 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94240" cy="4685105"/>
            <wp:docPr id="43" name="Picture 43"/>
            <wp:cNvGraphicFramePr>
              <a:graphicFrameLocks noChangeAspect="1"/>
            </wp:cNvGraphicFramePr>
            <a:graphic>
              <a:graphicData uri="http://schemas.openxmlformats.org/drawingml/2006/picture">
                <pic:pic>
                  <pic:nvPicPr>
                    <pic:cNvPr id="0" name="m5_collateral_3.png"/>
                    <pic:cNvPicPr/>
                  </pic:nvPicPr>
                  <pic:blipFill>
                    <a:blip r:embed="rId53"/>
                    <a:stretch>
                      <a:fillRect/>
                    </a:stretch>
                  </pic:blipFill>
                  <pic:spPr>
                    <a:xfrm>
                      <a:off x="0" y="0"/>
                      <a:ext cx="9794240" cy="4685105"/>
                    </a:xfrm>
                    <a:prstGeom prst="rect"/>
                  </pic:spPr>
                </pic:pic>
              </a:graphicData>
            </a:graphic>
          </wp:inline>
        </w:drawing>
      </w:r>
    </w:p>
    <w:p>
      <w:pPr>
        <w:spacing w:after="120"/>
        <w:jc w:val="center"/>
      </w:pPr>
      <w:r>
        <w:rPr>
          <w:rFonts w:ascii="Arial" w:hAnsi="Arial"/>
          <w:b w:val="0"/>
          <w:i/>
          <w:color w:val="6B7280"/>
          <w:sz w:val="16"/>
        </w:rPr>
        <w:t>Figure 43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271760" cy="7852430"/>
            <wp:docPr id="44" name="Picture 44"/>
            <wp:cNvGraphicFramePr>
              <a:graphicFrameLocks noChangeAspect="1"/>
            </wp:cNvGraphicFramePr>
            <a:graphic>
              <a:graphicData uri="http://schemas.openxmlformats.org/drawingml/2006/picture">
                <pic:pic>
                  <pic:nvPicPr>
                    <pic:cNvPr id="0" name="m5_obligations_1.png"/>
                    <pic:cNvPicPr/>
                  </pic:nvPicPr>
                  <pic:blipFill>
                    <a:blip r:embed="rId54"/>
                    <a:stretch>
                      <a:fillRect/>
                    </a:stretch>
                  </pic:blipFill>
                  <pic:spPr>
                    <a:xfrm>
                      <a:off x="0" y="0"/>
                      <a:ext cx="10271760" cy="7852430"/>
                    </a:xfrm>
                    <a:prstGeom prst="rect"/>
                  </pic:spPr>
                </pic:pic>
              </a:graphicData>
            </a:graphic>
          </wp:inline>
        </w:drawing>
      </w:r>
    </w:p>
    <w:p>
      <w:pPr>
        <w:spacing w:after="120"/>
        <w:jc w:val="center"/>
      </w:pPr>
      <w:r>
        <w:rPr>
          <w:rFonts w:ascii="Arial" w:hAnsi="Arial"/>
          <w:b w:val="0"/>
          <w:i/>
          <w:color w:val="6B7280"/>
          <w:sz w:val="16"/>
        </w:rPr>
        <w:t>Figure 44  Obligations, covenants and reporting (part 1 of 4)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FormulaResultUnit, FormulaUsesStatements, 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ResultUnit, UsesStatements, 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RootId, 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RootId, 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FormulaId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437630" cy="7302076"/>
            <wp:docPr id="45" name="Picture 45"/>
            <wp:cNvGraphicFramePr>
              <a:graphicFrameLocks noChangeAspect="1"/>
            </wp:cNvGraphicFramePr>
            <a:graphic>
              <a:graphicData uri="http://schemas.openxmlformats.org/drawingml/2006/picture">
                <pic:pic>
                  <pic:nvPicPr>
                    <pic:cNvPr id="0" name="m5_obligations_2.png"/>
                    <pic:cNvPicPr/>
                  </pic:nvPicPr>
                  <pic:blipFill>
                    <a:blip r:embed="rId55"/>
                    <a:stretch>
                      <a:fillRect/>
                    </a:stretch>
                  </pic:blipFill>
                  <pic:spPr>
                    <a:xfrm>
                      <a:off x="0" y="0"/>
                      <a:ext cx="6437630" cy="7302076"/>
                    </a:xfrm>
                    <a:prstGeom prst="rect"/>
                  </pic:spPr>
                </pic:pic>
              </a:graphicData>
            </a:graphic>
          </wp:inline>
        </w:drawing>
      </w:r>
    </w:p>
    <w:p>
      <w:pPr>
        <w:spacing w:after="120"/>
        <w:jc w:val="center"/>
      </w:pPr>
      <w:r>
        <w:rPr>
          <w:rFonts w:ascii="Arial" w:hAnsi="Arial"/>
          <w:b w:val="0"/>
          <w:i/>
          <w:color w:val="6B7280"/>
          <w:sz w:val="16"/>
        </w:rPr>
        <w:t>Figure 45  Obligations, covenants and reporting (part 2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obl.CovenantTestStatement</w:t>
            </w:r>
          </w:p>
        </w:tc>
        <w:tc>
          <w:tcPr>
            <w:tcW w:type="dxa" w:w="6690"/>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2948"/>
          </w:tcPr>
          <w:p>
            <w:pPr>
              <w:spacing w:after="0" w:before="0"/>
            </w:pPr>
            <w:r/>
            <w:r>
              <w:rPr>
                <w:rFonts w:ascii="Arial" w:hAnsi="Arial"/>
                <w:b w:val="0"/>
                <w:sz w:val="15"/>
              </w:rPr>
              <w:t>TenantId, CovenantTestId, StatementId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w:t>
            </w:r>
          </w:p>
        </w:tc>
        <w:tc>
          <w:tcPr>
            <w:tcW w:type="dxa" w:w="6690"/>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shd w:val="clear" w:color="auto" w:fill="E8EEF6"/>
          </w:tcPr>
          <w:p>
            <w:pPr>
              <w:spacing w:after="0" w:before="0"/>
            </w:pPr>
            <w:r/>
            <w:r>
              <w:rPr>
                <w:rFonts w:ascii="Arial" w:hAnsi="Arial"/>
                <w:b w:val="0"/>
                <w:sz w:val="15"/>
              </w:rPr>
              <w:t>ObligationId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9</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obl.CovenantTestStatement</w:t>
            </w:r>
          </w:p>
        </w:tc>
        <w:tc>
          <w:tcPr>
            <w:tcW w:type="dxa" w:w="2948"/>
          </w:tcPr>
          <w:p>
            <w:pPr>
              <w:spacing w:after="0" w:before="0"/>
            </w:pPr>
            <w:r/>
            <w:r>
              <w:rPr>
                <w:rFonts w:ascii="Arial" w:hAnsi="Arial"/>
                <w:b w:val="0"/>
                <w:sz w:val="15"/>
              </w:rPr>
              <w:t>CovenantTestId</w:t>
            </w:r>
          </w:p>
        </w:tc>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CovenantTestId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obl.CovenantTestStatement</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Family, 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Family, 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ScopeLimitId,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RootId, 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125210" cy="7679368"/>
            <wp:docPr id="46" name="Picture 46"/>
            <wp:cNvGraphicFramePr>
              <a:graphicFrameLocks noChangeAspect="1"/>
            </wp:cNvGraphicFramePr>
            <a:graphic>
              <a:graphicData uri="http://schemas.openxmlformats.org/drawingml/2006/picture">
                <pic:pic>
                  <pic:nvPicPr>
                    <pic:cNvPr id="0" name="m5_obligations_3.png"/>
                    <pic:cNvPicPr/>
                  </pic:nvPicPr>
                  <pic:blipFill>
                    <a:blip r:embed="rId56"/>
                    <a:stretch>
                      <a:fillRect/>
                    </a:stretch>
                  </pic:blipFill>
                  <pic:spPr>
                    <a:xfrm>
                      <a:off x="0" y="0"/>
                      <a:ext cx="6125210" cy="7679368"/>
                    </a:xfrm>
                    <a:prstGeom prst="rect"/>
                  </pic:spPr>
                </pic:pic>
              </a:graphicData>
            </a:graphic>
          </wp:inline>
        </w:drawing>
      </w:r>
    </w:p>
    <w:p>
      <w:pPr>
        <w:spacing w:after="120"/>
        <w:jc w:val="center"/>
      </w:pPr>
      <w:r>
        <w:rPr>
          <w:rFonts w:ascii="Arial" w:hAnsi="Arial"/>
          <w:b w:val="0"/>
          <w:i/>
          <w:color w:val="6B7280"/>
          <w:sz w:val="16"/>
        </w:rPr>
        <w:t>Figure 46  Obligations, covenants and reporting (part 3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ObligationRootId,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RootId,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CovenantRootId, TestPeriodEnd, 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PeriodEnd, 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091420" cy="4214456"/>
            <wp:docPr id="47" name="Picture 47"/>
            <wp:cNvGraphicFramePr>
              <a:graphicFrameLocks noChangeAspect="1"/>
            </wp:cNvGraphicFramePr>
            <a:graphic>
              <a:graphicData uri="http://schemas.openxmlformats.org/drawingml/2006/picture">
                <pic:pic>
                  <pic:nvPicPr>
                    <pic:cNvPr id="0" name="m5_obligations_4.png"/>
                    <pic:cNvPicPr/>
                  </pic:nvPicPr>
                  <pic:blipFill>
                    <a:blip r:embed="rId57"/>
                    <a:stretch>
                      <a:fillRect/>
                    </a:stretch>
                  </pic:blipFill>
                  <pic:spPr>
                    <a:xfrm>
                      <a:off x="0" y="0"/>
                      <a:ext cx="10091420" cy="4214456"/>
                    </a:xfrm>
                    <a:prstGeom prst="rect"/>
                  </pic:spPr>
                </pic:pic>
              </a:graphicData>
            </a:graphic>
          </wp:inline>
        </w:drawing>
      </w:r>
    </w:p>
    <w:p>
      <w:pPr>
        <w:spacing w:after="120"/>
        <w:jc w:val="center"/>
      </w:pPr>
      <w:r>
        <w:rPr>
          <w:rFonts w:ascii="Arial" w:hAnsi="Arial"/>
          <w:b w:val="0"/>
          <w:i/>
          <w:color w:val="6B7280"/>
          <w:sz w:val="16"/>
        </w:rPr>
        <w:t>Figure 47  Obligations, covenants and reporting (part 4 of 4)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ReportingObligationRootId, ReportingObligationId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SubmissionChannelUsedId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SubmissionChannelId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2114763"/>
            <wp:docPr id="48" name="Picture 48"/>
            <wp:cNvGraphicFramePr>
              <a:graphicFrameLocks noChangeAspect="1"/>
            </wp:cNvGraphicFramePr>
            <a:graphic>
              <a:graphicData uri="http://schemas.openxmlformats.org/drawingml/2006/picture">
                <pic:pic>
                  <pic:nvPicPr>
                    <pic:cNvPr id="0" name="m5_financials_1.png"/>
                    <pic:cNvPicPr/>
                  </pic:nvPicPr>
                  <pic:blipFill>
                    <a:blip r:embed="rId58"/>
                    <a:stretch>
                      <a:fillRect/>
                    </a:stretch>
                  </pic:blipFill>
                  <pic:spPr>
                    <a:xfrm>
                      <a:off x="0" y="0"/>
                      <a:ext cx="5908040" cy="2114763"/>
                    </a:xfrm>
                    <a:prstGeom prst="rect"/>
                  </pic:spPr>
                </pic:pic>
              </a:graphicData>
            </a:graphic>
          </wp:inline>
        </w:drawing>
      </w:r>
    </w:p>
    <w:p>
      <w:pPr>
        <w:spacing w:after="120"/>
        <w:jc w:val="center"/>
      </w:pPr>
      <w:r>
        <w:rPr>
          <w:rFonts w:ascii="Arial" w:hAnsi="Arial"/>
          <w:b w:val="0"/>
          <w:i/>
          <w:color w:val="6B7280"/>
          <w:sz w:val="16"/>
        </w:rPr>
        <w:t>Figure 48  Financial statements and balances (part 1 of 18)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54420" cy="7691987"/>
            <wp:docPr id="49" name="Picture 49"/>
            <wp:cNvGraphicFramePr>
              <a:graphicFrameLocks noChangeAspect="1"/>
            </wp:cNvGraphicFramePr>
            <a:graphic>
              <a:graphicData uri="http://schemas.openxmlformats.org/drawingml/2006/picture">
                <pic:pic>
                  <pic:nvPicPr>
                    <pic:cNvPr id="0" name="m5_financials_2.png"/>
                    <pic:cNvPicPr/>
                  </pic:nvPicPr>
                  <pic:blipFill>
                    <a:blip r:embed="rId59"/>
                    <a:stretch>
                      <a:fillRect/>
                    </a:stretch>
                  </pic:blipFill>
                  <pic:spPr>
                    <a:xfrm>
                      <a:off x="0" y="0"/>
                      <a:ext cx="6154420" cy="7691987"/>
                    </a:xfrm>
                    <a:prstGeom prst="rect"/>
                  </pic:spPr>
                </pic:pic>
              </a:graphicData>
            </a:graphic>
          </wp:inline>
        </w:drawing>
      </w:r>
    </w:p>
    <w:p>
      <w:pPr>
        <w:spacing w:after="120"/>
        <w:jc w:val="center"/>
      </w:pPr>
      <w:r>
        <w:rPr>
          <w:rFonts w:ascii="Arial" w:hAnsi="Arial"/>
          <w:b w:val="0"/>
          <w:i/>
          <w:color w:val="6B7280"/>
          <w:sz w:val="16"/>
        </w:rPr>
        <w:t>Figure 49  Financial statements and balances (part 2 of 18)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fin.BankFlowEntry</w:t>
            </w:r>
          </w:p>
        </w:tc>
        <w:tc>
          <w:tcPr>
            <w:tcW w:type="dxa" w:w="6690"/>
          </w:tcPr>
          <w:p>
            <w:pPr>
              <w:spacing w:after="0" w:before="0"/>
            </w:pPr>
            <w:r/>
            <w:r>
              <w:rPr>
                <w:rFonts w:ascii="Arial" w:hAnsi="Arial"/>
                <w:b w:val="0"/>
                <w:sz w:val="15"/>
              </w:rPr>
              <w:t>Amount transferred to the bank in a month; annual totals are computed automatically (FR-FIN-009/010, BR-FIN-007/008)</w:t>
            </w:r>
          </w:p>
        </w:tc>
        <w:tc>
          <w:tcPr>
            <w:tcW w:type="dxa" w:w="2948"/>
          </w:tcPr>
          <w:p>
            <w:pPr>
              <w:spacing w:after="0" w:before="0"/>
            </w:pPr>
            <w:r/>
            <w:r>
              <w:rPr>
                <w:rFonts w:ascii="Arial" w:hAnsi="Arial"/>
                <w:b w:val="0"/>
                <w:sz w:val="15"/>
              </w:rPr>
              <w:t>BankFlowEntryId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FlowKindListCode, FlowKindListId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Code, 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FlowKindListId, FlowKindId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 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ConfirmedBy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786880" cy="3532669"/>
            <wp:docPr id="50" name="Picture 50"/>
            <wp:cNvGraphicFramePr>
              <a:graphicFrameLocks noChangeAspect="1"/>
            </wp:cNvGraphicFramePr>
            <a:graphic>
              <a:graphicData uri="http://schemas.openxmlformats.org/drawingml/2006/picture">
                <pic:pic>
                  <pic:nvPicPr>
                    <pic:cNvPr id="0" name="m5_financials_3.png"/>
                    <pic:cNvPicPr/>
                  </pic:nvPicPr>
                  <pic:blipFill>
                    <a:blip r:embed="rId60"/>
                    <a:stretch>
                      <a:fillRect/>
                    </a:stretch>
                  </pic:blipFill>
                  <pic:spPr>
                    <a:xfrm>
                      <a:off x="0" y="0"/>
                      <a:ext cx="6786880" cy="3532669"/>
                    </a:xfrm>
                    <a:prstGeom prst="rect"/>
                  </pic:spPr>
                </pic:pic>
              </a:graphicData>
            </a:graphic>
          </wp:inline>
        </w:drawing>
      </w:r>
    </w:p>
    <w:p>
      <w:pPr>
        <w:spacing w:after="120"/>
        <w:jc w:val="center"/>
      </w:pPr>
      <w:r>
        <w:rPr>
          <w:rFonts w:ascii="Arial" w:hAnsi="Arial"/>
          <w:b w:val="0"/>
          <w:i/>
          <w:color w:val="6B7280"/>
          <w:sz w:val="16"/>
        </w:rPr>
        <w:t>Figure 50  Financial statements and balances (part 3 of 18)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fin.CompanyProductLine</w:t>
            </w:r>
          </w:p>
        </w:tc>
        <w:tc>
          <w:tcPr>
            <w:tcW w:type="dxa" w:w="6690"/>
          </w:tcPr>
          <w:p>
            <w:pPr>
              <w:spacing w:after="0" w:before="0"/>
            </w:pPr>
            <w:r/>
            <w:r>
              <w:rPr>
                <w:rFonts w:ascii="Arial" w:hAnsi="Arial"/>
                <w:b w:val="0"/>
                <w:sz w:val="15"/>
              </w:rPr>
              <w:t>A product or service line of a company for a fiscal year: its category, share of revenue and of inventory, and its sales channels; read by the credit assessment for the quality of cash flows and the liquidity of the inventory (docs/35 section 5)</w:t>
            </w:r>
          </w:p>
        </w:tc>
        <w:tc>
          <w:tcPr>
            <w:tcW w:type="dxa" w:w="2948"/>
          </w:tcPr>
          <w:p>
            <w:pPr>
              <w:spacing w:after="0" w:before="0"/>
            </w:pPr>
            <w:r/>
            <w:r>
              <w:rPr>
                <w:rFonts w:ascii="Arial" w:hAnsi="Arial"/>
                <w:b w:val="0"/>
                <w:sz w:val="15"/>
              </w:rPr>
              <w:t>CompanyProductLineId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fin.ConsolidationMember</w:t>
            </w:r>
          </w:p>
        </w:tc>
        <w:tc>
          <w:tcPr>
            <w:tcW w:type="dxa" w:w="6690"/>
            <w:shd w:val="clear" w:color="auto" w:fill="E8EEF6"/>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2948"/>
            <w:shd w:val="clear" w:color="auto" w:fill="E8EEF6"/>
          </w:tcPr>
          <w:p>
            <w:pPr>
              <w:spacing w:after="0" w:before="0"/>
            </w:pPr>
            <w:r/>
            <w:r>
              <w:rPr>
                <w:rFonts w:ascii="Arial" w:hAnsi="Arial"/>
                <w:b w:val="0"/>
                <w:sz w:val="15"/>
              </w:rPr>
              <w:t>ConsolidationMemberId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fin.CompanyProductLine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fin.CompanyProductLine</w:t>
            </w:r>
          </w:p>
        </w:tc>
        <w:tc>
          <w:tcPr>
            <w:tcW w:type="dxa" w:w="2948"/>
            <w:shd w:val="clear" w:color="auto" w:fill="E8EEF6"/>
          </w:tcPr>
          <w:p>
            <w:pPr>
              <w:spacing w:after="0" w:before="0"/>
            </w:pPr>
            <w:r/>
            <w:r>
              <w:rPr>
                <w:rFonts w:ascii="Arial" w:hAnsi="Arial"/>
                <w:b w:val="0"/>
                <w:sz w:val="15"/>
              </w:rPr>
              <w:t>ProductCategoryId</w:t>
            </w:r>
          </w:p>
        </w:tc>
        <w:tc>
          <w:tcPr>
            <w:tcW w:type="dxa" w:w="2721"/>
            <w:shd w:val="clear" w:color="auto" w:fill="E8EEF6"/>
          </w:tcPr>
          <w:p>
            <w:pPr>
              <w:spacing w:after="0" w:before="0"/>
            </w:pPr>
            <w:r/>
            <w:r>
              <w:rPr>
                <w:rFonts w:ascii="Arial" w:hAnsi="Arial"/>
                <w:b w:val="0"/>
                <w:sz w:val="15"/>
              </w:rPr>
              <w:t>fin.ProductCategory</w:t>
            </w:r>
          </w:p>
        </w:tc>
        <w:tc>
          <w:tcPr>
            <w:tcW w:type="dxa" w:w="2948"/>
            <w:shd w:val="clear" w:color="auto" w:fill="E8EEF6"/>
          </w:tcPr>
          <w:p>
            <w:pPr>
              <w:spacing w:after="0" w:before="0"/>
            </w:pPr>
            <w:r/>
            <w:r>
              <w:rPr>
                <w:rFonts w:ascii="Arial" w:hAnsi="Arial"/>
                <w:b w:val="0"/>
                <w:sz w:val="15"/>
              </w:rPr>
              <w:t>ProductCategoryId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StatementBasis, 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Basis, 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fin.ConsolidationMember</w:t>
            </w:r>
          </w:p>
        </w:tc>
        <w:tc>
          <w:tcPr>
            <w:tcW w:type="dxa" w:w="2948"/>
            <w:shd w:val="clear" w:color="auto" w:fill="E8EEF6"/>
          </w:tcPr>
          <w:p>
            <w:pPr>
              <w:spacing w:after="0" w:before="0"/>
            </w:pPr>
            <w:r/>
            <w:r>
              <w:rPr>
                <w:rFonts w:ascii="Arial" w:hAnsi="Arial"/>
                <w:b w:val="0"/>
                <w:sz w:val="15"/>
              </w:rPr>
              <w:t>MemberCompanyId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MemberCompanyId, MemberStatementId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4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781408"/>
            <wp:docPr id="51" name="Picture 51"/>
            <wp:cNvGraphicFramePr>
              <a:graphicFrameLocks noChangeAspect="1"/>
            </wp:cNvGraphicFramePr>
            <a:graphic>
              <a:graphicData uri="http://schemas.openxmlformats.org/drawingml/2006/picture">
                <pic:pic>
                  <pic:nvPicPr>
                    <pic:cNvPr id="0" name="m5_financials_4.png"/>
                    <pic:cNvPicPr/>
                  </pic:nvPicPr>
                  <pic:blipFill>
                    <a:blip r:embed="rId61"/>
                    <a:stretch>
                      <a:fillRect/>
                    </a:stretch>
                  </pic:blipFill>
                  <pic:spPr>
                    <a:xfrm>
                      <a:off x="0" y="0"/>
                      <a:ext cx="6015990" cy="2781408"/>
                    </a:xfrm>
                    <a:prstGeom prst="rect"/>
                  </pic:spPr>
                </pic:pic>
              </a:graphicData>
            </a:graphic>
          </wp:inline>
        </w:drawing>
      </w:r>
    </w:p>
    <w:p>
      <w:pPr>
        <w:spacing w:after="120"/>
        <w:jc w:val="center"/>
      </w:pPr>
      <w:r>
        <w:rPr>
          <w:rFonts w:ascii="Arial" w:hAnsi="Arial"/>
          <w:b w:val="0"/>
          <w:i/>
          <w:color w:val="6B7280"/>
          <w:sz w:val="16"/>
        </w:rPr>
        <w:t>Figure 51  Financial statements and balances (part 4 of 18)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fin.CountryRegion</w:t>
            </w:r>
          </w:p>
        </w:tc>
        <w:tc>
          <w:tcPr>
            <w:tcW w:type="dxa" w:w="6690"/>
          </w:tcPr>
          <w:p>
            <w:pPr>
              <w:spacing w:after="0" w:before="0"/>
            </w:pPr>
            <w:r/>
            <w:r>
              <w:rPr>
                <w:rFonts w:ascii="Arial" w:hAnsi="Arial"/>
                <w:b w:val="0"/>
                <w:sz w:val="15"/>
              </w:rPr>
              <w:t>A city or region of a country and how much more or less its property falls, and how exposed it is to conflict, than its country (docs/35 section 14)</w:t>
            </w:r>
          </w:p>
        </w:tc>
        <w:tc>
          <w:tcPr>
            <w:tcW w:type="dxa" w:w="2948"/>
          </w:tcPr>
          <w:p>
            <w:pPr>
              <w:spacing w:after="0" w:before="0"/>
            </w:pPr>
            <w:r/>
            <w:r>
              <w:rPr>
                <w:rFonts w:ascii="Arial" w:hAnsi="Arial"/>
                <w:b w:val="0"/>
                <w:sz w:val="15"/>
              </w:rPr>
              <w:t>CountryRegionId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fin.CountryRiskProfile</w:t>
            </w:r>
          </w:p>
        </w:tc>
        <w:tc>
          <w:tcPr>
            <w:tcW w:type="dxa" w:w="6690"/>
            <w:shd w:val="clear" w:color="auto" w:fill="E8EEF6"/>
          </w:tcPr>
          <w:p>
            <w:pPr>
              <w:spacing w:after="0" w:before="0"/>
            </w:pPr>
            <w:r/>
            <w:r>
              <w:rPr>
                <w:rFonts w:ascii="Arial" w:hAnsi="Arial"/>
                <w:b w:val="0"/>
                <w:sz w:val="15"/>
              </w:rPr>
              <w:t>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948"/>
            <w:shd w:val="clear" w:color="auto" w:fill="E8EEF6"/>
          </w:tcPr>
          <w:p>
            <w:pPr>
              <w:spacing w:after="0" w:before="0"/>
            </w:pPr>
            <w:r/>
            <w:r>
              <w:rPr>
                <w:rFonts w:ascii="Arial" w:hAnsi="Arial"/>
                <w:b w:val="0"/>
                <w:sz w:val="15"/>
              </w:rPr>
              <w:t>CountryRiskProfileId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fin.CountryRegion</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fin.CountryRiskProfile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fin.CountryRiskProfile</w:t>
            </w:r>
          </w:p>
        </w:tc>
        <w:tc>
          <w:tcPr>
            <w:tcW w:type="dxa" w:w="2948"/>
          </w:tcPr>
          <w:p>
            <w:pPr>
              <w:spacing w:after="0" w:before="0"/>
            </w:pPr>
            <w:r/>
            <w:r>
              <w:rPr>
                <w:rFonts w:ascii="Arial" w:hAnsi="Arial"/>
                <w:b w:val="0"/>
                <w:sz w:val="15"/>
              </w:rPr>
              <w:t>SovereignRatingGradeId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fin.CountryRiskProfile</w:t>
            </w:r>
          </w:p>
        </w:tc>
        <w:tc>
          <w:tcPr>
            <w:tcW w:type="dxa" w:w="2948"/>
            <w:shd w:val="clear" w:color="auto" w:fill="E8EEF6"/>
          </w:tcPr>
          <w:p>
            <w:pPr>
              <w:spacing w:after="0" w:before="0"/>
            </w:pPr>
            <w:r/>
            <w:r>
              <w:rPr>
                <w:rFonts w:ascii="Arial" w:hAnsi="Arial"/>
                <w:b w:val="0"/>
                <w:sz w:val="15"/>
              </w:rPr>
              <w:t>CeilingGradeId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5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24270" cy="7292119"/>
            <wp:docPr id="52" name="Picture 52"/>
            <wp:cNvGraphicFramePr>
              <a:graphicFrameLocks noChangeAspect="1"/>
            </wp:cNvGraphicFramePr>
            <a:graphic>
              <a:graphicData uri="http://schemas.openxmlformats.org/drawingml/2006/picture">
                <pic:pic>
                  <pic:nvPicPr>
                    <pic:cNvPr id="0" name="m5_financials_5.png"/>
                    <pic:cNvPicPr/>
                  </pic:nvPicPr>
                  <pic:blipFill>
                    <a:blip r:embed="rId62"/>
                    <a:stretch>
                      <a:fillRect/>
                    </a:stretch>
                  </pic:blipFill>
                  <pic:spPr>
                    <a:xfrm>
                      <a:off x="0" y="0"/>
                      <a:ext cx="6224270" cy="7292119"/>
                    </a:xfrm>
                    <a:prstGeom prst="rect"/>
                  </pic:spPr>
                </pic:pic>
              </a:graphicData>
            </a:graphic>
          </wp:inline>
        </w:drawing>
      </w:r>
    </w:p>
    <w:p>
      <w:pPr>
        <w:spacing w:after="120"/>
        <w:jc w:val="center"/>
      </w:pPr>
      <w:r>
        <w:rPr>
          <w:rFonts w:ascii="Arial" w:hAnsi="Arial"/>
          <w:b w:val="0"/>
          <w:i/>
          <w:color w:val="6B7280"/>
          <w:sz w:val="16"/>
        </w:rPr>
        <w:t>Figure 52  Financial statements and balances (part 5 of 18)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w:t>
            </w:r>
          </w:p>
        </w:tc>
        <w:tc>
          <w:tcPr>
            <w:tcW w:type="dxa" w:w="6690"/>
          </w:tcPr>
          <w:p>
            <w:pPr>
              <w:spacing w:after="0" w:before="0"/>
            </w:pPr>
            <w:r/>
            <w:r>
              <w:rPr>
                <w:rFonts w:ascii="Arial" w:hAnsi="Arial"/>
                <w:b w:val="0"/>
                <w:sz w:val="15"/>
              </w:rPr>
              <w:t>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948"/>
          </w:tcPr>
          <w:p>
            <w:pPr>
              <w:spacing w:after="0" w:before="0"/>
            </w:pPr>
            <w:r/>
            <w:r>
              <w:rPr>
                <w:rFonts w:ascii="Arial" w:hAnsi="Arial"/>
                <w:b w:val="0"/>
                <w:sz w:val="15"/>
              </w:rPr>
              <w:t>CreditAssessmentId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CompanyId, 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CompanyId, 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 PriorStatementId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 UsedPriorStatementId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FinancialGradeId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IndicatedGradeId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CapGradeId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StandaloneGradeId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FinalGradeId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FacilityGradeId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PreparedBy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EndorsedBy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MarketCountryId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AnchorGradeId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CountryCeilingGradeId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6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83020" cy="2115207"/>
            <wp:docPr id="53" name="Picture 53"/>
            <wp:cNvGraphicFramePr>
              <a:graphicFrameLocks noChangeAspect="1"/>
            </wp:cNvGraphicFramePr>
            <a:graphic>
              <a:graphicData uri="http://schemas.openxmlformats.org/drawingml/2006/picture">
                <pic:pic>
                  <pic:nvPicPr>
                    <pic:cNvPr id="0" name="m5_financials_6.png"/>
                    <pic:cNvPicPr/>
                  </pic:nvPicPr>
                  <pic:blipFill>
                    <a:blip r:embed="rId63"/>
                    <a:stretch>
                      <a:fillRect/>
                    </a:stretch>
                  </pic:blipFill>
                  <pic:spPr>
                    <a:xfrm>
                      <a:off x="0" y="0"/>
                      <a:ext cx="6383020" cy="2115207"/>
                    </a:xfrm>
                    <a:prstGeom prst="rect"/>
                  </pic:spPr>
                </pic:pic>
              </a:graphicData>
            </a:graphic>
          </wp:inline>
        </w:drawing>
      </w:r>
    </w:p>
    <w:p>
      <w:pPr>
        <w:spacing w:after="120"/>
        <w:jc w:val="center"/>
      </w:pPr>
      <w:r>
        <w:rPr>
          <w:rFonts w:ascii="Arial" w:hAnsi="Arial"/>
          <w:b w:val="0"/>
          <w:i/>
          <w:color w:val="6B7280"/>
          <w:sz w:val="16"/>
        </w:rPr>
        <w:t>Figure 53  Financial statements and balances (part 6 of 18)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fin.CreditAssessmentBureau</w:t>
            </w:r>
          </w:p>
        </w:tc>
        <w:tc>
          <w:tcPr>
            <w:tcW w:type="dxa" w:w="6690"/>
          </w:tcPr>
          <w:p>
            <w:pPr>
              <w:spacing w:after="0" w:before="0"/>
            </w:pPr>
            <w:r/>
            <w:r>
              <w:rPr>
                <w:rFonts w:ascii="Arial" w:hAnsi="Arial"/>
                <w:b w:val="0"/>
                <w:sz w:val="15"/>
              </w:rPr>
              <w:t>The company's SIMAH commercial credit report the analyst read: exposure at all lenders, payment behaviour, defaults, bounced cheques, judgments (docs/35 section 10); changes only while the assessment is a draft</w:t>
            </w:r>
          </w:p>
        </w:tc>
        <w:tc>
          <w:tcPr>
            <w:tcW w:type="dxa" w:w="2948"/>
          </w:tcPr>
          <w:p>
            <w:pPr>
              <w:spacing w:after="0" w:before="0"/>
            </w:pPr>
            <w:r/>
            <w:r>
              <w:rPr>
                <w:rFonts w:ascii="Arial" w:hAnsi="Arial"/>
                <w:b w:val="0"/>
                <w:sz w:val="15"/>
              </w:rPr>
              <w:t>CreditAssessmentBureauId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fin.CreditAssessmentBureau</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fin.CreditAssessmentBureau</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7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568440" cy="6651585"/>
            <wp:docPr id="54" name="Picture 54"/>
            <wp:cNvGraphicFramePr>
              <a:graphicFrameLocks noChangeAspect="1"/>
            </wp:cNvGraphicFramePr>
            <a:graphic>
              <a:graphicData uri="http://schemas.openxmlformats.org/drawingml/2006/picture">
                <pic:pic>
                  <pic:nvPicPr>
                    <pic:cNvPr id="0" name="m5_financials_7.png"/>
                    <pic:cNvPicPr/>
                  </pic:nvPicPr>
                  <pic:blipFill>
                    <a:blip r:embed="rId64"/>
                    <a:stretch>
                      <a:fillRect/>
                    </a:stretch>
                  </pic:blipFill>
                  <pic:spPr>
                    <a:xfrm>
                      <a:off x="0" y="0"/>
                      <a:ext cx="6568440" cy="6651585"/>
                    </a:xfrm>
                    <a:prstGeom prst="rect"/>
                  </pic:spPr>
                </pic:pic>
              </a:graphicData>
            </a:graphic>
          </wp:inline>
        </w:drawing>
      </w:r>
    </w:p>
    <w:p>
      <w:pPr>
        <w:spacing w:after="120"/>
        <w:jc w:val="center"/>
      </w:pPr>
      <w:r>
        <w:rPr>
          <w:rFonts w:ascii="Arial" w:hAnsi="Arial"/>
          <w:b w:val="0"/>
          <w:i/>
          <w:color w:val="6B7280"/>
          <w:sz w:val="16"/>
        </w:rPr>
        <w:t>Figure 54  Financial statements and balances (part 7 of 18)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fin.CreditAssessmentFacility</w:t>
            </w:r>
          </w:p>
        </w:tc>
        <w:tc>
          <w:tcPr>
            <w:tcW w:type="dxa" w:w="6690"/>
          </w:tcPr>
          <w:p>
            <w:pPr>
              <w:spacing w:after="0" w:before="0"/>
            </w:pPr>
            <w:r/>
            <w:r>
              <w:rPr>
                <w:rFonts w:ascii="Arial" w:hAnsi="Arial"/>
                <w:b w:val="0"/>
                <w:sz w:val="15"/>
              </w:rPr>
              <w:t>A facility of the company read from the platform on the assessment date: its limit, outstanding, lender, commitment, expiry and collateral cover, in the statement currency; written by fin.usp_ComputeCreditAssessment only (docs/35 section 10)</w:t>
            </w:r>
          </w:p>
        </w:tc>
        <w:tc>
          <w:tcPr>
            <w:tcW w:type="dxa" w:w="2948"/>
          </w:tcPr>
          <w:p>
            <w:pPr>
              <w:spacing w:after="0" w:before="0"/>
            </w:pPr>
            <w:r/>
            <w:r>
              <w:rPr>
                <w:rFonts w:ascii="Arial" w:hAnsi="Arial"/>
                <w:b w:val="0"/>
                <w:sz w:val="15"/>
              </w:rPr>
              <w:t>CreditAssessmentFacilityId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fin.CreditAssessmentFactor</w:t>
            </w:r>
          </w:p>
        </w:tc>
        <w:tc>
          <w:tcPr>
            <w:tcW w:type="dxa" w:w="6690"/>
            <w:shd w:val="clear" w:color="auto" w:fill="E8EEF6"/>
          </w:tcPr>
          <w:p>
            <w:pPr>
              <w:spacing w:after="0" w:before="0"/>
            </w:pPr>
            <w:r/>
            <w:r>
              <w:rPr>
                <w:rFonts w:ascii="Arial" w:hAnsi="Arial"/>
                <w:b w:val="0"/>
                <w:sz w:val="15"/>
              </w:rPr>
              <w:t>A scorecard metric of an assessment: its value, its score on the linear continuum, its grade, weight and contribution; written by fin.usp_ComputeCreditAssessment only (BR-FIN-018, BR-FIN-019)</w:t>
            </w:r>
          </w:p>
        </w:tc>
        <w:tc>
          <w:tcPr>
            <w:tcW w:type="dxa" w:w="2948"/>
            <w:shd w:val="clear" w:color="auto" w:fill="E8EEF6"/>
          </w:tcPr>
          <w:p>
            <w:pPr>
              <w:spacing w:after="0" w:before="0"/>
            </w:pPr>
            <w:r/>
            <w:r>
              <w:rPr>
                <w:rFonts w:ascii="Arial" w:hAnsi="Arial"/>
                <w:b w:val="0"/>
                <w:sz w:val="15"/>
              </w:rPr>
              <w:t>CreditAssessmentFactorId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fin.CreditAssessmentFacility</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LenderInstitutionId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fin.CreditAssessmentFacility</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LenderDecisionId</w:t>
            </w:r>
          </w:p>
        </w:tc>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FacilityLenderDecisionId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fin.CreditAssessmentFactor</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fin.CreditAssessmentFactor</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fin.CreditAssessmentFactor</w:t>
            </w:r>
          </w:p>
        </w:tc>
        <w:tc>
          <w:tcPr>
            <w:tcW w:type="dxa" w:w="2948"/>
            <w:shd w:val="clear" w:color="auto" w:fill="E8EEF6"/>
          </w:tcPr>
          <w:p>
            <w:pPr>
              <w:spacing w:after="0" w:before="0"/>
            </w:pPr>
            <w:r/>
            <w:r>
              <w:rPr>
                <w:rFonts w:ascii="Arial" w:hAnsi="Arial"/>
                <w:b w:val="0"/>
                <w:sz w:val="15"/>
              </w:rPr>
              <w:t>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8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512559" cy="3590843"/>
            <wp:docPr id="55" name="Picture 55"/>
            <wp:cNvGraphicFramePr>
              <a:graphicFrameLocks noChangeAspect="1"/>
            </wp:cNvGraphicFramePr>
            <a:graphic>
              <a:graphicData uri="http://schemas.openxmlformats.org/drawingml/2006/picture">
                <pic:pic>
                  <pic:nvPicPr>
                    <pic:cNvPr id="0" name="m5_financials_8.png"/>
                    <pic:cNvPicPr/>
                  </pic:nvPicPr>
                  <pic:blipFill>
                    <a:blip r:embed="rId65"/>
                    <a:stretch>
                      <a:fillRect/>
                    </a:stretch>
                  </pic:blipFill>
                  <pic:spPr>
                    <a:xfrm>
                      <a:off x="0" y="0"/>
                      <a:ext cx="6512559" cy="3590843"/>
                    </a:xfrm>
                    <a:prstGeom prst="rect"/>
                  </pic:spPr>
                </pic:pic>
              </a:graphicData>
            </a:graphic>
          </wp:inline>
        </w:drawing>
      </w:r>
    </w:p>
    <w:p>
      <w:pPr>
        <w:spacing w:after="120"/>
        <w:jc w:val="center"/>
      </w:pPr>
      <w:r>
        <w:rPr>
          <w:rFonts w:ascii="Arial" w:hAnsi="Arial"/>
          <w:b w:val="0"/>
          <w:i/>
          <w:color w:val="6B7280"/>
          <w:sz w:val="16"/>
        </w:rPr>
        <w:t>Figure 55  Financial statements and balances (part 8 of 18)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fin.CreditAssessmentFinding</w:t>
            </w:r>
          </w:p>
        </w:tc>
        <w:tc>
          <w:tcPr>
            <w:tcW w:type="dxa" w:w="6690"/>
          </w:tcPr>
          <w:p>
            <w:pPr>
              <w:spacing w:after="0" w:before="0"/>
            </w:pPr>
            <w:r/>
            <w:r>
              <w:rPr>
                <w:rFonts w:ascii="Arial" w:hAnsi="Arial"/>
                <w:b w:val="0"/>
                <w:sz w:val="15"/>
              </w:rPr>
              <w:t>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948"/>
          </w:tcPr>
          <w:p>
            <w:pPr>
              <w:spacing w:after="0" w:before="0"/>
            </w:pPr>
            <w:r/>
            <w:r>
              <w:rPr>
                <w:rFonts w:ascii="Arial" w:hAnsi="Arial"/>
                <w:b w:val="0"/>
                <w:sz w:val="15"/>
              </w:rPr>
              <w:t>CreditAssessmentFindingId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fin.CreditAssessmentGuarantor</w:t>
            </w:r>
          </w:p>
        </w:tc>
        <w:tc>
          <w:tcPr>
            <w:tcW w:type="dxa" w:w="6690"/>
            <w:shd w:val="clear" w:color="auto" w:fill="E8EEF6"/>
          </w:tcPr>
          <w:p>
            <w:pPr>
              <w:spacing w:after="0" w:before="0"/>
            </w:pPr>
            <w:r/>
            <w:r>
              <w:rPr>
                <w:rFonts w:ascii="Arial" w:hAnsi="Arial"/>
                <w:b w:val="0"/>
                <w:sz w:val="15"/>
              </w:rPr>
              <w:t>A guarantor of the company's facilities with the net worth statement the analyst read: partners' solvency for the facility grade (docs/35 section 10); changes only while the assessment is a draft</w:t>
            </w:r>
          </w:p>
        </w:tc>
        <w:tc>
          <w:tcPr>
            <w:tcW w:type="dxa" w:w="2948"/>
            <w:shd w:val="clear" w:color="auto" w:fill="E8EEF6"/>
          </w:tcPr>
          <w:p>
            <w:pPr>
              <w:spacing w:after="0" w:before="0"/>
            </w:pPr>
            <w:r/>
            <w:r>
              <w:rPr>
                <w:rFonts w:ascii="Arial" w:hAnsi="Arial"/>
                <w:b w:val="0"/>
                <w:sz w:val="15"/>
              </w:rPr>
              <w:t>CreditAssessmentGuarantorId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fin.CreditAssessmentFinding</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fin.CreditAssessmentGuarantor</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fin.CreditAssessmentGuarantor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fin.CreditAssessmentGuarantor</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9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55080" cy="7614458"/>
            <wp:docPr id="56" name="Picture 56"/>
            <wp:cNvGraphicFramePr>
              <a:graphicFrameLocks noChangeAspect="1"/>
            </wp:cNvGraphicFramePr>
            <a:graphic>
              <a:graphicData uri="http://schemas.openxmlformats.org/drawingml/2006/picture">
                <pic:pic>
                  <pic:nvPicPr>
                    <pic:cNvPr id="0" name="m5_financials_9.png"/>
                    <pic:cNvPicPr/>
                  </pic:nvPicPr>
                  <pic:blipFill>
                    <a:blip r:embed="rId66"/>
                    <a:stretch>
                      <a:fillRect/>
                    </a:stretch>
                  </pic:blipFill>
                  <pic:spPr>
                    <a:xfrm>
                      <a:off x="0" y="0"/>
                      <a:ext cx="6355080" cy="7614458"/>
                    </a:xfrm>
                    <a:prstGeom prst="rect"/>
                  </pic:spPr>
                </pic:pic>
              </a:graphicData>
            </a:graphic>
          </wp:inline>
        </w:drawing>
      </w:r>
    </w:p>
    <w:p>
      <w:pPr>
        <w:spacing w:after="120"/>
        <w:jc w:val="center"/>
      </w:pPr>
      <w:r>
        <w:rPr>
          <w:rFonts w:ascii="Arial" w:hAnsi="Arial"/>
          <w:b w:val="0"/>
          <w:i/>
          <w:color w:val="6B7280"/>
          <w:sz w:val="16"/>
        </w:rPr>
        <w:t>Figure 56  Financial statements and balances (part 9 of 18)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fin.CreditAssessmentInput</w:t>
            </w:r>
          </w:p>
        </w:tc>
        <w:tc>
          <w:tcPr>
            <w:tcW w:type="dxa" w:w="6690"/>
          </w:tcPr>
          <w:p>
            <w:pPr>
              <w:spacing w:after="0" w:before="0"/>
            </w:pPr>
            <w:r/>
            <w:r>
              <w:rPr>
                <w:rFonts w:ascii="Arial" w:hAnsi="Arial"/>
                <w:b w:val="0"/>
                <w:sz w:val="15"/>
              </w:rPr>
              <w:t>The analyst's inputs to an assessment: the grade of a qualitative factor, group support or an override, each with its justification; they change only while the assessment is a draft (BR-FIN-021, BR-FIN-022)</w:t>
            </w:r>
          </w:p>
        </w:tc>
        <w:tc>
          <w:tcPr>
            <w:tcW w:type="dxa" w:w="2948"/>
          </w:tcPr>
          <w:p>
            <w:pPr>
              <w:spacing w:after="0" w:before="0"/>
            </w:pPr>
            <w:r/>
            <w:r>
              <w:rPr>
                <w:rFonts w:ascii="Arial" w:hAnsi="Arial"/>
                <w:b w:val="0"/>
                <w:sz w:val="15"/>
              </w:rPr>
              <w:t>CreditAssessmentInputId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fin.CreditAssessmentPlan</w:t>
            </w:r>
          </w:p>
        </w:tc>
        <w:tc>
          <w:tcPr>
            <w:tcW w:type="dxa" w:w="6690"/>
            <w:shd w:val="clear" w:color="auto" w:fill="E8EEF6"/>
          </w:tcPr>
          <w:p>
            <w:pPr>
              <w:spacing w:after="0" w:before="0"/>
            </w:pPr>
            <w:r/>
            <w:r>
              <w:rPr>
                <w:rFonts w:ascii="Arial" w:hAnsi="Arial"/>
                <w:b w:val="0"/>
                <w:sz w:val="15"/>
              </w:rPr>
              <w:t>A strengthening plan computed for the assessment when the customer asked for one: the grade at its end and whether the balance sheet stayed balanced; written by fin.usp_ComputeCreditAssessment only (docs/35 section 12)</w:t>
            </w:r>
          </w:p>
        </w:tc>
        <w:tc>
          <w:tcPr>
            <w:tcW w:type="dxa" w:w="2948"/>
            <w:shd w:val="clear" w:color="auto" w:fill="E8EEF6"/>
          </w:tcPr>
          <w:p>
            <w:pPr>
              <w:spacing w:after="0" w:before="0"/>
            </w:pPr>
            <w:r/>
            <w:r>
              <w:rPr>
                <w:rFonts w:ascii="Arial" w:hAnsi="Arial"/>
                <w:b w:val="0"/>
                <w:sz w:val="15"/>
              </w:rPr>
              <w:t>CreditAssessmentPlanId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SubfactorId</w:t>
            </w:r>
          </w:p>
        </w:tc>
        <w:tc>
          <w:tcPr>
            <w:tcW w:type="dxa" w:w="2721"/>
          </w:tcPr>
          <w:p>
            <w:pPr>
              <w:spacing w:after="0" w:before="0"/>
            </w:pPr>
            <w:r/>
            <w:r>
              <w:rPr>
                <w:rFonts w:ascii="Arial" w:hAnsi="Arial"/>
                <w:b w:val="0"/>
                <w:sz w:val="15"/>
              </w:rPr>
              <w:t>fin.ScorecardSubfactor</w:t>
            </w:r>
          </w:p>
        </w:tc>
        <w:tc>
          <w:tcPr>
            <w:tcW w:type="dxa" w:w="2948"/>
          </w:tcPr>
          <w:p>
            <w:pPr>
              <w:spacing w:after="0" w:before="0"/>
            </w:pPr>
            <w:r/>
            <w:r>
              <w:rPr>
                <w:rFonts w:ascii="Arial" w:hAnsi="Arial"/>
                <w:b w:val="0"/>
                <w:sz w:val="15"/>
              </w:rPr>
              <w:t>ScorecardSubfactorId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ParentAssessmentId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w:t>
            </w:r>
          </w:p>
        </w:tc>
        <w:tc>
          <w:tcPr>
            <w:tcW w:type="dxa" w:w="2948"/>
            <w:shd w:val="clear" w:color="auto" w:fill="E8EEF6"/>
          </w:tcPr>
          <w:p>
            <w:pPr>
              <w:spacing w:after="0" w:before="0"/>
            </w:pPr>
            <w:r/>
            <w:r>
              <w:rPr>
                <w:rFonts w:ascii="Arial" w:hAnsi="Arial"/>
                <w:b w:val="0"/>
                <w:sz w:val="15"/>
              </w:rPr>
              <w:t>PlanId</w:t>
            </w:r>
          </w:p>
        </w:tc>
        <w:tc>
          <w:tcPr>
            <w:tcW w:type="dxa" w:w="2721"/>
            <w:shd w:val="clear" w:color="auto" w:fill="E8EEF6"/>
          </w:tcPr>
          <w:p>
            <w:pPr>
              <w:spacing w:after="0" w:before="0"/>
            </w:pPr>
            <w:r/>
            <w:r>
              <w:rPr>
                <w:rFonts w:ascii="Arial" w:hAnsi="Arial"/>
                <w:b w:val="0"/>
                <w:sz w:val="15"/>
              </w:rPr>
              <w:t>fin.StrengtheningPlan</w:t>
            </w:r>
          </w:p>
        </w:tc>
        <w:tc>
          <w:tcPr>
            <w:tcW w:type="dxa" w:w="2948"/>
            <w:shd w:val="clear" w:color="auto" w:fill="E8EEF6"/>
          </w:tcPr>
          <w:p>
            <w:pPr>
              <w:spacing w:after="0" w:before="0"/>
            </w:pPr>
            <w:r/>
            <w:r>
              <w:rPr>
                <w:rFonts w:ascii="Arial" w:hAnsi="Arial"/>
                <w:b w:val="0"/>
                <w:sz w:val="15"/>
              </w:rPr>
              <w:t>StrengtheningPlanId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w:t>
            </w:r>
          </w:p>
        </w:tc>
        <w:tc>
          <w:tcPr>
            <w:tcW w:type="dxa" w:w="2948"/>
          </w:tcPr>
          <w:p>
            <w:pPr>
              <w:spacing w:after="0" w:before="0"/>
            </w:pPr>
            <w:r/>
            <w:r>
              <w:rPr>
                <w:rFonts w:ascii="Arial" w:hAnsi="Arial"/>
                <w:b w:val="0"/>
                <w:sz w:val="15"/>
              </w:rPr>
              <w:t>FinalGradeId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10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79540" cy="4043997"/>
            <wp:docPr id="57" name="Picture 57"/>
            <wp:cNvGraphicFramePr>
              <a:graphicFrameLocks noChangeAspect="1"/>
            </wp:cNvGraphicFramePr>
            <a:graphic>
              <a:graphicData uri="http://schemas.openxmlformats.org/drawingml/2006/picture">
                <pic:pic>
                  <pic:nvPicPr>
                    <pic:cNvPr id="0" name="m5_financials_10.png"/>
                    <pic:cNvPicPr/>
                  </pic:nvPicPr>
                  <pic:blipFill>
                    <a:blip r:embed="rId67"/>
                    <a:stretch>
                      <a:fillRect/>
                    </a:stretch>
                  </pic:blipFill>
                  <pic:spPr>
                    <a:xfrm>
                      <a:off x="0" y="0"/>
                      <a:ext cx="6479540" cy="4043997"/>
                    </a:xfrm>
                    <a:prstGeom prst="rect"/>
                  </pic:spPr>
                </pic:pic>
              </a:graphicData>
            </a:graphic>
          </wp:inline>
        </w:drawing>
      </w:r>
    </w:p>
    <w:p>
      <w:pPr>
        <w:spacing w:after="120"/>
        <w:jc w:val="center"/>
      </w:pPr>
      <w:r>
        <w:rPr>
          <w:rFonts w:ascii="Arial" w:hAnsi="Arial"/>
          <w:b w:val="0"/>
          <w:i/>
          <w:color w:val="6B7280"/>
          <w:sz w:val="16"/>
        </w:rPr>
        <w:t>Figure 57  Financial statements and balances (part 10 of 18)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fin.CreditAssessmentPlanStep</w:t>
            </w:r>
          </w:p>
        </w:tc>
        <w:tc>
          <w:tcPr>
            <w:tcW w:type="dxa" w:w="6690"/>
          </w:tcPr>
          <w:p>
            <w:pPr>
              <w:spacing w:after="0" w:before="0"/>
            </w:pPr>
            <w:r/>
            <w:r>
              <w:rPr>
                <w:rFonts w:ascii="Arial" w:hAnsi="Arial"/>
                <w:b w:val="0"/>
                <w:sz w:val="15"/>
              </w:rPr>
              <w:t>A step of a strengthening plan: the remedy applied, the amount it moved and the grade after it</w:t>
            </w:r>
          </w:p>
        </w:tc>
        <w:tc>
          <w:tcPr>
            <w:tcW w:type="dxa" w:w="2948"/>
          </w:tcPr>
          <w:p>
            <w:pPr>
              <w:spacing w:after="0" w:before="0"/>
            </w:pPr>
            <w:r/>
            <w:r>
              <w:rPr>
                <w:rFonts w:ascii="Arial" w:hAnsi="Arial"/>
                <w:b w:val="0"/>
                <w:sz w:val="15"/>
              </w:rPr>
              <w:t>CreditAssessmentPlanStepId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fin.CreditAssessmentReclass</w:t>
            </w:r>
          </w:p>
        </w:tc>
        <w:tc>
          <w:tcPr>
            <w:tcW w:type="dxa" w:w="6690"/>
            <w:shd w:val="clear" w:color="auto" w:fill="E8EEF6"/>
          </w:tcPr>
          <w:p>
            <w:pPr>
              <w:spacing w:after="0" w:before="0"/>
            </w:pPr>
            <w:r/>
            <w:r>
              <w:rPr>
                <w:rFonts w:ascii="Arial" w:hAnsi="Arial"/>
                <w:b w:val="0"/>
                <w:sz w:val="15"/>
              </w:rPr>
              <w:t>A row of the reconciliation of the analytical statement: a standard adjustment that moved an amount of a reported line to an analytical bucket; written by fin.usp_ComputeCreditAssessment only (docs/35 section 6)</w:t>
            </w:r>
          </w:p>
        </w:tc>
        <w:tc>
          <w:tcPr>
            <w:tcW w:type="dxa" w:w="2948"/>
            <w:shd w:val="clear" w:color="auto" w:fill="E8EEF6"/>
          </w:tcPr>
          <w:p>
            <w:pPr>
              <w:spacing w:after="0" w:before="0"/>
            </w:pPr>
            <w:r/>
            <w:r>
              <w:rPr>
                <w:rFonts w:ascii="Arial" w:hAnsi="Arial"/>
                <w:b w:val="0"/>
                <w:sz w:val="15"/>
              </w:rPr>
              <w:t>CreditAssessmentReclassId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fin.CreditAssessmentPlanStep</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fin.CreditAssessmentPlanStep</w:t>
            </w:r>
          </w:p>
        </w:tc>
        <w:tc>
          <w:tcPr>
            <w:tcW w:type="dxa" w:w="2948"/>
            <w:shd w:val="clear" w:color="auto" w:fill="E8EEF6"/>
          </w:tcPr>
          <w:p>
            <w:pPr>
              <w:spacing w:after="0" w:before="0"/>
            </w:pPr>
            <w:r/>
            <w:r>
              <w:rPr>
                <w:rFonts w:ascii="Arial" w:hAnsi="Arial"/>
                <w:b w:val="0"/>
                <w:sz w:val="15"/>
              </w:rPr>
              <w:t>PlanId</w:t>
            </w:r>
          </w:p>
        </w:tc>
        <w:tc>
          <w:tcPr>
            <w:tcW w:type="dxa" w:w="2721"/>
            <w:shd w:val="clear" w:color="auto" w:fill="E8EEF6"/>
          </w:tcPr>
          <w:p>
            <w:pPr>
              <w:spacing w:after="0" w:before="0"/>
            </w:pPr>
            <w:r/>
            <w:r>
              <w:rPr>
                <w:rFonts w:ascii="Arial" w:hAnsi="Arial"/>
                <w:b w:val="0"/>
                <w:sz w:val="15"/>
              </w:rPr>
              <w:t>fin.StrengtheningPlan</w:t>
            </w:r>
          </w:p>
        </w:tc>
        <w:tc>
          <w:tcPr>
            <w:tcW w:type="dxa" w:w="2948"/>
            <w:shd w:val="clear" w:color="auto" w:fill="E8EEF6"/>
          </w:tcPr>
          <w:p>
            <w:pPr>
              <w:spacing w:after="0" w:before="0"/>
            </w:pPr>
            <w:r/>
            <w:r>
              <w:rPr>
                <w:rFonts w:ascii="Arial" w:hAnsi="Arial"/>
                <w:b w:val="0"/>
                <w:sz w:val="15"/>
              </w:rPr>
              <w:t>StrengtheningPlanId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fin.CreditAssessmentPlanStep</w:t>
            </w:r>
          </w:p>
        </w:tc>
        <w:tc>
          <w:tcPr>
            <w:tcW w:type="dxa" w:w="2948"/>
          </w:tcPr>
          <w:p>
            <w:pPr>
              <w:spacing w:after="0" w:before="0"/>
            </w:pPr>
            <w:r/>
            <w:r>
              <w:rPr>
                <w:rFonts w:ascii="Arial" w:hAnsi="Arial"/>
                <w:b w:val="0"/>
                <w:sz w:val="15"/>
              </w:rPr>
              <w:t>RemedyId</w:t>
            </w:r>
          </w:p>
        </w:tc>
        <w:tc>
          <w:tcPr>
            <w:tcW w:type="dxa" w:w="2721"/>
          </w:tcPr>
          <w:p>
            <w:pPr>
              <w:spacing w:after="0" w:before="0"/>
            </w:pPr>
            <w:r/>
            <w:r>
              <w:rPr>
                <w:rFonts w:ascii="Arial" w:hAnsi="Arial"/>
                <w:b w:val="0"/>
                <w:sz w:val="15"/>
              </w:rPr>
              <w:t>fin.CreditRemedy</w:t>
            </w:r>
          </w:p>
        </w:tc>
        <w:tc>
          <w:tcPr>
            <w:tcW w:type="dxa" w:w="2948"/>
          </w:tcPr>
          <w:p>
            <w:pPr>
              <w:spacing w:after="0" w:before="0"/>
            </w:pPr>
            <w:r/>
            <w:r>
              <w:rPr>
                <w:rFonts w:ascii="Arial" w:hAnsi="Arial"/>
                <w:b w:val="0"/>
                <w:sz w:val="15"/>
              </w:rPr>
              <w:t>CreditRemedyId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fin.CreditAssessmentPlanStep</w:t>
            </w:r>
          </w:p>
        </w:tc>
        <w:tc>
          <w:tcPr>
            <w:tcW w:type="dxa" w:w="2948"/>
            <w:shd w:val="clear" w:color="auto" w:fill="E8EEF6"/>
          </w:tcPr>
          <w:p>
            <w:pPr>
              <w:spacing w:after="0" w:before="0"/>
            </w:pPr>
            <w:r/>
            <w:r>
              <w:rPr>
                <w:rFonts w:ascii="Arial" w:hAnsi="Arial"/>
                <w:b w:val="0"/>
                <w:sz w:val="15"/>
              </w:rPr>
              <w:t>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fin.CreditAssessmentReclass</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11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56680" cy="7042896"/>
            <wp:docPr id="58" name="Picture 58"/>
            <wp:cNvGraphicFramePr>
              <a:graphicFrameLocks noChangeAspect="1"/>
            </wp:cNvGraphicFramePr>
            <a:graphic>
              <a:graphicData uri="http://schemas.openxmlformats.org/drawingml/2006/picture">
                <pic:pic>
                  <pic:nvPicPr>
                    <pic:cNvPr id="0" name="m5_financials_11.png"/>
                    <pic:cNvPicPr/>
                  </pic:nvPicPr>
                  <pic:blipFill>
                    <a:blip r:embed="rId68"/>
                    <a:stretch>
                      <a:fillRect/>
                    </a:stretch>
                  </pic:blipFill>
                  <pic:spPr>
                    <a:xfrm>
                      <a:off x="0" y="0"/>
                      <a:ext cx="6456680" cy="7042896"/>
                    </a:xfrm>
                    <a:prstGeom prst="rect"/>
                  </pic:spPr>
                </pic:pic>
              </a:graphicData>
            </a:graphic>
          </wp:inline>
        </w:drawing>
      </w:r>
    </w:p>
    <w:p>
      <w:pPr>
        <w:spacing w:after="120"/>
        <w:jc w:val="center"/>
      </w:pPr>
      <w:r>
        <w:rPr>
          <w:rFonts w:ascii="Arial" w:hAnsi="Arial"/>
          <w:b w:val="0"/>
          <w:i/>
          <w:color w:val="6B7280"/>
          <w:sz w:val="16"/>
        </w:rPr>
        <w:t>Figure 58  Financial statements and balances (part 11 of 18)  ·  8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fin.CreditAssessmentRemedy</w:t>
            </w:r>
          </w:p>
        </w:tc>
        <w:tc>
          <w:tcPr>
            <w:tcW w:type="dxa" w:w="6690"/>
          </w:tcPr>
          <w:p>
            <w:pPr>
              <w:spacing w:after="0" w:before="0"/>
            </w:pPr>
            <w:r/>
            <w:r>
              <w:rPr>
                <w:rFonts w:ascii="Arial" w:hAnsi="Arial"/>
                <w:b w:val="0"/>
                <w:sz w:val="15"/>
              </w:rPr>
              <w:t>A remedy the report proposes, with the finding it answers and the grade the pro-forma statement would get; written by fin.usp_ComputeCreditAssessment only (docs/35 section 12)</w:t>
            </w:r>
          </w:p>
        </w:tc>
        <w:tc>
          <w:tcPr>
            <w:tcW w:type="dxa" w:w="2948"/>
          </w:tcPr>
          <w:p>
            <w:pPr>
              <w:spacing w:after="0" w:before="0"/>
            </w:pPr>
            <w:r/>
            <w:r>
              <w:rPr>
                <w:rFonts w:ascii="Arial" w:hAnsi="Arial"/>
                <w:b w:val="0"/>
                <w:sz w:val="15"/>
              </w:rPr>
              <w:t>CreditAssessmentRemedyId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fin.CreditAssessmentScenario</w:t>
            </w:r>
          </w:p>
        </w:tc>
        <w:tc>
          <w:tcPr>
            <w:tcW w:type="dxa" w:w="6690"/>
            <w:shd w:val="clear" w:color="auto" w:fill="E8EEF6"/>
          </w:tcPr>
          <w:p>
            <w:pPr>
              <w:spacing w:after="0" w:before="0"/>
            </w:pPr>
            <w:r/>
            <w:r>
              <w:rPr>
                <w:rFonts w:ascii="Arial" w:hAnsi="Arial"/>
                <w:b w:val="0"/>
                <w:sz w:val="15"/>
              </w:rPr>
              <w:t>The assessment recomputed on the statement under each macro scenario, with the stress applied: the grade, the liquidity label and the notches lost; written by fin.usp_ComputeCreditAssessment only (docs/35 section 13)</w:t>
            </w:r>
          </w:p>
        </w:tc>
        <w:tc>
          <w:tcPr>
            <w:tcW w:type="dxa" w:w="2948"/>
            <w:shd w:val="clear" w:color="auto" w:fill="E8EEF6"/>
          </w:tcPr>
          <w:p>
            <w:pPr>
              <w:spacing w:after="0" w:before="0"/>
            </w:pPr>
            <w:r/>
            <w:r>
              <w:rPr>
                <w:rFonts w:ascii="Arial" w:hAnsi="Arial"/>
                <w:b w:val="0"/>
                <w:sz w:val="15"/>
              </w:rPr>
              <w:t>CreditAssessmentScenarioId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fin.CreditAssessmentTrigger</w:t>
            </w:r>
          </w:p>
        </w:tc>
        <w:tc>
          <w:tcPr>
            <w:tcW w:type="dxa" w:w="6690"/>
          </w:tcPr>
          <w:p>
            <w:pPr>
              <w:spacing w:after="0" w:before="0"/>
            </w:pPr>
            <w:r/>
            <w:r>
              <w:rPr>
                <w:rFonts w:ascii="Arial" w:hAnsi="Arial"/>
                <w:b w:val="0"/>
                <w:sz w:val="15"/>
              </w:rPr>
              <w:t>What would move the scorecard grade one notch: the value of a metric at which the weighted score crosses to the grade above or below, the other metrics unchanged (docs/35 section 15)</w:t>
            </w:r>
          </w:p>
        </w:tc>
        <w:tc>
          <w:tcPr>
            <w:tcW w:type="dxa" w:w="2948"/>
          </w:tcPr>
          <w:p>
            <w:pPr>
              <w:spacing w:after="0" w:before="0"/>
            </w:pPr>
            <w:r/>
            <w:r>
              <w:rPr>
                <w:rFonts w:ascii="Arial" w:hAnsi="Arial"/>
                <w:b w:val="0"/>
                <w:sz w:val="15"/>
              </w:rPr>
              <w:t>CreditAssessmentTriggerId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fin.CreditMetric</w:t>
            </w:r>
          </w:p>
        </w:tc>
        <w:tc>
          <w:tcPr>
            <w:tcW w:type="dxa" w:w="6690"/>
            <w:shd w:val="clear" w:color="auto" w:fill="E8EEF6"/>
          </w:tcPr>
          <w:p>
            <w:pPr>
              <w:spacing w:after="0" w:before="0"/>
            </w:pPr>
            <w:r/>
            <w:r>
              <w:rPr>
                <w:rFonts w:ascii="Arial" w:hAnsi="Arial"/>
                <w:b w:val="0"/>
                <w:sz w:val="15"/>
              </w:rPr>
              <w:t>The metric dictionary of the credit assessment: how each ratio is computed from the statement lines, its unit and direction, and the texts of its strength and weakness (docs/35 section 4)</w:t>
            </w:r>
          </w:p>
        </w:tc>
        <w:tc>
          <w:tcPr>
            <w:tcW w:type="dxa" w:w="2948"/>
            <w:shd w:val="clear" w:color="auto" w:fill="E8EEF6"/>
          </w:tcPr>
          <w:p>
            <w:pPr>
              <w:spacing w:after="0" w:before="0"/>
            </w:pPr>
            <w:r/>
            <w:r>
              <w:rPr>
                <w:rFonts w:ascii="Arial" w:hAnsi="Arial"/>
                <w:b w:val="0"/>
                <w:sz w:val="15"/>
              </w:rPr>
              <w:t>CreditMetricId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fin.CreditRemedy</w:t>
            </w:r>
          </w:p>
        </w:tc>
        <w:tc>
          <w:tcPr>
            <w:tcW w:type="dxa" w:w="6690"/>
          </w:tcPr>
          <w:p>
            <w:pPr>
              <w:spacing w:after="0" w:before="0"/>
            </w:pPr>
            <w:r/>
            <w:r>
              <w:rPr>
                <w:rFonts w:ascii="Arial" w:hAnsi="Arial"/>
                <w:b w:val="0"/>
                <w:sz w:val="15"/>
              </w:rPr>
              <w:t>A remedy the report proposes against a finding: a real action, or a presentation that follows the legal substance and needs its evidence, with the change it makes to the statement for the pro-forma grade (docs/35 section 12)</w:t>
            </w:r>
          </w:p>
        </w:tc>
        <w:tc>
          <w:tcPr>
            <w:tcW w:type="dxa" w:w="2948"/>
          </w:tcPr>
          <w:p>
            <w:pPr>
              <w:spacing w:after="0" w:before="0"/>
            </w:pPr>
            <w:r/>
            <w:r>
              <w:rPr>
                <w:rFonts w:ascii="Arial" w:hAnsi="Arial"/>
                <w:b w:val="0"/>
                <w:sz w:val="15"/>
              </w:rPr>
              <w:t>CreditRemedyId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fin.CreditRemedyStep</w:t>
            </w:r>
          </w:p>
        </w:tc>
        <w:tc>
          <w:tcPr>
            <w:tcW w:type="dxa" w:w="6690"/>
            <w:shd w:val="clear" w:color="auto" w:fill="E8EEF6"/>
          </w:tcPr>
          <w:p>
            <w:pPr>
              <w:spacing w:after="0" w:before="0"/>
            </w:pPr>
            <w:r/>
            <w:r>
              <w:rPr>
                <w:rFonts w:ascii="Arial" w:hAnsi="Arial"/>
                <w:b w:val="0"/>
                <w:sz w:val="15"/>
              </w:rPr>
              <w:t>A step of a remedy's pro-forma: an amount, a share of a reference line capped by what the lines decreased hold, taken from up to three lines and added to up to three</w:t>
            </w:r>
          </w:p>
        </w:tc>
        <w:tc>
          <w:tcPr>
            <w:tcW w:type="dxa" w:w="2948"/>
            <w:shd w:val="clear" w:color="auto" w:fill="E8EEF6"/>
          </w:tcPr>
          <w:p>
            <w:pPr>
              <w:spacing w:after="0" w:before="0"/>
            </w:pPr>
            <w:r/>
            <w:r>
              <w:rPr>
                <w:rFonts w:ascii="Arial" w:hAnsi="Arial"/>
                <w:b w:val="0"/>
                <w:sz w:val="15"/>
              </w:rPr>
              <w:t>CreditRemedyStepId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fin.CreditRemedyTrigger</w:t>
            </w:r>
          </w:p>
        </w:tc>
        <w:tc>
          <w:tcPr>
            <w:tcW w:type="dxa" w:w="6690"/>
          </w:tcPr>
          <w:p>
            <w:pPr>
              <w:spacing w:after="0" w:before="0"/>
            </w:pPr>
            <w:r/>
            <w:r>
              <w:rPr>
                <w:rFonts w:ascii="Arial" w:hAnsi="Arial"/>
                <w:b w:val="0"/>
                <w:sz w:val="15"/>
              </w:rPr>
              <w:t>A finding a remedy answers: a metric or an adjustment code</w:t>
            </w:r>
          </w:p>
        </w:tc>
        <w:tc>
          <w:tcPr>
            <w:tcW w:type="dxa" w:w="2948"/>
          </w:tcPr>
          <w:p>
            <w:pPr>
              <w:spacing w:after="0" w:before="0"/>
            </w:pPr>
            <w:r/>
            <w:r>
              <w:rPr>
                <w:rFonts w:ascii="Arial" w:hAnsi="Arial"/>
                <w:b w:val="0"/>
                <w:sz w:val="15"/>
              </w:rPr>
              <w:t>CreditRemedyTriggerId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fin.CreditText</w:t>
            </w:r>
          </w:p>
        </w:tc>
        <w:tc>
          <w:tcPr>
            <w:tcW w:type="dxa" w:w="6690"/>
            <w:shd w:val="clear" w:color="auto" w:fill="E8EEF6"/>
          </w:tcPr>
          <w:p>
            <w:pPr>
              <w:spacing w:after="0" w:before="0"/>
            </w:pPr>
            <w:r/>
            <w:r>
              <w:rPr>
                <w:rFonts w:ascii="Arial" w:hAnsi="Arial"/>
                <w:b w:val="0"/>
                <w:sz w:val="15"/>
              </w:rPr>
              <w:t>A text of the credit report: the reconciliation rows, the disclosures and data the report asks for, the outlook rules and views, the liquidity labels, the resilience and the funding kinds (docs/35)</w:t>
            </w:r>
          </w:p>
        </w:tc>
        <w:tc>
          <w:tcPr>
            <w:tcW w:type="dxa" w:w="2948"/>
            <w:shd w:val="clear" w:color="auto" w:fill="E8EEF6"/>
          </w:tcPr>
          <w:p>
            <w:pPr>
              <w:spacing w:after="0" w:before="0"/>
            </w:pPr>
            <w:r/>
            <w:r>
              <w:rPr>
                <w:rFonts w:ascii="Arial" w:hAnsi="Arial"/>
                <w:b w:val="0"/>
                <w:sz w:val="15"/>
              </w:rPr>
              <w:t>CreditTextId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fin.CreditAssessmentRemedy</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fin.CreditAssessmentRemedy</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fin.CreditAssessmentRemedy</w:t>
            </w:r>
          </w:p>
        </w:tc>
        <w:tc>
          <w:tcPr>
            <w:tcW w:type="dxa" w:w="2948"/>
          </w:tcPr>
          <w:p>
            <w:pPr>
              <w:spacing w:after="0" w:before="0"/>
            </w:pPr>
            <w:r/>
            <w:r>
              <w:rPr>
                <w:rFonts w:ascii="Arial" w:hAnsi="Arial"/>
                <w:b w:val="0"/>
                <w:sz w:val="15"/>
              </w:rPr>
              <w:t>ProFormaGradeId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fin.CreditAssessmentScenario</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fin.CreditAssessmentScenario</w:t>
            </w:r>
          </w:p>
        </w:tc>
        <w:tc>
          <w:tcPr>
            <w:tcW w:type="dxa" w:w="2948"/>
          </w:tcPr>
          <w:p>
            <w:pPr>
              <w:spacing w:after="0" w:before="0"/>
            </w:pPr>
            <w:r/>
            <w:r>
              <w:rPr>
                <w:rFonts w:ascii="Arial" w:hAnsi="Arial"/>
                <w:b w:val="0"/>
                <w:sz w:val="15"/>
              </w:rPr>
              <w:t>MacroScenarioId</w:t>
            </w:r>
          </w:p>
        </w:tc>
        <w:tc>
          <w:tcPr>
            <w:tcW w:type="dxa" w:w="2721"/>
          </w:tcPr>
          <w:p>
            <w:pPr>
              <w:spacing w:after="0" w:before="0"/>
            </w:pPr>
            <w:r/>
            <w:r>
              <w:rPr>
                <w:rFonts w:ascii="Arial" w:hAnsi="Arial"/>
                <w:b w:val="0"/>
                <w:sz w:val="15"/>
              </w:rPr>
              <w:t>fin.MacroScenario</w:t>
            </w:r>
          </w:p>
        </w:tc>
        <w:tc>
          <w:tcPr>
            <w:tcW w:type="dxa" w:w="2948"/>
          </w:tcPr>
          <w:p>
            <w:pPr>
              <w:spacing w:after="0" w:before="0"/>
            </w:pPr>
            <w:r/>
            <w:r>
              <w:rPr>
                <w:rFonts w:ascii="Arial" w:hAnsi="Arial"/>
                <w:b w:val="0"/>
                <w:sz w:val="15"/>
              </w:rPr>
              <w:t>MacroScenarioId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fin.CreditAssessmentScenario</w:t>
            </w:r>
          </w:p>
        </w:tc>
        <w:tc>
          <w:tcPr>
            <w:tcW w:type="dxa" w:w="2948"/>
            <w:shd w:val="clear" w:color="auto" w:fill="E8EEF6"/>
          </w:tcPr>
          <w:p>
            <w:pPr>
              <w:spacing w:after="0" w:before="0"/>
            </w:pPr>
            <w:r/>
            <w:r>
              <w:rPr>
                <w:rFonts w:ascii="Arial" w:hAnsi="Arial"/>
                <w:b w:val="0"/>
                <w:sz w:val="15"/>
              </w:rPr>
              <w:t>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fin.CreditAssessmentTrigger</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fin.CreditAssessmentTrigger</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fin.CreditRemedyStep</w:t>
            </w:r>
          </w:p>
        </w:tc>
        <w:tc>
          <w:tcPr>
            <w:tcW w:type="dxa" w:w="2948"/>
          </w:tcPr>
          <w:p>
            <w:pPr>
              <w:spacing w:after="0" w:before="0"/>
            </w:pPr>
            <w:r/>
            <w:r>
              <w:rPr>
                <w:rFonts w:ascii="Arial" w:hAnsi="Arial"/>
                <w:b w:val="0"/>
                <w:sz w:val="15"/>
              </w:rPr>
              <w:t>RemedyId</w:t>
            </w:r>
          </w:p>
        </w:tc>
        <w:tc>
          <w:tcPr>
            <w:tcW w:type="dxa" w:w="2721"/>
          </w:tcPr>
          <w:p>
            <w:pPr>
              <w:spacing w:after="0" w:before="0"/>
            </w:pPr>
            <w:r/>
            <w:r>
              <w:rPr>
                <w:rFonts w:ascii="Arial" w:hAnsi="Arial"/>
                <w:b w:val="0"/>
                <w:sz w:val="15"/>
              </w:rPr>
              <w:t>fin.CreditRemedy</w:t>
            </w:r>
          </w:p>
        </w:tc>
        <w:tc>
          <w:tcPr>
            <w:tcW w:type="dxa" w:w="2948"/>
          </w:tcPr>
          <w:p>
            <w:pPr>
              <w:spacing w:after="0" w:before="0"/>
            </w:pPr>
            <w:r/>
            <w:r>
              <w:rPr>
                <w:rFonts w:ascii="Arial" w:hAnsi="Arial"/>
                <w:b w:val="0"/>
                <w:sz w:val="15"/>
              </w:rPr>
              <w:t>CreditRemedyId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fin.CreditRemedyTrigger</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12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99810" cy="6681536"/>
            <wp:docPr id="59" name="Picture 59"/>
            <wp:cNvGraphicFramePr>
              <a:graphicFrameLocks noChangeAspect="1"/>
            </wp:cNvGraphicFramePr>
            <a:graphic>
              <a:graphicData uri="http://schemas.openxmlformats.org/drawingml/2006/picture">
                <pic:pic>
                  <pic:nvPicPr>
                    <pic:cNvPr id="0" name="m5_financials_12.png"/>
                    <pic:cNvPicPr/>
                  </pic:nvPicPr>
                  <pic:blipFill>
                    <a:blip r:embed="rId69"/>
                    <a:stretch>
                      <a:fillRect/>
                    </a:stretch>
                  </pic:blipFill>
                  <pic:spPr>
                    <a:xfrm>
                      <a:off x="0" y="0"/>
                      <a:ext cx="6099810" cy="6681536"/>
                    </a:xfrm>
                    <a:prstGeom prst="rect"/>
                  </pic:spPr>
                </pic:pic>
              </a:graphicData>
            </a:graphic>
          </wp:inline>
        </w:drawing>
      </w:r>
    </w:p>
    <w:p>
      <w:pPr>
        <w:spacing w:after="120"/>
        <w:jc w:val="center"/>
      </w:pPr>
      <w:r>
        <w:rPr>
          <w:rFonts w:ascii="Arial" w:hAnsi="Arial"/>
          <w:b w:val="0"/>
          <w:i/>
          <w:color w:val="6B7280"/>
          <w:sz w:val="16"/>
        </w:rPr>
        <w:t>Figure 59  Financial statements and balances (part 12 of 18)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fin.EarlyWarningAlert</w:t>
            </w:r>
          </w:p>
        </w:tc>
        <w:tc>
          <w:tcPr>
            <w:tcW w:type="dxa" w:w="6690"/>
          </w:tcPr>
          <w:p>
            <w:pPr>
              <w:spacing w:after="0" w:before="0"/>
            </w:pPr>
            <w:r/>
            <w:r>
              <w:rPr>
                <w:rFonts w:ascii="Arial" w:hAnsi="Arial"/>
                <w:b w:val="0"/>
                <w:sz w:val="15"/>
              </w:rPr>
              <w:t>An early warning the job JOB-FIN-READINESS issued: a lender date of the company within the lead time that is not ready, once per stage of the time left and readiness, so a run after a stop or a second run of the day repeats nothing; written by the database only, with the notification request in the outbox, FIN.READINESS_RED or FIN.READINESS_AMBER (docs/36 F4, ADR 0027, ADR 0028)</w:t>
            </w:r>
          </w:p>
        </w:tc>
        <w:tc>
          <w:tcPr>
            <w:tcW w:type="dxa" w:w="2948"/>
          </w:tcPr>
          <w:p>
            <w:pPr>
              <w:spacing w:after="0" w:before="0"/>
            </w:pPr>
            <w:r/>
            <w:r>
              <w:rPr>
                <w:rFonts w:ascii="Arial" w:hAnsi="Arial"/>
                <w:b w:val="0"/>
                <w:sz w:val="15"/>
              </w:rPr>
              <w:t>EarlyWarningAlertId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fin.FinancialStatement</w:t>
            </w:r>
          </w:p>
        </w:tc>
        <w:tc>
          <w:tcPr>
            <w:tcW w:type="dxa" w:w="6690"/>
            <w:shd w:val="clear" w:color="auto" w:fill="E8EEF6"/>
          </w:tcPr>
          <w:p>
            <w:pPr>
              <w:spacing w:after="0" w:before="0"/>
            </w:pPr>
            <w:r/>
            <w:r>
              <w:rPr>
                <w:rFonts w:ascii="Arial" w:hAnsi="Arial"/>
                <w:b w:val="0"/>
                <w:sz w:val="15"/>
              </w:rPr>
              <w:t>Financial statement header; highly confidential (FR-FIN-002/005/006, BR-FIN-001..004, section 8)</w:t>
            </w:r>
          </w:p>
        </w:tc>
        <w:tc>
          <w:tcPr>
            <w:tcW w:type="dxa" w:w="2948"/>
            <w:shd w:val="clear" w:color="auto" w:fill="E8EEF6"/>
          </w:tcPr>
          <w:p>
            <w:pPr>
              <w:spacing w:after="0" w:before="0"/>
            </w:pPr>
            <w:r/>
            <w:r>
              <w:rPr>
                <w:rFonts w:ascii="Arial" w:hAnsi="Arial"/>
                <w:b w:val="0"/>
                <w:sz w:val="15"/>
              </w:rPr>
              <w:t>FinancialStatementId</w:t>
            </w:r>
          </w:p>
        </w:tc>
        <w:tc>
          <w:tcPr>
            <w:tcW w:type="dxa" w:w="794"/>
            <w:shd w:val="clear" w:color="auto" w:fill="E8EEF6"/>
          </w:tcPr>
          <w:p>
            <w:pPr>
              <w:spacing w:after="0" w:before="0"/>
            </w:pPr>
            <w:r/>
            <w:r>
              <w:rPr>
                <w:rFonts w:ascii="Arial" w:hAnsi="Arial"/>
                <w:b w:val="0"/>
                <w:sz w:val="15"/>
              </w:rPr>
              <w:t>8</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fin.IndustryProfile</w:t>
            </w:r>
          </w:p>
        </w:tc>
        <w:tc>
          <w:tcPr>
            <w:tcW w:type="dxa" w:w="6690"/>
          </w:tcPr>
          <w:p>
            <w:pPr>
              <w:spacing w:after="0" w:before="0"/>
            </w:pPr>
            <w:r/>
            <w:r>
              <w:rPr>
                <w:rFonts w:ascii="Arial" w:hAnsi="Arial"/>
                <w:b w:val="0"/>
                <w:sz w:val="15"/>
              </w:rPr>
              <w:t>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948"/>
          </w:tcPr>
          <w:p>
            <w:pPr>
              <w:spacing w:after="0" w:before="0"/>
            </w:pPr>
            <w:r/>
            <w:r>
              <w:rPr>
                <w:rFonts w:ascii="Arial" w:hAnsi="Arial"/>
                <w:b w:val="0"/>
                <w:sz w:val="15"/>
              </w:rPr>
              <w:t>IndustryProfileId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fin.IndustrySensitivity</w:t>
            </w:r>
          </w:p>
        </w:tc>
        <w:tc>
          <w:tcPr>
            <w:tcW w:type="dxa" w:w="6690"/>
            <w:shd w:val="clear" w:color="auto" w:fill="E8EEF6"/>
          </w:tcPr>
          <w:p>
            <w:pPr>
              <w:spacing w:after="0" w:before="0"/>
            </w:pPr>
            <w:r/>
            <w:r>
              <w:rPr>
                <w:rFonts w:ascii="Arial" w:hAnsi="Arial"/>
                <w:b w:val="0"/>
                <w:sz w:val="15"/>
              </w:rPr>
              <w:t>The sensitivity 0 (none) to 5 (extreme) of an activity to a driver of stress (docs/35 section 14)</w:t>
            </w:r>
          </w:p>
        </w:tc>
        <w:tc>
          <w:tcPr>
            <w:tcW w:type="dxa" w:w="2948"/>
            <w:shd w:val="clear" w:color="auto" w:fill="E8EEF6"/>
          </w:tcPr>
          <w:p>
            <w:pPr>
              <w:spacing w:after="0" w:before="0"/>
            </w:pPr>
            <w:r/>
            <w:r>
              <w:rPr>
                <w:rFonts w:ascii="Arial" w:hAnsi="Arial"/>
                <w:b w:val="0"/>
                <w:sz w:val="15"/>
              </w:rPr>
              <w:t>IndustrySensitivityId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fin.EarlyWarningAlert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fin.EarlyWarningAlert</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Nature, 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Nature,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fin.IndustryProfile</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fin.IndustryProfile</w:t>
            </w:r>
          </w:p>
        </w:tc>
        <w:tc>
          <w:tcPr>
            <w:tcW w:type="dxa" w:w="2948"/>
            <w:shd w:val="clear" w:color="auto" w:fill="E8EEF6"/>
          </w:tcPr>
          <w:p>
            <w:pPr>
              <w:spacing w:after="0" w:before="0"/>
            </w:pPr>
            <w:r/>
            <w:r>
              <w:rPr>
                <w:rFonts w:ascii="Arial" w:hAnsi="Arial"/>
                <w:b w:val="0"/>
                <w:sz w:val="15"/>
              </w:rPr>
              <w:t>CeilingGradeId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fin.IndustrySensitivity</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fin.IndustrySensitivity</w:t>
            </w:r>
          </w:p>
        </w:tc>
        <w:tc>
          <w:tcPr>
            <w:tcW w:type="dxa" w:w="2948"/>
            <w:shd w:val="clear" w:color="auto" w:fill="E8EEF6"/>
          </w:tcPr>
          <w:p>
            <w:pPr>
              <w:spacing w:after="0" w:before="0"/>
            </w:pPr>
            <w:r/>
            <w:r>
              <w:rPr>
                <w:rFonts w:ascii="Arial" w:hAnsi="Arial"/>
                <w:b w:val="0"/>
                <w:sz w:val="15"/>
              </w:rPr>
              <w:t>ShockDriverId</w:t>
            </w:r>
          </w:p>
        </w:tc>
        <w:tc>
          <w:tcPr>
            <w:tcW w:type="dxa" w:w="2721"/>
            <w:shd w:val="clear" w:color="auto" w:fill="E8EEF6"/>
          </w:tcPr>
          <w:p>
            <w:pPr>
              <w:spacing w:after="0" w:before="0"/>
            </w:pPr>
            <w:r/>
            <w:r>
              <w:rPr>
                <w:rFonts w:ascii="Arial" w:hAnsi="Arial"/>
                <w:b w:val="0"/>
                <w:sz w:val="15"/>
              </w:rPr>
              <w:t>fin.ShockDriver</w:t>
            </w:r>
          </w:p>
        </w:tc>
        <w:tc>
          <w:tcPr>
            <w:tcW w:type="dxa" w:w="2948"/>
            <w:shd w:val="clear" w:color="auto" w:fill="E8EEF6"/>
          </w:tcPr>
          <w:p>
            <w:pPr>
              <w:spacing w:after="0" w:before="0"/>
            </w:pPr>
            <w:r/>
            <w:r>
              <w:rPr>
                <w:rFonts w:ascii="Arial" w:hAnsi="Arial"/>
                <w:b w:val="0"/>
                <w:sz w:val="15"/>
              </w:rPr>
              <w:t>ShockDriverId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13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06160" cy="5029581"/>
            <wp:docPr id="60" name="Picture 60"/>
            <wp:cNvGraphicFramePr>
              <a:graphicFrameLocks noChangeAspect="1"/>
            </wp:cNvGraphicFramePr>
            <a:graphic>
              <a:graphicData uri="http://schemas.openxmlformats.org/drawingml/2006/picture">
                <pic:pic>
                  <pic:nvPicPr>
                    <pic:cNvPr id="0" name="m5_financials_13.png"/>
                    <pic:cNvPicPr/>
                  </pic:nvPicPr>
                  <pic:blipFill>
                    <a:blip r:embed="rId70"/>
                    <a:stretch>
                      <a:fillRect/>
                    </a:stretch>
                  </pic:blipFill>
                  <pic:spPr>
                    <a:xfrm>
                      <a:off x="0" y="0"/>
                      <a:ext cx="6106160" cy="5029581"/>
                    </a:xfrm>
                    <a:prstGeom prst="rect"/>
                  </pic:spPr>
                </pic:pic>
              </a:graphicData>
            </a:graphic>
          </wp:inline>
        </w:drawing>
      </w:r>
    </w:p>
    <w:p>
      <w:pPr>
        <w:spacing w:after="120"/>
        <w:jc w:val="center"/>
      </w:pPr>
      <w:r>
        <w:rPr>
          <w:rFonts w:ascii="Arial" w:hAnsi="Arial"/>
          <w:b w:val="0"/>
          <w:i/>
          <w:color w:val="6B7280"/>
          <w:sz w:val="16"/>
        </w:rPr>
        <w:t>Figure 60  Financial statements and balances (part 13 of 18)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fin.LenderRating</w:t>
            </w:r>
          </w:p>
        </w:tc>
        <w:tc>
          <w:tcPr>
            <w:tcW w:type="dxa" w:w="6690"/>
          </w:tcPr>
          <w:p>
            <w:pPr>
              <w:spacing w:after="0" w:before="0"/>
            </w:pPr>
            <w:r/>
            <w:r>
              <w:rPr>
                <w:rFonts w:ascii="Arial" w:hAnsi="Arial"/>
                <w:b w:val="0"/>
                <w:sz w:val="15"/>
              </w:rPr>
              <w:t>A rating of the company that a lender communicated to it: the lender's own grade and its equivalent on the 21-grade scale (given by the lender or mapped by the treasury), with what the lender said; compared with the company's assessment of that date (docs/36 F6, ADR 0026)</w:t>
            </w:r>
          </w:p>
        </w:tc>
        <w:tc>
          <w:tcPr>
            <w:tcW w:type="dxa" w:w="2948"/>
          </w:tcPr>
          <w:p>
            <w:pPr>
              <w:spacing w:after="0" w:before="0"/>
            </w:pPr>
            <w:r/>
            <w:r>
              <w:rPr>
                <w:rFonts w:ascii="Arial" w:hAnsi="Arial"/>
                <w:b w:val="0"/>
                <w:sz w:val="15"/>
              </w:rPr>
              <w:t>LenderRatingId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fin.LineCatalogItem</w:t>
            </w:r>
          </w:p>
        </w:tc>
        <w:tc>
          <w:tcPr>
            <w:tcW w:type="dxa" w:w="6690"/>
            <w:shd w:val="clear" w:color="auto" w:fill="E8EEF6"/>
          </w:tcPr>
          <w:p>
            <w:pPr>
              <w:spacing w:after="0" w:before="0"/>
            </w:pPr>
            <w:r/>
            <w:r>
              <w:rPr>
                <w:rFonts w:ascii="Arial" w:hAnsi="Arial"/>
                <w:b w:val="0"/>
                <w:sz w:val="15"/>
              </w:rPr>
              <w:t>Standard statement line item; 51 items seeded, twelve of them for the credit assessment; system items used in formulas cannot be deleted (FR-FIN-001, FR-FIN-020, CatalogBase)</w:t>
            </w:r>
          </w:p>
        </w:tc>
        <w:tc>
          <w:tcPr>
            <w:tcW w:type="dxa" w:w="2948"/>
            <w:shd w:val="clear" w:color="auto" w:fill="E8EEF6"/>
          </w:tcPr>
          <w:p>
            <w:pPr>
              <w:spacing w:after="0" w:before="0"/>
            </w:pPr>
            <w:r/>
            <w:r>
              <w:rPr>
                <w:rFonts w:ascii="Arial" w:hAnsi="Arial"/>
                <w:b w:val="0"/>
                <w:sz w:val="15"/>
              </w:rPr>
              <w:t>LineCatalogItemId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fin.MacroScenario</w:t>
            </w:r>
          </w:p>
        </w:tc>
        <w:tc>
          <w:tcPr>
            <w:tcW w:type="dxa" w:w="6690"/>
            <w:shd w:val="clear" w:color="auto" w:fill="E8EEF6"/>
          </w:tcPr>
          <w:p>
            <w:pPr>
              <w:spacing w:after="0" w:before="0"/>
            </w:pPr>
            <w:r/>
            <w:r>
              <w:rPr>
                <w:rFonts w:ascii="Arial" w:hAnsi="Arial"/>
                <w:b w:val="0"/>
                <w:sz w:val="15"/>
              </w:rPr>
              <w:t>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2948"/>
            <w:shd w:val="clear" w:color="auto" w:fill="E8EEF6"/>
          </w:tcPr>
          <w:p>
            <w:pPr>
              <w:spacing w:after="0" w:before="0"/>
            </w:pPr>
            <w:r/>
            <w:r>
              <w:rPr>
                <w:rFonts w:ascii="Arial" w:hAnsi="Arial"/>
                <w:b w:val="0"/>
                <w:sz w:val="15"/>
              </w:rPr>
              <w:t>MacroScenarioId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fin.LenderRating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fin.LenderRating</w:t>
            </w:r>
          </w:p>
        </w:tc>
        <w:tc>
          <w:tcPr>
            <w:tcW w:type="dxa" w:w="2948"/>
            <w:shd w:val="clear" w:color="auto" w:fill="E8EEF6"/>
          </w:tcPr>
          <w:p>
            <w:pPr>
              <w:spacing w:after="0" w:before="0"/>
            </w:pPr>
            <w:r/>
            <w:r>
              <w:rPr>
                <w:rFonts w:ascii="Arial" w:hAnsi="Arial"/>
                <w:b w:val="0"/>
                <w:sz w:val="15"/>
              </w:rPr>
              <w:t>LenderInstitutionId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fin.LenderRating</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fin.LenderRating</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fin.LenderRating</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fin.LenderRating</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14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48730" cy="7841326"/>
            <wp:docPr id="61" name="Picture 61"/>
            <wp:cNvGraphicFramePr>
              <a:graphicFrameLocks noChangeAspect="1"/>
            </wp:cNvGraphicFramePr>
            <a:graphic>
              <a:graphicData uri="http://schemas.openxmlformats.org/drawingml/2006/picture">
                <pic:pic>
                  <pic:nvPicPr>
                    <pic:cNvPr id="0" name="m5_financials_14.png"/>
                    <pic:cNvPicPr/>
                  </pic:nvPicPr>
                  <pic:blipFill>
                    <a:blip r:embed="rId71"/>
                    <a:stretch>
                      <a:fillRect/>
                    </a:stretch>
                  </pic:blipFill>
                  <pic:spPr>
                    <a:xfrm>
                      <a:off x="0" y="0"/>
                      <a:ext cx="6348730" cy="7841326"/>
                    </a:xfrm>
                    <a:prstGeom prst="rect"/>
                  </pic:spPr>
                </pic:pic>
              </a:graphicData>
            </a:graphic>
          </wp:inline>
        </w:drawing>
      </w:r>
    </w:p>
    <w:p>
      <w:pPr>
        <w:spacing w:after="120"/>
        <w:jc w:val="center"/>
      </w:pPr>
      <w:r>
        <w:rPr>
          <w:rFonts w:ascii="Arial" w:hAnsi="Arial"/>
          <w:b w:val="0"/>
          <w:i/>
          <w:color w:val="6B7280"/>
          <w:sz w:val="16"/>
        </w:rPr>
        <w:t>Figure 61  Financial statements and balances (part 14 of 18)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fin.MacroScenarioCountry</w:t>
            </w:r>
          </w:p>
        </w:tc>
        <w:tc>
          <w:tcPr>
            <w:tcW w:type="dxa" w:w="6690"/>
          </w:tcPr>
          <w:p>
            <w:pPr>
              <w:spacing w:after="0" w:before="0"/>
            </w:pPr>
            <w:r/>
            <w:r>
              <w:rPr>
                <w:rFonts w:ascii="Arial" w:hAnsi="Arial"/>
                <w:b w:val="0"/>
                <w:sz w:val="15"/>
              </w:rPr>
              <w:t>The multiplier of a macro scenario's stress for a country it hits more or less than others; a country without a row takes the scenario's OtherCountryMult (docs/35 section 14, ADR 0020)</w:t>
            </w:r>
          </w:p>
        </w:tc>
        <w:tc>
          <w:tcPr>
            <w:tcW w:type="dxa" w:w="2948"/>
          </w:tcPr>
          <w:p>
            <w:pPr>
              <w:spacing w:after="0" w:before="0"/>
            </w:pPr>
            <w:r/>
            <w:r>
              <w:rPr>
                <w:rFonts w:ascii="Arial" w:hAnsi="Arial"/>
                <w:b w:val="0"/>
                <w:sz w:val="15"/>
              </w:rPr>
              <w:t>MacroScenarioCountryId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fin.MacroScenarioIntensity</w:t>
            </w:r>
          </w:p>
        </w:tc>
        <w:tc>
          <w:tcPr>
            <w:tcW w:type="dxa" w:w="6690"/>
            <w:shd w:val="clear" w:color="auto" w:fill="E8EEF6"/>
          </w:tcPr>
          <w:p>
            <w:pPr>
              <w:spacing w:after="0" w:before="0"/>
            </w:pPr>
            <w:r/>
            <w:r>
              <w:rPr>
                <w:rFonts w:ascii="Arial" w:hAnsi="Arial"/>
                <w:b w:val="0"/>
                <w:sz w:val="15"/>
              </w:rPr>
              <w:t>The intensity 0 to 1 of a driver in a macro scenario (docs/35 section 14)</w:t>
            </w:r>
          </w:p>
        </w:tc>
        <w:tc>
          <w:tcPr>
            <w:tcW w:type="dxa" w:w="2948"/>
            <w:shd w:val="clear" w:color="auto" w:fill="E8EEF6"/>
          </w:tcPr>
          <w:p>
            <w:pPr>
              <w:spacing w:after="0" w:before="0"/>
            </w:pPr>
            <w:r/>
            <w:r>
              <w:rPr>
                <w:rFonts w:ascii="Arial" w:hAnsi="Arial"/>
                <w:b w:val="0"/>
                <w:sz w:val="15"/>
              </w:rPr>
              <w:t>MacroScenarioIntensityId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fin.MeasureFormula</w:t>
            </w:r>
          </w:p>
        </w:tc>
        <w:tc>
          <w:tcPr>
            <w:tcW w:type="dxa" w:w="6690"/>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tcPr>
          <w:p>
            <w:pPr>
              <w:spacing w:after="0" w:before="0"/>
            </w:pPr>
            <w:r/>
            <w:r>
              <w:rPr>
                <w:rFonts w:ascii="Arial" w:hAnsi="Arial"/>
                <w:b w:val="0"/>
                <w:sz w:val="15"/>
              </w:rPr>
              <w:t>MeasureFormulaId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fin.PresentationVersion</w:t>
            </w:r>
          </w:p>
        </w:tc>
        <w:tc>
          <w:tcPr>
            <w:tcW w:type="dxa" w:w="6690"/>
            <w:shd w:val="clear" w:color="auto" w:fill="E8EEF6"/>
          </w:tcPr>
          <w:p>
            <w:pPr>
              <w:spacing w:after="0" w:before="0"/>
            </w:pPr>
            <w:r/>
            <w:r>
              <w:rPr>
                <w:rFonts w:ascii="Arial" w:hAnsi="Arial"/>
                <w:b w:val="0"/>
                <w:sz w:val="15"/>
              </w:rPr>
              <w:t>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2948"/>
            <w:shd w:val="clear" w:color="auto" w:fill="E8EEF6"/>
          </w:tcPr>
          <w:p>
            <w:pPr>
              <w:spacing w:after="0" w:before="0"/>
            </w:pPr>
            <w:r/>
            <w:r>
              <w:rPr>
                <w:rFonts w:ascii="Arial" w:hAnsi="Arial"/>
                <w:b w:val="0"/>
                <w:sz w:val="15"/>
              </w:rPr>
              <w:t>PresentationVersionId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fin.MacroScenarioCountry</w:t>
            </w:r>
          </w:p>
        </w:tc>
        <w:tc>
          <w:tcPr>
            <w:tcW w:type="dxa" w:w="2948"/>
          </w:tcPr>
          <w:p>
            <w:pPr>
              <w:spacing w:after="0" w:before="0"/>
            </w:pPr>
            <w:r/>
            <w:r>
              <w:rPr>
                <w:rFonts w:ascii="Arial" w:hAnsi="Arial"/>
                <w:b w:val="0"/>
                <w:sz w:val="15"/>
              </w:rPr>
              <w:t>MacroScenarioId</w:t>
            </w:r>
          </w:p>
        </w:tc>
        <w:tc>
          <w:tcPr>
            <w:tcW w:type="dxa" w:w="2721"/>
          </w:tcPr>
          <w:p>
            <w:pPr>
              <w:spacing w:after="0" w:before="0"/>
            </w:pPr>
            <w:r/>
            <w:r>
              <w:rPr>
                <w:rFonts w:ascii="Arial" w:hAnsi="Arial"/>
                <w:b w:val="0"/>
                <w:sz w:val="15"/>
              </w:rPr>
              <w:t>fin.MacroScenario</w:t>
            </w:r>
          </w:p>
        </w:tc>
        <w:tc>
          <w:tcPr>
            <w:tcW w:type="dxa" w:w="2948"/>
          </w:tcPr>
          <w:p>
            <w:pPr>
              <w:spacing w:after="0" w:before="0"/>
            </w:pPr>
            <w:r/>
            <w:r>
              <w:rPr>
                <w:rFonts w:ascii="Arial" w:hAnsi="Arial"/>
                <w:b w:val="0"/>
                <w:sz w:val="15"/>
              </w:rPr>
              <w:t>MacroScenarioId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fin.MacroScenarioCountry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fin.MacroScenarioIntensity</w:t>
            </w:r>
          </w:p>
        </w:tc>
        <w:tc>
          <w:tcPr>
            <w:tcW w:type="dxa" w:w="2948"/>
          </w:tcPr>
          <w:p>
            <w:pPr>
              <w:spacing w:after="0" w:before="0"/>
            </w:pPr>
            <w:r/>
            <w:r>
              <w:rPr>
                <w:rFonts w:ascii="Arial" w:hAnsi="Arial"/>
                <w:b w:val="0"/>
                <w:sz w:val="15"/>
              </w:rPr>
              <w:t>MacroScenarioId</w:t>
            </w:r>
          </w:p>
        </w:tc>
        <w:tc>
          <w:tcPr>
            <w:tcW w:type="dxa" w:w="2721"/>
          </w:tcPr>
          <w:p>
            <w:pPr>
              <w:spacing w:after="0" w:before="0"/>
            </w:pPr>
            <w:r/>
            <w:r>
              <w:rPr>
                <w:rFonts w:ascii="Arial" w:hAnsi="Arial"/>
                <w:b w:val="0"/>
                <w:sz w:val="15"/>
              </w:rPr>
              <w:t>fin.MacroScenario</w:t>
            </w:r>
          </w:p>
        </w:tc>
        <w:tc>
          <w:tcPr>
            <w:tcW w:type="dxa" w:w="2948"/>
          </w:tcPr>
          <w:p>
            <w:pPr>
              <w:spacing w:after="0" w:before="0"/>
            </w:pPr>
            <w:r/>
            <w:r>
              <w:rPr>
                <w:rFonts w:ascii="Arial" w:hAnsi="Arial"/>
                <w:b w:val="0"/>
                <w:sz w:val="15"/>
              </w:rPr>
              <w:t>MacroScenarioId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fin.MacroScenarioIntensity</w:t>
            </w:r>
          </w:p>
        </w:tc>
        <w:tc>
          <w:tcPr>
            <w:tcW w:type="dxa" w:w="2948"/>
            <w:shd w:val="clear" w:color="auto" w:fill="E8EEF6"/>
          </w:tcPr>
          <w:p>
            <w:pPr>
              <w:spacing w:after="0" w:before="0"/>
            </w:pPr>
            <w:r/>
            <w:r>
              <w:rPr>
                <w:rFonts w:ascii="Arial" w:hAnsi="Arial"/>
                <w:b w:val="0"/>
                <w:sz w:val="15"/>
              </w:rPr>
              <w:t>ShockDriverId</w:t>
            </w:r>
          </w:p>
        </w:tc>
        <w:tc>
          <w:tcPr>
            <w:tcW w:type="dxa" w:w="2721"/>
            <w:shd w:val="clear" w:color="auto" w:fill="E8EEF6"/>
          </w:tcPr>
          <w:p>
            <w:pPr>
              <w:spacing w:after="0" w:before="0"/>
            </w:pPr>
            <w:r/>
            <w:r>
              <w:rPr>
                <w:rFonts w:ascii="Arial" w:hAnsi="Arial"/>
                <w:b w:val="0"/>
                <w:sz w:val="15"/>
              </w:rPr>
              <w:t>fin.ShockDriver</w:t>
            </w:r>
          </w:p>
        </w:tc>
        <w:tc>
          <w:tcPr>
            <w:tcW w:type="dxa" w:w="2948"/>
            <w:shd w:val="clear" w:color="auto" w:fill="E8EEF6"/>
          </w:tcPr>
          <w:p>
            <w:pPr>
              <w:spacing w:after="0" w:before="0"/>
            </w:pPr>
            <w:r/>
            <w:r>
              <w:rPr>
                <w:rFonts w:ascii="Arial" w:hAnsi="Arial"/>
                <w:b w:val="0"/>
                <w:sz w:val="15"/>
              </w:rPr>
              <w:t>ShockDriverId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BaseTemplateId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SourceStatementId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SourceAssessmentId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ResultStatementId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TrialAssessmentId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ChosenBy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15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33820" cy="7672373"/>
            <wp:docPr id="62" name="Picture 62"/>
            <wp:cNvGraphicFramePr>
              <a:graphicFrameLocks noChangeAspect="1"/>
            </wp:cNvGraphicFramePr>
            <a:graphic>
              <a:graphicData uri="http://schemas.openxmlformats.org/drawingml/2006/picture">
                <pic:pic>
                  <pic:nvPicPr>
                    <pic:cNvPr id="0" name="m5_financials_15.png"/>
                    <pic:cNvPicPr/>
                  </pic:nvPicPr>
                  <pic:blipFill>
                    <a:blip r:embed="rId72"/>
                    <a:stretch>
                      <a:fillRect/>
                    </a:stretch>
                  </pic:blipFill>
                  <pic:spPr>
                    <a:xfrm>
                      <a:off x="0" y="0"/>
                      <a:ext cx="6433820" cy="7672373"/>
                    </a:xfrm>
                    <a:prstGeom prst="rect"/>
                  </pic:spPr>
                </pic:pic>
              </a:graphicData>
            </a:graphic>
          </wp:inline>
        </w:drawing>
      </w:r>
    </w:p>
    <w:p>
      <w:pPr>
        <w:spacing w:after="120"/>
        <w:jc w:val="center"/>
      </w:pPr>
      <w:r>
        <w:rPr>
          <w:rFonts w:ascii="Arial" w:hAnsi="Arial"/>
          <w:b w:val="0"/>
          <w:i/>
          <w:color w:val="6B7280"/>
          <w:sz w:val="16"/>
        </w:rPr>
        <w:t>Figure 62  Financial statements and balances (part 15 of 18)  ·  4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fin.PresentationVersionStep</w:t>
            </w:r>
          </w:p>
        </w:tc>
        <w:tc>
          <w:tcPr>
            <w:tcW w:type="dxa" w:w="6690"/>
          </w:tcPr>
          <w:p>
            <w:pPr>
              <w:spacing w:after="0" w:before="0"/>
            </w:pPr>
            <w:r/>
            <w:r>
              <w:rPr>
                <w:rFonts w:ascii="Arial" w:hAnsi="Arial"/>
                <w:b w:val="0"/>
                <w:sz w:val="15"/>
              </w:rPr>
              <w:t>A remedy of the methodology the company chose for a presentation version, in order, with the document that supports it; the amount it moved is written by the build (docs/36 F2, ADR 0023)</w:t>
            </w:r>
          </w:p>
        </w:tc>
        <w:tc>
          <w:tcPr>
            <w:tcW w:type="dxa" w:w="2948"/>
          </w:tcPr>
          <w:p>
            <w:pPr>
              <w:spacing w:after="0" w:before="0"/>
            </w:pPr>
            <w:r/>
            <w:r>
              <w:rPr>
                <w:rFonts w:ascii="Arial" w:hAnsi="Arial"/>
                <w:b w:val="0"/>
                <w:sz w:val="15"/>
              </w:rPr>
              <w:t>PresentationVersionStepId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fin.ProductCategory</w:t>
            </w:r>
          </w:p>
        </w:tc>
        <w:tc>
          <w:tcPr>
            <w:tcW w:type="dxa" w:w="6690"/>
            <w:shd w:val="clear" w:color="auto" w:fill="E8EEF6"/>
          </w:tcPr>
          <w:p>
            <w:pPr>
              <w:spacing w:after="0" w:before="0"/>
            </w:pPr>
            <w:r/>
            <w:r>
              <w:rPr>
                <w:rFonts w:ascii="Arial" w:hAnsi="Arial"/>
                <w:b w:val="0"/>
                <w:sz w:val="15"/>
              </w:rPr>
              <w:t>A category of products or services and its credit behaviour: cash-flow quality, revenue sensitivity, inventory sale value and time to sell in normal, stagnant and crisis markets (docs/35 section 5)</w:t>
            </w:r>
          </w:p>
        </w:tc>
        <w:tc>
          <w:tcPr>
            <w:tcW w:type="dxa" w:w="2948"/>
            <w:shd w:val="clear" w:color="auto" w:fill="E8EEF6"/>
          </w:tcPr>
          <w:p>
            <w:pPr>
              <w:spacing w:after="0" w:before="0"/>
            </w:pPr>
            <w:r/>
            <w:r>
              <w:rPr>
                <w:rFonts w:ascii="Arial" w:hAnsi="Arial"/>
                <w:b w:val="0"/>
                <w:sz w:val="15"/>
              </w:rPr>
              <w:t>ProductCategoryId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fin.RatingGrade</w:t>
            </w:r>
          </w:p>
        </w:tc>
        <w:tc>
          <w:tcPr>
            <w:tcW w:type="dxa" w:w="6690"/>
          </w:tcPr>
          <w:p>
            <w:pPr>
              <w:spacing w:after="0" w:before="0"/>
            </w:pPr>
            <w:r/>
            <w:r>
              <w:rPr>
                <w:rFonts w:ascii="Arial" w:hAnsi="Arial"/>
                <w:b w:val="0"/>
                <w:sz w:val="15"/>
              </w:rPr>
              <w:t>The 21 grades of the Moody's long-term scale, their range on the scorecard continuum and their risk band (docs/35 section 2, BR-FIN-018)</w:t>
            </w:r>
          </w:p>
        </w:tc>
        <w:tc>
          <w:tcPr>
            <w:tcW w:type="dxa" w:w="2948"/>
          </w:tcPr>
          <w:p>
            <w:pPr>
              <w:spacing w:after="0" w:before="0"/>
            </w:pPr>
            <w:r/>
            <w:r>
              <w:rPr>
                <w:rFonts w:ascii="Arial" w:hAnsi="Arial"/>
                <w:b w:val="0"/>
                <w:sz w:val="15"/>
              </w:rPr>
              <w:t>RatingGradeId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fin.RevenueEstimate</w:t>
            </w:r>
          </w:p>
        </w:tc>
        <w:tc>
          <w:tcPr>
            <w:tcW w:type="dxa" w:w="6690"/>
            <w:shd w:val="clear" w:color="auto" w:fill="E8EEF6"/>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2948"/>
            <w:shd w:val="clear" w:color="auto" w:fill="E8EEF6"/>
          </w:tcPr>
          <w:p>
            <w:pPr>
              <w:spacing w:after="0" w:before="0"/>
            </w:pPr>
            <w:r/>
            <w:r>
              <w:rPr>
                <w:rFonts w:ascii="Arial" w:hAnsi="Arial"/>
                <w:b w:val="0"/>
                <w:sz w:val="15"/>
              </w:rPr>
              <w:t>RevenueEstimateId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fin.PresentationVersionStep</w:t>
            </w:r>
          </w:p>
        </w:tc>
        <w:tc>
          <w:tcPr>
            <w:tcW w:type="dxa" w:w="2948"/>
          </w:tcPr>
          <w:p>
            <w:pPr>
              <w:spacing w:after="0" w:before="0"/>
            </w:pPr>
            <w:r/>
            <w:r>
              <w:rPr>
                <w:rFonts w:ascii="Arial" w:hAnsi="Arial"/>
                <w:b w:val="0"/>
                <w:sz w:val="15"/>
              </w:rPr>
              <w:t>VersionId</w:t>
            </w:r>
          </w:p>
        </w:tc>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PresentationVersionId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fin.PresentationVersionStep</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fin.PresentationVersionStep</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16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9076690" cy="4305609"/>
            <wp:docPr id="63" name="Picture 63"/>
            <wp:cNvGraphicFramePr>
              <a:graphicFrameLocks noChangeAspect="1"/>
            </wp:cNvGraphicFramePr>
            <a:graphic>
              <a:graphicData uri="http://schemas.openxmlformats.org/drawingml/2006/picture">
                <pic:pic>
                  <pic:nvPicPr>
                    <pic:cNvPr id="0" name="m5_financials_16.png"/>
                    <pic:cNvPicPr/>
                  </pic:nvPicPr>
                  <pic:blipFill>
                    <a:blip r:embed="rId73"/>
                    <a:stretch>
                      <a:fillRect/>
                    </a:stretch>
                  </pic:blipFill>
                  <pic:spPr>
                    <a:xfrm>
                      <a:off x="0" y="0"/>
                      <a:ext cx="9076690" cy="4305609"/>
                    </a:xfrm>
                    <a:prstGeom prst="rect"/>
                  </pic:spPr>
                </pic:pic>
              </a:graphicData>
            </a:graphic>
          </wp:inline>
        </w:drawing>
      </w:r>
    </w:p>
    <w:p>
      <w:pPr>
        <w:spacing w:after="120"/>
        <w:jc w:val="center"/>
      </w:pPr>
      <w:r>
        <w:rPr>
          <w:rFonts w:ascii="Arial" w:hAnsi="Arial"/>
          <w:b w:val="0"/>
          <w:i/>
          <w:color w:val="6B7280"/>
          <w:sz w:val="16"/>
        </w:rPr>
        <w:t>Figure 63  Financial statements and balances (part 16 of 18)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fin.RiskAnchor</w:t>
            </w:r>
          </w:p>
        </w:tc>
        <w:tc>
          <w:tcPr>
            <w:tcW w:type="dxa" w:w="6690"/>
          </w:tcPr>
          <w:p>
            <w:pPr>
              <w:spacing w:after="0" w:before="0"/>
            </w:pPr>
            <w:r/>
            <w:r>
              <w:rPr>
                <w:rFonts w:ascii="Arial" w:hAnsi="Arial"/>
                <w:b w:val="0"/>
                <w:sz w:val="15"/>
              </w:rPr>
              <w:t>The anchor of a company's business risk from its country risk and its industry risk, a notch of the 21-grade scale: the computed sector risk sub-factor and the centre of the expected range (docs/35 section 13)</w:t>
            </w:r>
          </w:p>
        </w:tc>
        <w:tc>
          <w:tcPr>
            <w:tcW w:type="dxa" w:w="2948"/>
          </w:tcPr>
          <w:p>
            <w:pPr>
              <w:spacing w:after="0" w:before="0"/>
            </w:pPr>
            <w:r/>
            <w:r>
              <w:rPr>
                <w:rFonts w:ascii="Arial" w:hAnsi="Arial"/>
                <w:b w:val="0"/>
                <w:sz w:val="15"/>
              </w:rPr>
              <w:t>RiskAnchorId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w:t>
            </w:r>
          </w:p>
        </w:tc>
        <w:tc>
          <w:tcPr>
            <w:tcW w:type="dxa" w:w="6690"/>
            <w:shd w:val="clear" w:color="auto" w:fill="E8EEF6"/>
          </w:tcPr>
          <w:p>
            <w:pPr>
              <w:spacing w:after="0" w:before="0"/>
            </w:pPr>
            <w:r/>
            <w:r>
              <w:rPr>
                <w:rFonts w:ascii="Arial" w:hAnsi="Arial"/>
                <w:b w:val="0"/>
                <w:sz w:val="15"/>
              </w:rPr>
              <w:t>A sector scorecard of the credit assessment and its version; approved, it never changes and a change is a new version (docs/35 section 5, BR-FIN-023)</w:t>
            </w:r>
          </w:p>
        </w:tc>
        <w:tc>
          <w:tcPr>
            <w:tcW w:type="dxa" w:w="2948"/>
            <w:shd w:val="clear" w:color="auto" w:fill="E8EEF6"/>
          </w:tcPr>
          <w:p>
            <w:pPr>
              <w:spacing w:after="0" w:before="0"/>
            </w:pPr>
            <w:r/>
            <w:r>
              <w:rPr>
                <w:rFonts w:ascii="Arial" w:hAnsi="Arial"/>
                <w:b w:val="0"/>
                <w:sz w:val="15"/>
              </w:rPr>
              <w:t>ScorecardId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fin.ScorecardAdjustment</w:t>
            </w:r>
          </w:p>
        </w:tc>
        <w:tc>
          <w:tcPr>
            <w:tcW w:type="dxa" w:w="6690"/>
          </w:tcPr>
          <w:p>
            <w:pPr>
              <w:spacing w:after="0" w:before="0"/>
            </w:pPr>
            <w:r/>
            <w:r>
              <w:rPr>
                <w:rFonts w:ascii="Arial" w:hAnsi="Arial"/>
                <w:b w:val="0"/>
                <w:sz w:val="15"/>
              </w:rPr>
              <w:t>An adjustment of a scorecard: notches down, a standalone cap or an absolute cap on the best grade, applied in that order around group support and the override (docs/35 section 7)</w:t>
            </w:r>
          </w:p>
        </w:tc>
        <w:tc>
          <w:tcPr>
            <w:tcW w:type="dxa" w:w="2948"/>
          </w:tcPr>
          <w:p>
            <w:pPr>
              <w:spacing w:after="0" w:before="0"/>
            </w:pPr>
            <w:r/>
            <w:r>
              <w:rPr>
                <w:rFonts w:ascii="Arial" w:hAnsi="Arial"/>
                <w:b w:val="0"/>
                <w:sz w:val="15"/>
              </w:rPr>
              <w:t>ScorecardAdjustmentId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fin.ScorecardItemRule</w:t>
            </w:r>
          </w:p>
        </w:tc>
        <w:tc>
          <w:tcPr>
            <w:tcW w:type="dxa" w:w="6690"/>
            <w:shd w:val="clear" w:color="auto" w:fill="E8EEF6"/>
          </w:tcPr>
          <w:p>
            <w:pPr>
              <w:spacing w:after="0" w:before="0"/>
            </w:pPr>
            <w:r/>
            <w:r>
              <w:rPr>
                <w:rFonts w:ascii="Arial" w:hAnsi="Arial"/>
                <w:b w:val="0"/>
                <w:sz w:val="15"/>
              </w:rPr>
              <w:t>A balance-sheet item rule of a scorecard: the item, its metric and the thresholds of LOW, MODERATE, ELEVATED, HIGH and CRITICAL; a value on a threshold belongs to the worse level (docs/35 section 6)</w:t>
            </w:r>
          </w:p>
        </w:tc>
        <w:tc>
          <w:tcPr>
            <w:tcW w:type="dxa" w:w="2948"/>
            <w:shd w:val="clear" w:color="auto" w:fill="E8EEF6"/>
          </w:tcPr>
          <w:p>
            <w:pPr>
              <w:spacing w:after="0" w:before="0"/>
            </w:pPr>
            <w:r/>
            <w:r>
              <w:rPr>
                <w:rFonts w:ascii="Arial" w:hAnsi="Arial"/>
                <w:b w:val="0"/>
                <w:sz w:val="15"/>
              </w:rPr>
              <w:t>ScorecardItemRuleId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fin.ScorecardAdjustment</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fin.ScorecardAdjustment</w:t>
            </w:r>
          </w:p>
        </w:tc>
        <w:tc>
          <w:tcPr>
            <w:tcW w:type="dxa" w:w="2948"/>
          </w:tcPr>
          <w:p>
            <w:pPr>
              <w:spacing w:after="0" w:before="0"/>
            </w:pPr>
            <w:r/>
            <w:r>
              <w:rPr>
                <w:rFonts w:ascii="Arial" w:hAnsi="Arial"/>
                <w:b w:val="0"/>
                <w:sz w:val="15"/>
              </w:rPr>
              <w:t>CapGradeId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fin.ScorecardItemRule</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fin.ScorecardItemRule</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17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896610" cy="4450506"/>
            <wp:docPr id="64" name="Picture 64"/>
            <wp:cNvGraphicFramePr>
              <a:graphicFrameLocks noChangeAspect="1"/>
            </wp:cNvGraphicFramePr>
            <a:graphic>
              <a:graphicData uri="http://schemas.openxmlformats.org/drawingml/2006/picture">
                <pic:pic>
                  <pic:nvPicPr>
                    <pic:cNvPr id="0" name="m5_financials_17.png"/>
                    <pic:cNvPicPr/>
                  </pic:nvPicPr>
                  <pic:blipFill>
                    <a:blip r:embed="rId74"/>
                    <a:stretch>
                      <a:fillRect/>
                    </a:stretch>
                  </pic:blipFill>
                  <pic:spPr>
                    <a:xfrm>
                      <a:off x="0" y="0"/>
                      <a:ext cx="5896610" cy="4450506"/>
                    </a:xfrm>
                    <a:prstGeom prst="rect"/>
                  </pic:spPr>
                </pic:pic>
              </a:graphicData>
            </a:graphic>
          </wp:inline>
        </w:drawing>
      </w:r>
    </w:p>
    <w:p>
      <w:pPr>
        <w:spacing w:after="120"/>
        <w:jc w:val="center"/>
      </w:pPr>
      <w:r>
        <w:rPr>
          <w:rFonts w:ascii="Arial" w:hAnsi="Arial"/>
          <w:b w:val="0"/>
          <w:i/>
          <w:color w:val="6B7280"/>
          <w:sz w:val="16"/>
        </w:rPr>
        <w:t>Figure 64  Financial statements and balances (part 17 of 18)  ·  4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fin.ScorecardMetric</w:t>
            </w:r>
          </w:p>
        </w:tc>
        <w:tc>
          <w:tcPr>
            <w:tcW w:type="dxa" w:w="6690"/>
          </w:tcPr>
          <w:p>
            <w:pPr>
              <w:spacing w:after="0" w:before="0"/>
            </w:pPr>
            <w:r/>
            <w:r>
              <w:rPr>
                <w:rFonts w:ascii="Arial" w:hAnsi="Arial"/>
                <w:b w:val="0"/>
                <w:sz w:val="15"/>
              </w:rPr>
              <w:t>A metric of a scorecard: its factor, its weight and the nine boundaries of its grid (best cap, Aaa|Aa, Aa|A, A|Baa, Baa|Ba, Ba|B, B|Caa, Caa|Ca, worst cap); a qualitative metric has no grid (docs/35 section 5)</w:t>
            </w:r>
          </w:p>
        </w:tc>
        <w:tc>
          <w:tcPr>
            <w:tcW w:type="dxa" w:w="2948"/>
          </w:tcPr>
          <w:p>
            <w:pPr>
              <w:spacing w:after="0" w:before="0"/>
            </w:pPr>
            <w:r/>
            <w:r>
              <w:rPr>
                <w:rFonts w:ascii="Arial" w:hAnsi="Arial"/>
                <w:b w:val="0"/>
                <w:sz w:val="15"/>
              </w:rPr>
              <w:t>ScorecardMetricId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fin.ScorecardParameter</w:t>
            </w:r>
          </w:p>
        </w:tc>
        <w:tc>
          <w:tcPr>
            <w:tcW w:type="dxa" w:w="6690"/>
            <w:shd w:val="clear" w:color="auto" w:fill="E8EEF6"/>
          </w:tcPr>
          <w:p>
            <w:pPr>
              <w:spacing w:after="0" w:before="0"/>
            </w:pPr>
            <w:r/>
            <w:r>
              <w:rPr>
                <w:rFonts w:ascii="Arial" w:hAnsi="Arial"/>
                <w:b w:val="0"/>
                <w:sz w:val="15"/>
              </w:rPr>
              <w:t>A parameter of a scorecard version: a haircut of the break-up test, a collateral haircut, a band of the loss given default, a liquidity threshold, a cost rule; frozen with its scorecard (docs/35 sections 5, 9 and 10)</w:t>
            </w:r>
          </w:p>
        </w:tc>
        <w:tc>
          <w:tcPr>
            <w:tcW w:type="dxa" w:w="2948"/>
            <w:shd w:val="clear" w:color="auto" w:fill="E8EEF6"/>
          </w:tcPr>
          <w:p>
            <w:pPr>
              <w:spacing w:after="0" w:before="0"/>
            </w:pPr>
            <w:r/>
            <w:r>
              <w:rPr>
                <w:rFonts w:ascii="Arial" w:hAnsi="Arial"/>
                <w:b w:val="0"/>
                <w:sz w:val="15"/>
              </w:rPr>
              <w:t>ScorecardParameterId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fin.ScorecardSubfactor</w:t>
            </w:r>
          </w:p>
        </w:tc>
        <w:tc>
          <w:tcPr>
            <w:tcW w:type="dxa" w:w="6690"/>
          </w:tcPr>
          <w:p>
            <w:pPr>
              <w:spacing w:after="0" w:before="0"/>
            </w:pPr>
            <w:r/>
            <w:r>
              <w:rPr>
                <w:rFonts w:ascii="Arial" w:hAnsi="Arial"/>
                <w:b w:val="0"/>
                <w:sz w:val="15"/>
              </w:rPr>
              <w:t>A sub-factor of a qualitative factor of a scorecard, with its grading guide; the factor's grade is the average of the graded sub-factors when the analyst grades them (docs/35 section 5)</w:t>
            </w:r>
          </w:p>
        </w:tc>
        <w:tc>
          <w:tcPr>
            <w:tcW w:type="dxa" w:w="2948"/>
          </w:tcPr>
          <w:p>
            <w:pPr>
              <w:spacing w:after="0" w:before="0"/>
            </w:pPr>
            <w:r/>
            <w:r>
              <w:rPr>
                <w:rFonts w:ascii="Arial" w:hAnsi="Arial"/>
                <w:b w:val="0"/>
                <w:sz w:val="15"/>
              </w:rPr>
              <w:t>ScorecardSubfactorId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fin.ShockDriver</w:t>
            </w:r>
          </w:p>
        </w:tc>
        <w:tc>
          <w:tcPr>
            <w:tcW w:type="dxa" w:w="6690"/>
            <w:shd w:val="clear" w:color="auto" w:fill="E8EEF6"/>
          </w:tcPr>
          <w:p>
            <w:pPr>
              <w:spacing w:after="0" w:before="0"/>
            </w:pPr>
            <w:r/>
            <w:r>
              <w:rPr>
                <w:rFonts w:ascii="Arial" w:hAnsi="Arial"/>
                <w:b w:val="0"/>
                <w:sz w:val="15"/>
              </w:rPr>
              <w:t>A driver of stress: private demand, government spending, real estate, conflict, oil, credit, imports and currency; its effect at full intensity on revenue, gross margin and collection days (docs/35 section 14, ADR 0019)</w:t>
            </w:r>
          </w:p>
        </w:tc>
        <w:tc>
          <w:tcPr>
            <w:tcW w:type="dxa" w:w="2948"/>
            <w:shd w:val="clear" w:color="auto" w:fill="E8EEF6"/>
          </w:tcPr>
          <w:p>
            <w:pPr>
              <w:spacing w:after="0" w:before="0"/>
            </w:pPr>
            <w:r/>
            <w:r>
              <w:rPr>
                <w:rFonts w:ascii="Arial" w:hAnsi="Arial"/>
                <w:b w:val="0"/>
                <w:sz w:val="15"/>
              </w:rPr>
              <w:t>ShockDriverId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fin.ScorecardMetric</w:t>
            </w:r>
          </w:p>
        </w:tc>
        <w:tc>
          <w:tcPr>
            <w:tcW w:type="dxa" w:w="2948"/>
          </w:tcPr>
          <w:p>
            <w:pPr>
              <w:spacing w:after="0" w:before="0"/>
            </w:pPr>
            <w:r/>
            <w:r>
              <w:rPr>
                <w:rFonts w:ascii="Arial" w:hAnsi="Arial"/>
                <w:b w:val="0"/>
                <w:sz w:val="15"/>
              </w:rPr>
              <w:t>ScorecardId</w:t>
            </w:r>
          </w:p>
        </w:tc>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ScorecardId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fin.ScorecardMetric</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fin.ScorecardParameter</w:t>
            </w:r>
          </w:p>
        </w:tc>
        <w:tc>
          <w:tcPr>
            <w:tcW w:type="dxa" w:w="2948"/>
          </w:tcPr>
          <w:p>
            <w:pPr>
              <w:spacing w:after="0" w:before="0"/>
            </w:pPr>
            <w:r/>
            <w:r>
              <w:rPr>
                <w:rFonts w:ascii="Arial" w:hAnsi="Arial"/>
                <w:b w:val="0"/>
                <w:sz w:val="15"/>
              </w:rPr>
              <w:t>ScorecardId</w:t>
            </w:r>
          </w:p>
        </w:tc>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ScorecardId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fin.ScorecardSubfactor</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fin.ScorecardSubfactor</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18 of 18)</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84620" cy="7108141"/>
            <wp:docPr id="65" name="Picture 65"/>
            <wp:cNvGraphicFramePr>
              <a:graphicFrameLocks noChangeAspect="1"/>
            </wp:cNvGraphicFramePr>
            <a:graphic>
              <a:graphicData uri="http://schemas.openxmlformats.org/drawingml/2006/picture">
                <pic:pic>
                  <pic:nvPicPr>
                    <pic:cNvPr id="0" name="m5_financials_18.png"/>
                    <pic:cNvPicPr/>
                  </pic:nvPicPr>
                  <pic:blipFill>
                    <a:blip r:embed="rId75"/>
                    <a:stretch>
                      <a:fillRect/>
                    </a:stretch>
                  </pic:blipFill>
                  <pic:spPr>
                    <a:xfrm>
                      <a:off x="0" y="0"/>
                      <a:ext cx="6484620" cy="7108141"/>
                    </a:xfrm>
                    <a:prstGeom prst="rect"/>
                  </pic:spPr>
                </pic:pic>
              </a:graphicData>
            </a:graphic>
          </wp:inline>
        </w:drawing>
      </w:r>
    </w:p>
    <w:p>
      <w:pPr>
        <w:spacing w:after="120"/>
        <w:jc w:val="center"/>
      </w:pPr>
      <w:r>
        <w:rPr>
          <w:rFonts w:ascii="Arial" w:hAnsi="Arial"/>
          <w:b w:val="0"/>
          <w:i/>
          <w:color w:val="6B7280"/>
          <w:sz w:val="16"/>
        </w:rPr>
        <w:t>Figure 65  Financial statements and balances (part 18 of 18)  ·  6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fin.StandardLine</w:t>
            </w:r>
          </w:p>
        </w:tc>
        <w:tc>
          <w:tcPr>
            <w:tcW w:type="dxa" w:w="6690"/>
          </w:tcPr>
          <w:p>
            <w:pPr>
              <w:spacing w:after="0" w:before="0"/>
            </w:pPr>
            <w:r/>
            <w:r>
              <w:rPr>
                <w:rFonts w:ascii="Arial" w:hAnsi="Arial"/>
                <w:b w:val="0"/>
                <w:sz w:val="15"/>
              </w:rPr>
              <w:t>The standard statement line catalogue of the platform: every point of the statements the credit assessment reads, its kind and the line it breaks down; installed into a tenant's catalogue by fin.usp_InstallStandardLines (docs/35 section 4, FR-FIN-001)</w:t>
            </w:r>
          </w:p>
        </w:tc>
        <w:tc>
          <w:tcPr>
            <w:tcW w:type="dxa" w:w="2948"/>
          </w:tcPr>
          <w:p>
            <w:pPr>
              <w:spacing w:after="0" w:before="0"/>
            </w:pPr>
            <w:r/>
            <w:r>
              <w:rPr>
                <w:rFonts w:ascii="Arial" w:hAnsi="Arial"/>
                <w:b w:val="0"/>
                <w:sz w:val="15"/>
              </w:rPr>
              <w:t>StandardLineId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fin.StandardLineTotal</w:t>
            </w:r>
          </w:p>
        </w:tc>
        <w:tc>
          <w:tcPr>
            <w:tcW w:type="dxa" w:w="6690"/>
            <w:shd w:val="clear" w:color="auto" w:fill="E8EEF6"/>
          </w:tcPr>
          <w:p>
            <w:pPr>
              <w:spacing w:after="0" w:before="0"/>
            </w:pPr>
            <w:r/>
            <w:r>
              <w:rPr>
                <w:rFonts w:ascii="Arial" w:hAnsi="Arial"/>
                <w:b w:val="0"/>
                <w:sz w:val="15"/>
              </w:rPr>
              <w:t>The components of a standard total and their sign, so a total is recomputed after a pro-forma change (docs/35 section 12)</w:t>
            </w:r>
          </w:p>
        </w:tc>
        <w:tc>
          <w:tcPr>
            <w:tcW w:type="dxa" w:w="2948"/>
            <w:shd w:val="clear" w:color="auto" w:fill="E8EEF6"/>
          </w:tcPr>
          <w:p>
            <w:pPr>
              <w:spacing w:after="0" w:before="0"/>
            </w:pPr>
            <w:r/>
            <w:r>
              <w:rPr>
                <w:rFonts w:ascii="Arial" w:hAnsi="Arial"/>
                <w:b w:val="0"/>
                <w:sz w:val="15"/>
              </w:rPr>
              <w:t>StandardLineTotalId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fin.StatementRatio</w:t>
            </w:r>
          </w:p>
        </w:tc>
        <w:tc>
          <w:tcPr>
            <w:tcW w:type="dxa" w:w="6690"/>
            <w:shd w:val="clear" w:color="auto" w:fill="E8EEF6"/>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2948"/>
            <w:shd w:val="clear" w:color="auto" w:fill="E8EEF6"/>
          </w:tcPr>
          <w:p>
            <w:pPr>
              <w:spacing w:after="0" w:before="0"/>
            </w:pPr>
            <w:r/>
            <w:r>
              <w:rPr>
                <w:rFonts w:ascii="Arial" w:hAnsi="Arial"/>
                <w:b w:val="0"/>
                <w:sz w:val="15"/>
              </w:rPr>
              <w:t>StatementRatioId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fin.StrengtheningPlan</w:t>
            </w:r>
          </w:p>
        </w:tc>
        <w:tc>
          <w:tcPr>
            <w:tcW w:type="dxa" w:w="6690"/>
          </w:tcPr>
          <w:p>
            <w:pPr>
              <w:spacing w:after="0" w:before="0"/>
            </w:pPr>
            <w:r/>
            <w:r>
              <w:rPr>
                <w:rFonts w:ascii="Arial" w:hAnsi="Arial"/>
                <w:b w:val="0"/>
                <w:sz w:val="15"/>
              </w:rPr>
              <w:t>A ready-made plan to strengthen the statements: a package of remedies applied one after another, or the best plan the engine builds step by step from the remedies the findings call for (docs/35 section 12)</w:t>
            </w:r>
          </w:p>
        </w:tc>
        <w:tc>
          <w:tcPr>
            <w:tcW w:type="dxa" w:w="2948"/>
          </w:tcPr>
          <w:p>
            <w:pPr>
              <w:spacing w:after="0" w:before="0"/>
            </w:pPr>
            <w:r/>
            <w:r>
              <w:rPr>
                <w:rFonts w:ascii="Arial" w:hAnsi="Arial"/>
                <w:b w:val="0"/>
                <w:sz w:val="15"/>
              </w:rPr>
              <w:t>StrengtheningPlanId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fin.StrengtheningPlanMember</w:t>
            </w:r>
          </w:p>
        </w:tc>
        <w:tc>
          <w:tcPr>
            <w:tcW w:type="dxa" w:w="6690"/>
            <w:shd w:val="clear" w:color="auto" w:fill="E8EEF6"/>
          </w:tcPr>
          <w:p>
            <w:pPr>
              <w:spacing w:after="0" w:before="0"/>
            </w:pPr>
            <w:r/>
            <w:r>
              <w:rPr>
                <w:rFonts w:ascii="Arial" w:hAnsi="Arial"/>
                <w:b w:val="0"/>
                <w:sz w:val="15"/>
              </w:rPr>
              <w:t>A remedy of a package plan, in the order the plan applies it</w:t>
            </w:r>
          </w:p>
        </w:tc>
        <w:tc>
          <w:tcPr>
            <w:tcW w:type="dxa" w:w="2948"/>
            <w:shd w:val="clear" w:color="auto" w:fill="E8EEF6"/>
          </w:tcPr>
          <w:p>
            <w:pPr>
              <w:spacing w:after="0" w:before="0"/>
            </w:pPr>
            <w:r/>
            <w:r>
              <w:rPr>
                <w:rFonts w:ascii="Arial" w:hAnsi="Arial"/>
                <w:b w:val="0"/>
                <w:sz w:val="15"/>
              </w:rPr>
              <w:t>StrengtheningPlanMemberId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fin.StatementRatio</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fin.StatementRatio</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fin.StrengtheningPlanMember</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fin.StrengtheningPlan</w:t>
            </w:r>
          </w:p>
        </w:tc>
        <w:tc>
          <w:tcPr>
            <w:tcW w:type="dxa" w:w="2948"/>
          </w:tcPr>
          <w:p>
            <w:pPr>
              <w:spacing w:after="0" w:before="0"/>
            </w:pPr>
            <w:r/>
            <w:r>
              <w:rPr>
                <w:rFonts w:ascii="Arial" w:hAnsi="Arial"/>
                <w:b w:val="0"/>
                <w:sz w:val="15"/>
              </w:rPr>
              <w:t>StrengtheningPlanId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fin.StrengtheningPlanMember</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66" name="Picture 66"/>
            <wp:cNvGraphicFramePr>
              <a:graphicFrameLocks noChangeAspect="1"/>
            </wp:cNvGraphicFramePr>
            <a:graphic>
              <a:graphicData uri="http://schemas.openxmlformats.org/drawingml/2006/picture">
                <pic:pic>
                  <pic:nvPicPr>
                    <pic:cNvPr id="0" name="m6_wf_templates_1.png"/>
                    <pic:cNvPicPr/>
                  </pic:nvPicPr>
                  <pic:blipFill>
                    <a:blip r:embed="rId76"/>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66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7</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67" name="Picture 67"/>
            <wp:cNvGraphicFramePr>
              <a:graphicFrameLocks noChangeAspect="1"/>
            </wp:cNvGraphicFramePr>
            <a:graphic>
              <a:graphicData uri="http://schemas.openxmlformats.org/drawingml/2006/picture">
                <pic:pic>
                  <pic:nvPicPr>
                    <pic:cNvPr id="0" name="m6_wf_templates_2.png"/>
                    <pic:cNvPicPr/>
                  </pic:nvPicPr>
                  <pic:blipFill>
                    <a:blip r:embed="rId77"/>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67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68" name="Picture 68"/>
            <wp:cNvGraphicFramePr>
              <a:graphicFrameLocks noChangeAspect="1"/>
            </wp:cNvGraphicFramePr>
            <a:graphic>
              <a:graphicData uri="http://schemas.openxmlformats.org/drawingml/2006/picture">
                <pic:pic>
                  <pic:nvPicPr>
                    <pic:cNvPr id="0" name="m6_wf_templates_3.png"/>
                    <pic:cNvPicPr/>
                  </pic:nvPicPr>
                  <pic:blipFill>
                    <a:blip r:embed="rId78"/>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68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69" name="Picture 69"/>
            <wp:cNvGraphicFramePr>
              <a:graphicFrameLocks noChangeAspect="1"/>
            </wp:cNvGraphicFramePr>
            <a:graphic>
              <a:graphicData uri="http://schemas.openxmlformats.org/drawingml/2006/picture">
                <pic:pic>
                  <pic:nvPicPr>
                    <pic:cNvPr id="0" name="m6_wf_templates_4.png"/>
                    <pic:cNvPicPr/>
                  </pic:nvPicPr>
                  <pic:blipFill>
                    <a:blip r:embed="rId79"/>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69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4385596"/>
            <wp:docPr id="70" name="Picture 70"/>
            <wp:cNvGraphicFramePr>
              <a:graphicFrameLocks noChangeAspect="1"/>
            </wp:cNvGraphicFramePr>
            <a:graphic>
              <a:graphicData uri="http://schemas.openxmlformats.org/drawingml/2006/picture">
                <pic:pic>
                  <pic:nvPicPr>
                    <pic:cNvPr id="0" name="m6_requests_1.png"/>
                    <pic:cNvPicPr/>
                  </pic:nvPicPr>
                  <pic:blipFill>
                    <a:blip r:embed="rId80"/>
                    <a:stretch>
                      <a:fillRect/>
                    </a:stretch>
                  </pic:blipFill>
                  <pic:spPr>
                    <a:xfrm>
                      <a:off x="0" y="0"/>
                      <a:ext cx="6405880" cy="4385596"/>
                    </a:xfrm>
                    <a:prstGeom prst="rect"/>
                  </pic:spPr>
                </pic:pic>
              </a:graphicData>
            </a:graphic>
          </wp:inline>
        </w:drawing>
      </w:r>
    </w:p>
    <w:p>
      <w:pPr>
        <w:spacing w:after="120"/>
        <w:jc w:val="center"/>
      </w:pPr>
      <w:r>
        <w:rPr>
          <w:rFonts w:ascii="Arial" w:hAnsi="Arial"/>
          <w:b w:val="0"/>
          <w:i/>
          <w:color w:val="6B7280"/>
          <w:sz w:val="16"/>
        </w:rPr>
        <w:t>Figure 70  Requests, approvals and actions (part 1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ParentRequestId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CopiedFromRequestId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5816600" cy="4199261"/>
            <wp:docPr id="71" name="Picture 71"/>
            <wp:cNvGraphicFramePr>
              <a:graphicFrameLocks noChangeAspect="1"/>
            </wp:cNvGraphicFramePr>
            <a:graphic>
              <a:graphicData uri="http://schemas.openxmlformats.org/drawingml/2006/picture">
                <pic:pic>
                  <pic:nvPicPr>
                    <pic:cNvPr id="0" name="m6_requests_2.png"/>
                    <pic:cNvPicPr/>
                  </pic:nvPicPr>
                  <pic:blipFill>
                    <a:blip r:embed="rId81"/>
                    <a:stretch>
                      <a:fillRect/>
                    </a:stretch>
                  </pic:blipFill>
                  <pic:spPr>
                    <a:xfrm>
                      <a:off x="0" y="0"/>
                      <a:ext cx="5816600" cy="4199261"/>
                    </a:xfrm>
                    <a:prstGeom prst="rect"/>
                  </pic:spPr>
                </pic:pic>
              </a:graphicData>
            </a:graphic>
          </wp:inline>
        </w:drawing>
      </w:r>
    </w:p>
    <w:p>
      <w:pPr>
        <w:spacing w:after="120"/>
        <w:jc w:val="center"/>
      </w:pPr>
      <w:r>
        <w:rPr>
          <w:rFonts w:ascii="Arial" w:hAnsi="Arial"/>
          <w:b w:val="0"/>
          <w:i/>
          <w:color w:val="6B7280"/>
          <w:sz w:val="16"/>
        </w:rPr>
        <w:t>Figure 71  Requests, approvals and actions (part 2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LetterOfCreditId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34150" cy="8092870"/>
            <wp:docPr id="72" name="Picture 72"/>
            <wp:cNvGraphicFramePr>
              <a:graphicFrameLocks noChangeAspect="1"/>
            </wp:cNvGraphicFramePr>
            <a:graphic>
              <a:graphicData uri="http://schemas.openxmlformats.org/drawingml/2006/picture">
                <pic:pic>
                  <pic:nvPicPr>
                    <pic:cNvPr id="0" name="m6_requests_3.png"/>
                    <pic:cNvPicPr/>
                  </pic:nvPicPr>
                  <pic:blipFill>
                    <a:blip r:embed="rId82"/>
                    <a:stretch>
                      <a:fillRect/>
                    </a:stretch>
                  </pic:blipFill>
                  <pic:spPr>
                    <a:xfrm>
                      <a:off x="0" y="0"/>
                      <a:ext cx="6534150" cy="8092870"/>
                    </a:xfrm>
                    <a:prstGeom prst="rect"/>
                  </pic:spPr>
                </pic:pic>
              </a:graphicData>
            </a:graphic>
          </wp:inline>
        </w:drawing>
      </w:r>
    </w:p>
    <w:p>
      <w:pPr>
        <w:spacing w:after="120"/>
        <w:jc w:val="center"/>
      </w:pPr>
      <w:r>
        <w:rPr>
          <w:rFonts w:ascii="Arial" w:hAnsi="Arial"/>
          <w:b w:val="0"/>
          <w:i/>
          <w:color w:val="6B7280"/>
          <w:sz w:val="16"/>
        </w:rPr>
        <w:t>Figure 72  Requests, approvals and actions (part 3 of 7)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73" name="Picture 73"/>
            <wp:cNvGraphicFramePr>
              <a:graphicFrameLocks noChangeAspect="1"/>
            </wp:cNvGraphicFramePr>
            <a:graphic>
              <a:graphicData uri="http://schemas.openxmlformats.org/drawingml/2006/picture">
                <pic:pic>
                  <pic:nvPicPr>
                    <pic:cNvPr id="0" name="m6_requests_4.png"/>
                    <pic:cNvPicPr/>
                  </pic:nvPicPr>
                  <pic:blipFill>
                    <a:blip r:embed="rId83"/>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73  Requests, approvals and actions (part 4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74" name="Picture 74"/>
            <wp:cNvGraphicFramePr>
              <a:graphicFrameLocks noChangeAspect="1"/>
            </wp:cNvGraphicFramePr>
            <a:graphic>
              <a:graphicData uri="http://schemas.openxmlformats.org/drawingml/2006/picture">
                <pic:pic>
                  <pic:nvPicPr>
                    <pic:cNvPr id="0" name="m6_requests_5.png"/>
                    <pic:cNvPicPr/>
                  </pic:nvPicPr>
                  <pic:blipFill>
                    <a:blip r:embed="rId84"/>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74  Requests, approvals and actions (part 5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75" name="Picture 75"/>
            <wp:cNvGraphicFramePr>
              <a:graphicFrameLocks noChangeAspect="1"/>
            </wp:cNvGraphicFramePr>
            <a:graphic>
              <a:graphicData uri="http://schemas.openxmlformats.org/drawingml/2006/picture">
                <pic:pic>
                  <pic:nvPicPr>
                    <pic:cNvPr id="0" name="m6_requests_6.png"/>
                    <pic:cNvPicPr/>
                  </pic:nvPicPr>
                  <pic:blipFill>
                    <a:blip r:embed="rId85"/>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75  Requests, approvals and actions (part 6 of 7)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7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76" name="Picture 76"/>
            <wp:cNvGraphicFramePr>
              <a:graphicFrameLocks noChangeAspect="1"/>
            </wp:cNvGraphicFramePr>
            <a:graphic>
              <a:graphicData uri="http://schemas.openxmlformats.org/drawingml/2006/picture">
                <pic:pic>
                  <pic:nvPicPr>
                    <pic:cNvPr id="0" name="m6_requests_7.png"/>
                    <pic:cNvPicPr/>
                  </pic:nvPicPr>
                  <pic:blipFill>
                    <a:blip r:embed="rId86"/>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76  Requests, approvals and actions (part 7 of 7)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77" name="Picture 77"/>
            <wp:cNvGraphicFramePr>
              <a:graphicFrameLocks noChangeAspect="1"/>
            </wp:cNvGraphicFramePr>
            <a:graphic>
              <a:graphicData uri="http://schemas.openxmlformats.org/drawingml/2006/picture">
                <pic:pic>
                  <pic:nvPicPr>
                    <pic:cNvPr id="0" name="m6_notifications.png"/>
                    <pic:cNvPicPr/>
                  </pic:nvPicPr>
                  <pic:blipFill>
                    <a:blip r:embed="rId87"/>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77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78" name="Picture 78"/>
            <wp:cNvGraphicFramePr>
              <a:graphicFrameLocks noChangeAspect="1"/>
            </wp:cNvGraphicFramePr>
            <a:graphic>
              <a:graphicData uri="http://schemas.openxmlformats.org/drawingml/2006/picture">
                <pic:pic>
                  <pic:nvPicPr>
                    <pic:cNvPr id="0" name="m7_8_lc_terms_1.png"/>
                    <pic:cNvPicPr/>
                  </pic:nvPicPr>
                  <pic:blipFill>
                    <a:blip r:embed="rId88"/>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78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79" name="Picture 79"/>
            <wp:cNvGraphicFramePr>
              <a:graphicFrameLocks noChangeAspect="1"/>
            </wp:cNvGraphicFramePr>
            <a:graphic>
              <a:graphicData uri="http://schemas.openxmlformats.org/drawingml/2006/picture">
                <pic:pic>
                  <pic:nvPicPr>
                    <pic:cNvPr id="0" name="m7_8_lc_terms_2.png"/>
                    <pic:cNvPicPr/>
                  </pic:nvPicPr>
                  <pic:blipFill>
                    <a:blip r:embed="rId89"/>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79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80" name="Picture 80"/>
            <wp:cNvGraphicFramePr>
              <a:graphicFrameLocks noChangeAspect="1"/>
            </wp:cNvGraphicFramePr>
            <a:graphic>
              <a:graphicData uri="http://schemas.openxmlformats.org/drawingml/2006/picture">
                <pic:pic>
                  <pic:nvPicPr>
                    <pic:cNvPr id="0" name="m7_8_lc_terms_3.png"/>
                    <pic:cNvPicPr/>
                  </pic:nvPicPr>
                  <pic:blipFill>
                    <a:blip r:embed="rId90"/>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80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81" name="Picture 81"/>
            <wp:cNvGraphicFramePr>
              <a:graphicFrameLocks noChangeAspect="1"/>
            </wp:cNvGraphicFramePr>
            <a:graphic>
              <a:graphicData uri="http://schemas.openxmlformats.org/drawingml/2006/picture">
                <pic:pic>
                  <pic:nvPicPr>
                    <pic:cNvPr id="0" name="m7_8_lc_terms_4.png"/>
                    <pic:cNvPicPr/>
                  </pic:nvPicPr>
                  <pic:blipFill>
                    <a:blip r:embed="rId91"/>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81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82" name="Picture 82"/>
            <wp:cNvGraphicFramePr>
              <a:graphicFrameLocks noChangeAspect="1"/>
            </wp:cNvGraphicFramePr>
            <a:graphic>
              <a:graphicData uri="http://schemas.openxmlformats.org/drawingml/2006/picture">
                <pic:pic>
                  <pic:nvPicPr>
                    <pic:cNvPr id="0" name="m7_8_lc_terms_5.png"/>
                    <pic:cNvPicPr/>
                  </pic:nvPicPr>
                  <pic:blipFill>
                    <a:blip r:embed="rId92"/>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82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835816"/>
            <wp:docPr id="83" name="Picture 83"/>
            <wp:cNvGraphicFramePr>
              <a:graphicFrameLocks noChangeAspect="1"/>
            </wp:cNvGraphicFramePr>
            <a:graphic>
              <a:graphicData uri="http://schemas.openxmlformats.org/drawingml/2006/picture">
                <pic:pic>
                  <pic:nvPicPr>
                    <pic:cNvPr id="0" name="m7_8_lc_ops_1.png"/>
                    <pic:cNvPicPr/>
                  </pic:nvPicPr>
                  <pic:blipFill>
                    <a:blip r:embed="rId93"/>
                    <a:stretch>
                      <a:fillRect/>
                    </a:stretch>
                  </pic:blipFill>
                  <pic:spPr>
                    <a:xfrm>
                      <a:off x="0" y="0"/>
                      <a:ext cx="5919470" cy="7835816"/>
                    </a:xfrm>
                    <a:prstGeom prst="rect"/>
                  </pic:spPr>
                </pic:pic>
              </a:graphicData>
            </a:graphic>
          </wp:inline>
        </w:drawing>
      </w:r>
    </w:p>
    <w:p>
      <w:pPr>
        <w:spacing w:after="120"/>
        <w:jc w:val="center"/>
      </w:pPr>
      <w:r>
        <w:rPr>
          <w:rFonts w:ascii="Arial" w:hAnsi="Arial"/>
          <w:b w:val="0"/>
          <w:i/>
          <w:color w:val="6B7280"/>
          <w:sz w:val="16"/>
        </w:rPr>
        <w:t>Figure 83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CompanyId,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CompanyId,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6795893"/>
            <wp:docPr id="84" name="Picture 84"/>
            <wp:cNvGraphicFramePr>
              <a:graphicFrameLocks noChangeAspect="1"/>
            </wp:cNvGraphicFramePr>
            <a:graphic>
              <a:graphicData uri="http://schemas.openxmlformats.org/drawingml/2006/picture">
                <pic:pic>
                  <pic:nvPicPr>
                    <pic:cNvPr id="0" name="m7_8_lc_ops_2.png"/>
                    <pic:cNvPicPr/>
                  </pic:nvPicPr>
                  <pic:blipFill>
                    <a:blip r:embed="rId94"/>
                    <a:stretch>
                      <a:fillRect/>
                    </a:stretch>
                  </pic:blipFill>
                  <pic:spPr>
                    <a:xfrm>
                      <a:off x="0" y="0"/>
                      <a:ext cx="6550659" cy="6795893"/>
                    </a:xfrm>
                    <a:prstGeom prst="rect"/>
                  </pic:spPr>
                </pic:pic>
              </a:graphicData>
            </a:graphic>
          </wp:inline>
        </w:drawing>
      </w:r>
    </w:p>
    <w:p>
      <w:pPr>
        <w:spacing w:after="120"/>
        <w:jc w:val="center"/>
      </w:pPr>
      <w:r>
        <w:rPr>
          <w:rFonts w:ascii="Arial" w:hAnsi="Arial"/>
          <w:b w:val="0"/>
          <w:i/>
          <w:color w:val="6B7280"/>
          <w:sz w:val="16"/>
        </w:rPr>
        <w:t>Figure 84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LcClass, CurrencyId, TolerancePlusPct, ToleranceMinusPct, 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LcClass, CurrencyId, TolerancePlusPct, ToleranceMinusPct,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85" name="Picture 85"/>
            <wp:cNvGraphicFramePr>
              <a:graphicFrameLocks noChangeAspect="1"/>
            </wp:cNvGraphicFramePr>
            <a:graphic>
              <a:graphicData uri="http://schemas.openxmlformats.org/drawingml/2006/picture">
                <pic:pic>
                  <pic:nvPicPr>
                    <pic:cNvPr id="0" name="m7_8_lc_ops_3.png"/>
                    <pic:cNvPicPr/>
                  </pic:nvPicPr>
                  <pic:blipFill>
                    <a:blip r:embed="rId95"/>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85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92850" cy="7149077"/>
            <wp:docPr id="86" name="Picture 86"/>
            <wp:cNvGraphicFramePr>
              <a:graphicFrameLocks noChangeAspect="1"/>
            </wp:cNvGraphicFramePr>
            <a:graphic>
              <a:graphicData uri="http://schemas.openxmlformats.org/drawingml/2006/picture">
                <pic:pic>
                  <pic:nvPicPr>
                    <pic:cNvPr id="0" name="m7_8_lc_ops_4.png"/>
                    <pic:cNvPicPr/>
                  </pic:nvPicPr>
                  <pic:blipFill>
                    <a:blip r:embed="rId96"/>
                    <a:stretch>
                      <a:fillRect/>
                    </a:stretch>
                  </pic:blipFill>
                  <pic:spPr>
                    <a:xfrm>
                      <a:off x="0" y="0"/>
                      <a:ext cx="6292850" cy="7149077"/>
                    </a:xfrm>
                    <a:prstGeom prst="rect"/>
                  </pic:spPr>
                </pic:pic>
              </a:graphicData>
            </a:graphic>
          </wp:inline>
        </w:drawing>
      </w:r>
    </w:p>
    <w:p>
      <w:pPr>
        <w:spacing w:after="120"/>
        <w:jc w:val="center"/>
      </w:pPr>
      <w:r>
        <w:rPr>
          <w:rFonts w:ascii="Arial" w:hAnsi="Arial"/>
          <w:b w:val="0"/>
          <w:i/>
          <w:color w:val="6B7280"/>
          <w:sz w:val="16"/>
        </w:rPr>
        <w:t>Figure 86  Letters of credit and proforma invoices (part 4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TermsPurpose, CurrencyId, 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Purpose, CurrencyId, 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WithdrawalDocumentId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87" name="Picture 87"/>
            <wp:cNvGraphicFramePr>
              <a:graphicFrameLocks noChangeAspect="1"/>
            </wp:cNvGraphicFramePr>
            <a:graphic>
              <a:graphicData uri="http://schemas.openxmlformats.org/drawingml/2006/picture">
                <pic:pic>
                  <pic:nvPicPr>
                    <pic:cNvPr id="0" name="m7_8_lc_ops_5.png"/>
                    <pic:cNvPicPr/>
                  </pic:nvPicPr>
                  <pic:blipFill>
                    <a:blip r:embed="rId97"/>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87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88" name="Picture 88"/>
            <wp:cNvGraphicFramePr>
              <a:graphicFrameLocks noChangeAspect="1"/>
            </wp:cNvGraphicFramePr>
            <a:graphic>
              <a:graphicData uri="http://schemas.openxmlformats.org/drawingml/2006/picture">
                <pic:pic>
                  <pic:nvPicPr>
                    <pic:cNvPr id="0" name="m7_8_lc_ops_6.png"/>
                    <pic:cNvPicPr/>
                  </pic:nvPicPr>
                  <pic:blipFill>
                    <a:blip r:embed="rId98"/>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88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7149196"/>
            <wp:docPr id="89" name="Picture 89"/>
            <wp:cNvGraphicFramePr>
              <a:graphicFrameLocks noChangeAspect="1"/>
            </wp:cNvGraphicFramePr>
            <a:graphic>
              <a:graphicData uri="http://schemas.openxmlformats.org/drawingml/2006/picture">
                <pic:pic>
                  <pic:nvPicPr>
                    <pic:cNvPr id="0" name="m7_8_lc_ops_7.png"/>
                    <pic:cNvPicPr/>
                  </pic:nvPicPr>
                  <pic:blipFill>
                    <a:blip r:embed="rId99"/>
                    <a:stretch>
                      <a:fillRect/>
                    </a:stretch>
                  </pic:blipFill>
                  <pic:spPr>
                    <a:xfrm>
                      <a:off x="0" y="0"/>
                      <a:ext cx="6550659" cy="7149196"/>
                    </a:xfrm>
                    <a:prstGeom prst="rect"/>
                  </pic:spPr>
                </pic:pic>
              </a:graphicData>
            </a:graphic>
          </wp:inline>
        </w:drawing>
      </w:r>
    </w:p>
    <w:p>
      <w:pPr>
        <w:spacing w:after="120"/>
        <w:jc w:val="center"/>
      </w:pPr>
      <w:r>
        <w:rPr>
          <w:rFonts w:ascii="Arial" w:hAnsi="Arial"/>
          <w:b w:val="0"/>
          <w:i/>
          <w:color w:val="6B7280"/>
          <w:sz w:val="16"/>
        </w:rPr>
        <w:t>Figure 89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TermsPurpose, CurrencyId, 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Purpose, CurrencyId,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90" name="Picture 90"/>
            <wp:cNvGraphicFramePr>
              <a:graphicFrameLocks noChangeAspect="1"/>
            </wp:cNvGraphicFramePr>
            <a:graphic>
              <a:graphicData uri="http://schemas.openxmlformats.org/drawingml/2006/picture">
                <pic:pic>
                  <pic:nvPicPr>
                    <pic:cNvPr id="0" name="m7_8_lc_ops_8.png"/>
                    <pic:cNvPicPr/>
                  </pic:nvPicPr>
                  <pic:blipFill>
                    <a:blip r:embed="rId100"/>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90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91" name="Picture 91"/>
            <wp:cNvGraphicFramePr>
              <a:graphicFrameLocks noChangeAspect="1"/>
            </wp:cNvGraphicFramePr>
            <a:graphic>
              <a:graphicData uri="http://schemas.openxmlformats.org/drawingml/2006/picture">
                <pic:pic>
                  <pic:nvPicPr>
                    <pic:cNvPr id="0" name="m7_8_lc_ops_9.png"/>
                    <pic:cNvPicPr/>
                  </pic:nvPicPr>
                  <pic:blipFill>
                    <a:blip r:embed="rId101"/>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91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(195 tables, 20 schemas, 764 foreign keys, 515 unique constraints, 1,161 CHECK constraints, 700 indexes). The CI script tools/ci/db_ci.sh passes in full against the Ubuntu-based SQL Server 2025 container in the development environment. On GitHub it runs from .github/workflows/treasury-db-ci.yml at the repository root (GitHub reads workflows only there) on every change under treasury-platform/db, tools/dbgen or tools/ci; the first green run is https://github.com/thawrasy/smartlines/actions/runs/38283663041 (6 + 41 tests). Not yet run on the production server.</w:t>
            </w:r>
          </w:p>
        </w:tc>
        <w:tc>
          <w:tcPr>
            <w:tcW w:type="dxa" w:w="2721"/>
            <w:shd w:val="clear" w:color="auto" w:fill="E8EEF6"/>
          </w:tcPr>
          <w:p>
            <w:pPr>
              <w:spacing w:after="0" w:before="0"/>
            </w:pPr>
            <w:r/>
            <w:r>
              <w:rPr>
                <w:rFonts w:ascii="Arial" w:hAnsi="Arial"/>
                <w:b w:val="0"/>
                <w:sz w:val="15"/>
              </w:rPr>
              <w:t>Run tools/deploy/deploy.sh on the production Ubuntu 24.04 VPS (ADR 0001), the way CI already does since docs/adr/0010-deployment-as-db-owner.md: an administrator prepares the empty database once (tools/deploy/prepare_database.sh), and the deployment login bankfas_migrator, a member of db_owner only, runs it inside an open window. Before the first deployment the administrator starts SQL Server Audit (tools/deploy/server_audit.sh apply, docs/adr/0012-server-audit.md), so the deployment itself is recorded and every step declares its window. After it the monitoring login bankfas_monitor, which reads definitions and no row, runs tools/dbgen/check_deployed.py (docs/adr/0013-monitor-login-and-deployment-checks.md); no deployment tool trusts the server certificate by itself. deploy.sh refuses sa or any sysadmin, a database that is not empty, and a server whose SQL Server build or Ubuntu release differs from treasury-platform/versions.json, whose image CI runs (gate G4, docs/adr/0014-deployment-preflight.md).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Decided by the owner (2026-10-12, confirmed 2026-10-19, docs/31-owner-decisions.md): a lender change after approval goes through a CORRECTION revision only; the trigger stays as the last guard (DQ-F13-7). To build with the facility service in S2.</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Decided by the owner (2026-10-19, docs/31-owner-decisions.md): the treasury manager sets the status at which the six rows must be complete. Until that status is set, no database rule is written.</w:t>
            </w:r>
          </w:p>
        </w:tc>
        <w:tc>
          <w:tcPr>
            <w:tcW w:type="dxa" w:w="2721"/>
          </w:tcPr>
          <w:p>
            <w:pPr>
              <w:spacing w:after="0" w:before="0"/>
            </w:pPr>
            <w:r/>
            <w:r>
              <w:rPr>
                <w:rFonts w:ascii="Arial" w:hAnsi="Arial"/>
                <w:b w:val="0"/>
                <w:sz w:val="15"/>
              </w:rPr>
              <w:t>The treasury manager names the status (draft, submitted or approved); then a rule is added to db/static with a test.</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 and the platform seed holds the 39 articles as UNVERIFIED platform rows (db/seed/103_lc_reference.sql, ADR 0005), so the badge and the print footnote show until they are checked.</w:t>
            </w:r>
          </w:p>
        </w:tc>
        <w:tc>
          <w:tcPr>
            <w:tcW w:type="dxa" w:w="2721"/>
            <w:shd w:val="clear" w:color="auto" w:fill="E8EEF6"/>
          </w:tcPr>
          <w:p>
            <w:pPr>
              <w:spacing w:after="0" w:before="0"/>
            </w:pPr>
            <w:r/>
            <w:r>
              <w:rPr>
                <w:rFonts w:ascii="Arial" w:hAnsi="Arial"/>
                <w:b w:val="0"/>
                <w:sz w:val="15"/>
              </w:rPr>
              <w:t>Decided by the owner (2026-10-19, docs/31-owner-decisions.md): a licensed copy of the ICC text is provided, and a specialist checks each article number against it and records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Closed. The owner approved the recommended default of each of the 148 questions still open (2026-10-19, docs/31-owner-decisions.md decision 31); all 155 are now marked decided in section 14 of the specifications and in docs/10-detailed-analysis/90-consolidated-open-questions.md.</w:t>
            </w:r>
          </w:p>
        </w:tc>
        <w:tc>
          <w:tcPr>
            <w:tcW w:type="dxa" w:w="2721"/>
          </w:tcPr>
          <w:p>
            <w:pPr>
              <w:spacing w:after="0" w:before="0"/>
            </w:pPr>
            <w:r/>
            <w:r>
              <w:rPr>
                <w:rFonts w:ascii="Arial" w:hAnsi="Arial"/>
                <w:b w:val="0"/>
                <w:sz w:val="15"/>
              </w:rPr>
              <w:t>None. A question raised later is added to section 14 of its specification with a recommended default.</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41 cases (T1-T38) as the application role and the reporting role (cross-tenant reads, inserts, updates and deletes, global rows, the audit log, the binding procedure, login, lockout, MFA, session revocation, the platform audit read,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Closed. Decided by the owner (2026-10-12, docs/31-owner-decisions.md): numbers of requests and proformas are gap-free (Q-PLT-08, DQ-B02-4); other series may have gaps. Built in docs/adr/0005-document-numbering-and-reference-seeds.md: cfg.usp_AllocateNumber takes the counter row under an update lock inside the business transaction, so a rollback returns the number and the next request waits for the commit; a gap-free sequence is refused outside a transaction; a number is voided with a reason, never reused (db/static/039_numbering.sql). Tests N1 to N8 (db/tests/numbering_tests.sql, including AC-PLT-3) and a concurrency test (tools/ci/numbering_concurrency.sh: six connections, a quarter of the transactions rolled back, numbers 1 to N with no duplicate and no gap).</w:t>
            </w:r>
          </w:p>
        </w:tc>
        <w:tc>
          <w:tcPr>
            <w:tcW w:type="dxa" w:w="2721"/>
            <w:shd w:val="clear" w:color="auto" w:fill="E8EEF6"/>
          </w:tcPr>
          <w:p>
            <w:pPr>
              <w:spacing w:after="0" w:before="0"/>
            </w:pPr>
            <w:r/>
            <w:r>
              <w:rPr>
                <w:rFonts w:ascii="Arial" w:hAnsi="Arial"/>
                <w:b w:val="0"/>
                <w:sz w:val="15"/>
              </w:rPr>
              <w:t>Accepted cost: requests on one gap-free sequence are serialised until each commits, so the business transaction that takes a number must stay short (take the number last). Measure under load in S1.</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Closed (docs/adr/0006-kyc-history-and-cascade-deletes.md). The cascade from org.CompanyWealthSource to the KYC financial profile is removed: a profile is dated history and its removal is an explicit retention step. The cascade from pty.KycProfileItemLegalForm to its item stays, since a condition is part of its item, and items and conditions now change only while the profile is a DRAFT (db/static/041_kyc_profile_versions.sql, 50033). Rule R11 in tools/dbgen/check_grants.py refuses any other cascade. Tests K1 to K4 (db/tests/kyc_history_tests.sql).</w:t>
            </w:r>
          </w:p>
        </w:tc>
        <w:tc>
          <w:tcPr>
            <w:tcW w:type="dxa" w:w="2721"/>
          </w:tcPr>
          <w:p>
            <w:pPr>
              <w:spacing w:after="0" w:before="0"/>
            </w:pPr>
            <w:r/>
            <w:r>
              <w:rPr>
                <w:rFonts w:ascii="Arial" w:hAnsi="Arial"/>
                <w:b w:val="0"/>
                <w:sz w:val="15"/>
              </w:rPr>
              <w:t>None. A new cascade needs a review and an entry in CASCADE_ALLOWED.</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O-17, O-18, O-19 and O-24 are closed; O-20 to O-22 are accepted low residual risks.</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Closed (decided by the owner 2026-10-12, option (a), DQ-F04-1; docs/adr/0003-account-security-in-the-database.md). sec.fn_TenantOpen and sec.fn_TenantLoginAllowed (db/static/030_session_context.sql): SUSPENDED admits the tenant administrator (system role TA) only, with no writes; CLOSED admits the TA for 30 days after ClosedAt; ARCHIVED_READ_ONLY admits no tenant user. A proven password refused by the status gets 50006 (DQ-F03-11). Tests T40 to T42.</w:t>
            </w:r>
          </w:p>
        </w:tc>
        <w:tc>
          <w:tcPr>
            <w:tcW w:type="dxa" w:w="2721"/>
            <w:shd w:val="clear" w:color="auto" w:fill="E8EEF6"/>
          </w:tcPr>
          <w:p>
            <w:pPr>
              <w:spacing w:after="0" w:before="0"/>
            </w:pPr>
            <w:r/>
            <w:r>
              <w:rPr>
                <w:rFonts w:ascii="Arial" w:hAnsi="Arial"/>
                <w:b w:val="0"/>
                <w:sz w:val="15"/>
              </w:rPr>
              <w:t>None. The application offers only export to a CLOSED tenant.</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Closed (decided by the owner 2026-10-12, DQ-S01-5). rls.fn_AuditWrite admits TenantId NULL only for tp_platform and tp_auth (db/static/010_rls.sql). Test T44.</w:t>
            </w:r>
          </w:p>
        </w:tc>
        <w:tc>
          <w:tcPr>
            <w:tcW w:type="dxa" w:w="2721"/>
          </w:tcPr>
          <w:p>
            <w:pPr>
              <w:spacing w:after="0" w:before="0"/>
            </w:pPr>
            <w:r/>
            <w:r>
              <w:rPr>
                <w:rFonts w:ascii="Arial" w:hAnsi="Arial"/>
                <w:b w:val="0"/>
                <w:sz w:val="15"/>
              </w:rPr>
              <w:t>None.</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after the application controls in DOC-S01 section 5 (DQ-S01-6).</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Accepted by the owner (2026-10-12) as a low residual risk, with an owner and a review before S2 (DQ-S01-6).</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(DQ-S01-6).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Closed for R1, R3, R4 and R5 (decided by the owner 2026-10-12, DQ-S03-5, DQ-S01-2, DQ-F03-1; docs/adr/0003-account-security-in-the-database.md). Password change and reset with the history rule, invitation, links, unlock, MFA enrolment and reset, recovery codes, user status, session touch and end are procedures run as tp_auth_exec (db/static/035_account_security.sql); tp_app is denied the direct rights, and an insert guard keeps new users INVITED without credentials. MFA is mandatory for every non-system user; TOTP failures, replayed steps and wrong recovery codes count toward the lockout. Tests T43, T45, T46 and A1 to A14 (db/tests/auth_flow_tests.sql).</w:t>
            </w:r>
          </w:p>
        </w:tc>
        <w:tc>
          <w:tcPr>
            <w:tcW w:type="dxa" w:w="2721"/>
            <w:shd w:val="clear" w:color="auto" w:fill="E8EEF6"/>
          </w:tcPr>
          <w:p>
            <w:pPr>
              <w:spacing w:after="0" w:before="0"/>
            </w:pPr>
            <w:r/>
            <w:r>
              <w:rPr>
                <w:rFonts w:ascii="Arial" w:hAnsi="Arial"/>
                <w:b w:val="0"/>
                <w:sz w:val="15"/>
              </w:rPr>
              <w:t>Kept as accepted residual risks (ADR 0003): the application sees raw link tokens because it sends the e-mail; the TOTP check runs in the application (R2). R6 is closed by docs/adr/0007-audit-written-by-the-database.md (DQ-F03-10): a trigger copies every login attempt into aud.AuditLog, so deleting attempts no longer removes the trace (test AU2).</w:t>
            </w:r>
          </w:p>
        </w:tc>
      </w:tr>
      <w:tr>
        <w:trPr>
          <w:cantSplit w:val="true"/>
        </w:trPr>
        <w:tc>
          <w:tcPr>
            <w:tcW w:type="dxa" w:w="794"/>
          </w:tcPr>
          <w:p>
            <w:pPr>
              <w:spacing w:after="0" w:before="0"/>
            </w:pPr>
            <w:r/>
            <w:r>
              <w:rPr>
                <w:rFonts w:ascii="Arial" w:hAnsi="Arial"/>
                <w:b w:val="0"/>
                <w:sz w:val="15"/>
              </w:rPr>
              <w:t>O-25</w:t>
            </w:r>
          </w:p>
        </w:tc>
        <w:tc>
          <w:tcPr>
            <w:tcW w:type="dxa" w:w="2268"/>
          </w:tcPr>
          <w:p>
            <w:pPr>
              <w:spacing w:after="0" w:before="0"/>
            </w:pPr>
            <w:r/>
            <w:r>
              <w:rPr>
                <w:rFonts w:ascii="Arial" w:hAnsi="Arial"/>
                <w:b w:val="0"/>
                <w:sz w:val="15"/>
              </w:rPr>
              <w:t>ADR 0004 (docs/adr/0004-platform-access-jobs-and-onboarding.md)</w:t>
            </w:r>
          </w:p>
        </w:tc>
        <w:tc>
          <w:tcPr>
            <w:tcW w:type="dxa" w:w="4252"/>
          </w:tcPr>
          <w:p>
            <w:pPr>
              <w:spacing w:after="0" w:before="0"/>
            </w:pPr>
            <w:r/>
            <w:r>
              <w:rPr>
                <w:rFonts w:ascii="Arial" w:hAnsi="Arial"/>
                <w:b w:val="0"/>
                <w:sz w:val="15"/>
              </w:rPr>
              <w:t>Residual risks and gaps of the platform-side paths built in ADR 0004. The job worker login can bind any tenant as its service account for a catalogued job without a user session (it cannot use the administrator account procedures). Operator roles cannot be changed. The ISO seed sets the dial code and weekend for the six GCC states only; the other dial codes need an ITU source, and the GCC weekends are proposals to verify (Q-CAT-12). Closing an ACTIVE or SUSPENDED tenant is refused until the data export exists (DQ-F05-7). Trial dates use the UTC date.</w:t>
            </w:r>
          </w:p>
        </w:tc>
        <w:tc>
          <w:tcPr>
            <w:tcW w:type="dxa" w:w="4819"/>
          </w:tcPr>
          <w:p>
            <w:pPr>
              <w:spacing w:after="0" w:before="0"/>
            </w:pPr>
            <w:r/>
            <w:r>
              <w:rPr>
                <w:rFonts w:ascii="Arial" w:hAnsi="Arial"/>
                <w:b w:val="0"/>
                <w:sz w:val="15"/>
              </w:rPr>
              <w:t>Open. The job login risk is proposed for acceptance with a named owner (DQ-F04-4); the rest is planned for S0 and S1. The procedures now write their own audit rows: onboarding, status changes, support and job bindings, and operator logins and accounts (docs/adr/0007-audit-written-by-the-database.md, tests AU1 to AU7, P11, J7). The ISO country and currency lists (DQ-B05-5) and the 138 permission codes (DQ-F07-1, DQ-F09-1) are now seeded (docs/adr/0005-document-numbering-and-reference-seeds.md). The export writes needed in SUSPENDED and CLOSED go through procedures, with the new job JOB-PLT-EXPORT (DQ-F04-8, docs/adr/0008-data-export-in-read-only-states.md, tests X1 to X6). The worker, the support connection, the web application and the operator panel have their own logins and secrets, one role each (docs/adr/0009-service-logins.md, checks LG1 to LG6).</w:t>
            </w:r>
          </w:p>
        </w:tc>
        <w:tc>
          <w:tcPr>
            <w:tcW w:type="dxa" w:w="2721"/>
          </w:tcPr>
          <w:p>
            <w:pPr>
              <w:spacing w:after="0" w:before="0"/>
            </w:pPr>
            <w:r/>
            <w:r>
              <w:rPr>
                <w:rFonts w:ascii="Arial" w:hAnsi="Arial"/>
                <w:b w:val="0"/>
                <w:sz w:val="15"/>
              </w:rPr>
              <w:t>Chain the audit rows when FR-PLT-025 is built (S2); add the other dial codes from an ITU source; build the export package in the application and then lift the closing guard (FR-PLT-039, DQ-F05-7).</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249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 the pair respects the Shariah classification (DR-30)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cfg.ExpiryAlertRuleRole</w:t>
            </w:r>
          </w:p>
        </w:tc>
        <w:tc>
          <w:tcPr>
            <w:tcW w:type="dxa" w:w="10205"/>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cfg.JobDefinition</w:t>
            </w:r>
          </w:p>
        </w:tc>
        <w:tc>
          <w:tcPr>
            <w:tcW w:type="dxa" w:w="10205"/>
          </w:tcPr>
          <w:p>
            <w:pPr>
              <w:spacing w:after="0" w:before="0"/>
            </w:pPr>
            <w:r/>
            <w:r>
              <w:rPr>
                <w:rFonts w:ascii="Arial" w:hAnsi="Arial"/>
                <w:b w:val="0"/>
                <w:sz w:val="15"/>
              </w:rPr>
              <w:t>Background job catalogue: the only JobKey values a job connection may bind with (FR-PLT-044)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fac.FacilityLenderDecision</w:t>
            </w:r>
          </w:p>
        </w:tc>
        <w:tc>
          <w:tcPr>
            <w:tcW w:type="dxa" w:w="10205"/>
            <w:shd w:val="clear" w:color="auto" w:fill="E8EEF6"/>
          </w:tcPr>
          <w:p>
            <w:pPr>
              <w:spacing w:after="0" w:before="0"/>
            </w:pPr>
            <w:r/>
            <w:r>
              <w:rPr>
                <w:rFonts w:ascii="Arial" w:hAnsi="Arial"/>
                <w:b w:val="0"/>
                <w:sz w:val="15"/>
              </w:rPr>
              <w:t>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fac.FacilityRevision</w:t>
            </w:r>
          </w:p>
        </w:tc>
        <w:tc>
          <w:tcPr>
            <w:tcW w:type="dxa" w:w="10205"/>
          </w:tcPr>
          <w:p>
            <w:pPr>
              <w:spacing w:after="0" w:before="0"/>
            </w:pPr>
            <w:r/>
            <w:r>
              <w:rPr>
                <w:rFonts w:ascii="Arial" w:hAnsi="Arial"/>
                <w:b w:val="0"/>
                <w:sz w:val="15"/>
              </w:rPr>
              <w:t>Preparer and approver revision of facility terms (FR-FAC-024, BR-FAC-003/004, section 8)</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fac.Limit</w:t>
            </w:r>
          </w:p>
        </w:tc>
        <w:tc>
          <w:tcPr>
            <w:tcW w:type="dxa" w:w="10205"/>
            <w:shd w:val="clear" w:color="auto" w:fill="E8EEF6"/>
          </w:tcPr>
          <w:p>
            <w:pPr>
              <w:spacing w:after="0" w:before="0"/>
            </w:pPr>
            <w:r/>
            <w:r>
              <w:rPr>
                <w:rFonts w:ascii="Arial" w:hAnsi="Arial"/>
                <w:b w:val="0"/>
                <w:sz w:val="15"/>
              </w:rPr>
              <w:t>Limit-tree node (FR-FAC-010/011, BR-FAC-009/010, V-FAC-04..07)</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fac.LimitCompanyRule</w:t>
            </w:r>
          </w:p>
        </w:tc>
        <w:tc>
          <w:tcPr>
            <w:tcW w:type="dxa" w:w="10205"/>
          </w:tcPr>
          <w:p>
            <w:pPr>
              <w:spacing w:after="0" w:before="0"/>
            </w:pPr>
            <w:r/>
            <w:r>
              <w:rPr>
                <w:rFonts w:ascii="Arial" w:hAnsi="Arial"/>
                <w:b w:val="0"/>
                <w:sz w:val="15"/>
              </w:rPr>
              <w:t>Company rule on a limit: allowed, excluded or allocated (FR-FAC-013, BR-FAC-012, V-FAC-09)</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fac.LimitMovement</w:t>
            </w:r>
          </w:p>
        </w:tc>
        <w:tc>
          <w:tcPr>
            <w:tcW w:type="dxa" w:w="10205"/>
            <w:shd w:val="clear" w:color="auto" w:fill="E8EEF6"/>
          </w:tcPr>
          <w:p>
            <w:pPr>
              <w:spacing w:after="0" w:before="0"/>
            </w:pPr>
            <w:r/>
            <w:r>
              <w:rPr>
                <w:rFonts w:ascii="Arial" w:hAnsi="Arial"/>
                <w:b w:val="0"/>
                <w:sz w:val="15"/>
              </w:rPr>
              <w:t>Movement record on a reservation or usage; no update or delete; duplicate-prevention key (BR-FAC-015, BR-FAC-020)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fac.LimitProductLine</w:t>
            </w:r>
          </w:p>
        </w:tc>
        <w:tc>
          <w:tcPr>
            <w:tcW w:type="dxa" w:w="10205"/>
          </w:tcPr>
          <w:p>
            <w:pPr>
              <w:spacing w:after="0" w:before="0"/>
            </w:pPr>
            <w:r/>
            <w:r>
              <w:rPr>
                <w:rFonts w:ascii="Arial" w:hAnsi="Arial"/>
                <w:b w:val="0"/>
                <w:sz w:val="15"/>
              </w:rPr>
              <w:t>Product line within a limit, with an optional SHARED_CAP ceiling (FR-FAC-012, V-FAC-08)</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fac.LimitReservation</w:t>
            </w:r>
          </w:p>
        </w:tc>
        <w:tc>
          <w:tcPr>
            <w:tcW w:type="dxa" w:w="10205"/>
            <w:shd w:val="clear" w:color="auto" w:fill="E8EEF6"/>
          </w:tcPr>
          <w:p>
            <w:pPr>
              <w:spacing w:after="0" w:before="0"/>
            </w:pPr>
            <w:r/>
            <w:r>
              <w:rPr>
                <w:rFonts w:ascii="Arial" w:hAnsi="Arial"/>
                <w:b w:val="0"/>
                <w:sz w:val="15"/>
              </w:rPr>
              <w:t>Amount reserved for a request, equal to ExposureAmount (FR-FAC-017/018/020, BR-FAC-015)</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fac.OutstandingSnapshot</w:t>
            </w:r>
          </w:p>
        </w:tc>
        <w:tc>
          <w:tcPr>
            <w:tcW w:type="dxa" w:w="10205"/>
          </w:tcPr>
          <w:p>
            <w:pPr>
              <w:spacing w:after="0" w:before="0"/>
            </w:pPr>
            <w:r/>
            <w:r>
              <w:rPr>
                <w:rFonts w:ascii="Arial" w:hAnsi="Arial"/>
                <w:b w:val="0"/>
                <w:sz w:val="15"/>
              </w:rPr>
              <w:t>Snapshot of the recognised outstanding balance (FR-FAC-009, BR-FAC-017); PctOfLimit is derived and not stored</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fac.ProductLineTerm</w:t>
            </w:r>
          </w:p>
        </w:tc>
        <w:tc>
          <w:tcPr>
            <w:tcW w:type="dxa" w:w="10205"/>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fac.Utilization</w:t>
            </w:r>
          </w:p>
        </w:tc>
        <w:tc>
          <w:tcPr>
            <w:tcW w:type="dxa" w:w="10205"/>
          </w:tcPr>
          <w:p>
            <w:pPr>
              <w:spacing w:after="0" w:before="0"/>
            </w:pPr>
            <w:r/>
            <w:r>
              <w:rPr>
                <w:rFonts w:ascii="Arial" w:hAnsi="Arial"/>
                <w:b w:val="0"/>
                <w:sz w:val="15"/>
              </w:rPr>
              <w:t>Active utilisation item: manual or linked to a letter of credit; never deleted (FR-FAC-016/030, BR-FAC-013/020)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fac.ValueConflict</w:t>
            </w:r>
          </w:p>
        </w:tc>
        <w:tc>
          <w:tcPr>
            <w:tcW w:type="dxa" w:w="10205"/>
            <w:shd w:val="clear" w:color="auto" w:fill="E8EEF6"/>
          </w:tcPr>
          <w:p>
            <w:pPr>
              <w:spacing w:after="0" w:before="0"/>
            </w:pPr>
            <w:r/>
            <w:r>
              <w:rPr>
                <w:rFonts w:ascii="Arial" w:hAnsi="Arial"/>
                <w:b w:val="0"/>
                <w:sz w:val="15"/>
              </w:rPr>
              <w:t>Conflict between two values of one field, and its resolution (FR-FAC-026, BR-FAC-019, BR-FAC-008)</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fin.AccountMonthlyStat</w:t>
            </w:r>
          </w:p>
        </w:tc>
        <w:tc>
          <w:tcPr>
            <w:tcW w:type="dxa" w:w="10205"/>
          </w:tcPr>
          <w:p>
            <w:pPr>
              <w:spacing w:after="0" w:before="0"/>
            </w:pPr>
            <w:r/>
            <w:r>
              <w:rPr>
                <w:rFonts w:ascii="Arial" w:hAnsi="Arial"/>
                <w:b w:val="0"/>
                <w:sz w:val="15"/>
              </w:rPr>
              <w:t>Monthly balance of an account in the account currency (FR-FIN-008, BR-FIN-005/006, V-FIN-02)</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fin.BankFlowEntry</w:t>
            </w:r>
          </w:p>
        </w:tc>
        <w:tc>
          <w:tcPr>
            <w:tcW w:type="dxa" w:w="10205"/>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fin.CompanyProductLine</w:t>
            </w:r>
          </w:p>
        </w:tc>
        <w:tc>
          <w:tcPr>
            <w:tcW w:type="dxa" w:w="10205"/>
          </w:tcPr>
          <w:p>
            <w:pPr>
              <w:spacing w:after="0" w:before="0"/>
            </w:pPr>
            <w:r/>
            <w:r>
              <w:rPr>
                <w:rFonts w:ascii="Arial" w:hAnsi="Arial"/>
                <w:b w:val="0"/>
                <w:sz w:val="15"/>
              </w:rPr>
              <w:t>A product or service line of a company for a fiscal year: its category, share of revenue and of inventory, and its sales channels; read by the credit assessment for the quality of cash flows and the liquidity of the inventory (docs/35 section 5)</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fin.ConsolidationMember</w:t>
            </w:r>
          </w:p>
        </w:tc>
        <w:tc>
          <w:tcPr>
            <w:tcW w:type="dxa" w:w="10205"/>
            <w:shd w:val="clear" w:color="auto" w:fill="E8EEF6"/>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fin.CountryRegion</w:t>
            </w:r>
          </w:p>
        </w:tc>
        <w:tc>
          <w:tcPr>
            <w:tcW w:type="dxa" w:w="10205"/>
          </w:tcPr>
          <w:p>
            <w:pPr>
              <w:spacing w:after="0" w:before="0"/>
            </w:pPr>
            <w:r/>
            <w:r>
              <w:rPr>
                <w:rFonts w:ascii="Arial" w:hAnsi="Arial"/>
                <w:b w:val="0"/>
                <w:sz w:val="15"/>
              </w:rPr>
              <w:t>A city or region of a country and how much more or less its property falls, and how exposed it is to conflict, than its country (docs/35 section 14)</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fin.CountryRiskProfile</w:t>
            </w:r>
          </w:p>
        </w:tc>
        <w:tc>
          <w:tcPr>
            <w:tcW w:type="dxa" w:w="10205"/>
            <w:shd w:val="clear" w:color="auto" w:fill="E8EEF6"/>
          </w:tcPr>
          <w:p>
            <w:pPr>
              <w:spacing w:after="0" w:before="0"/>
            </w:pPr>
            <w:r/>
            <w:r>
              <w:rPr>
                <w:rFonts w:ascii="Arial" w:hAnsi="Arial"/>
                <w:b w:val="0"/>
                <w:sz w:val="15"/>
              </w:rPr>
              <w:t>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fin.CreditAssessment</w:t>
            </w:r>
          </w:p>
        </w:tc>
        <w:tc>
          <w:tcPr>
            <w:tcW w:type="dxa" w:w="10205"/>
          </w:tcPr>
          <w:p>
            <w:pPr>
              <w:spacing w:after="0" w:before="0"/>
            </w:pPr>
            <w:r/>
            <w:r>
              <w:rPr>
                <w:rFonts w:ascii="Arial" w:hAnsi="Arial"/>
                <w:b w:val="0"/>
                <w:sz w:val="15"/>
              </w:rPr>
              <w:t>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1701"/>
          </w:tcPr>
          <w:p>
            <w:pPr>
              <w:spacing w:after="0" w:before="0"/>
            </w:pPr>
            <w:r/>
            <w:r>
              <w:rPr>
                <w:rFonts w:ascii="Arial" w:hAnsi="Arial"/>
                <w:b w:val="0"/>
                <w:sz w:val="15"/>
              </w:rPr>
              <w:t>m5_financials_5</w:t>
            </w:r>
          </w:p>
        </w:tc>
      </w:tr>
      <w:tr>
        <w:trPr>
          <w:cantSplit w:val="true"/>
        </w:trPr>
        <w:tc>
          <w:tcPr>
            <w:tcW w:type="dxa" w:w="3515"/>
            <w:shd w:val="clear" w:color="auto" w:fill="E8EEF6"/>
          </w:tcPr>
          <w:p>
            <w:pPr>
              <w:spacing w:after="0" w:before="0"/>
            </w:pPr>
            <w:r/>
            <w:r>
              <w:rPr>
                <w:rFonts w:ascii="Arial" w:hAnsi="Arial"/>
                <w:b w:val="0"/>
                <w:sz w:val="15"/>
              </w:rPr>
              <w:t>fin.CreditAssessmentBureau</w:t>
            </w:r>
          </w:p>
        </w:tc>
        <w:tc>
          <w:tcPr>
            <w:tcW w:type="dxa" w:w="10205"/>
            <w:shd w:val="clear" w:color="auto" w:fill="E8EEF6"/>
          </w:tcPr>
          <w:p>
            <w:pPr>
              <w:spacing w:after="0" w:before="0"/>
            </w:pPr>
            <w:r/>
            <w:r>
              <w:rPr>
                <w:rFonts w:ascii="Arial" w:hAnsi="Arial"/>
                <w:b w:val="0"/>
                <w:sz w:val="15"/>
              </w:rPr>
              <w:t>The company's SIMAH commercial credit report the analyst read: exposure at all lenders, payment behaviour, defaults, bounced cheques, judgments (docs/35 section 10); changes only while the assessment is a draft</w:t>
            </w:r>
          </w:p>
        </w:tc>
        <w:tc>
          <w:tcPr>
            <w:tcW w:type="dxa" w:w="1701"/>
            <w:shd w:val="clear" w:color="auto" w:fill="E8EEF6"/>
          </w:tcPr>
          <w:p>
            <w:pPr>
              <w:spacing w:after="0" w:before="0"/>
            </w:pPr>
            <w:r/>
            <w:r>
              <w:rPr>
                <w:rFonts w:ascii="Arial" w:hAnsi="Arial"/>
                <w:b w:val="0"/>
                <w:sz w:val="15"/>
              </w:rPr>
              <w:t>m5_financials_6</w:t>
            </w:r>
          </w:p>
        </w:tc>
      </w:tr>
      <w:tr>
        <w:trPr>
          <w:cantSplit w:val="true"/>
        </w:trPr>
        <w:tc>
          <w:tcPr>
            <w:tcW w:type="dxa" w:w="3515"/>
          </w:tcPr>
          <w:p>
            <w:pPr>
              <w:spacing w:after="0" w:before="0"/>
            </w:pPr>
            <w:r/>
            <w:r>
              <w:rPr>
                <w:rFonts w:ascii="Arial" w:hAnsi="Arial"/>
                <w:b w:val="0"/>
                <w:sz w:val="15"/>
              </w:rPr>
              <w:t>fin.CreditAssessmentFacility</w:t>
            </w:r>
          </w:p>
        </w:tc>
        <w:tc>
          <w:tcPr>
            <w:tcW w:type="dxa" w:w="10205"/>
          </w:tcPr>
          <w:p>
            <w:pPr>
              <w:spacing w:after="0" w:before="0"/>
            </w:pPr>
            <w:r/>
            <w:r>
              <w:rPr>
                <w:rFonts w:ascii="Arial" w:hAnsi="Arial"/>
                <w:b w:val="0"/>
                <w:sz w:val="15"/>
              </w:rPr>
              <w:t>A facility of the company read from the platform on the assessment date: its limit, outstanding, lender, commitment, expiry and collateral cover, in the statement currency; written by fin.usp_ComputeCreditAssessment only (docs/35 section 10)</w:t>
            </w:r>
          </w:p>
        </w:tc>
        <w:tc>
          <w:tcPr>
            <w:tcW w:type="dxa" w:w="1701"/>
          </w:tcPr>
          <w:p>
            <w:pPr>
              <w:spacing w:after="0" w:before="0"/>
            </w:pPr>
            <w:r/>
            <w:r>
              <w:rPr>
                <w:rFonts w:ascii="Arial" w:hAnsi="Arial"/>
                <w:b w:val="0"/>
                <w:sz w:val="15"/>
              </w:rPr>
              <w:t>m5_financials_7</w:t>
            </w:r>
          </w:p>
        </w:tc>
      </w:tr>
      <w:tr>
        <w:trPr>
          <w:cantSplit w:val="true"/>
        </w:trPr>
        <w:tc>
          <w:tcPr>
            <w:tcW w:type="dxa" w:w="3515"/>
            <w:shd w:val="clear" w:color="auto" w:fill="E8EEF6"/>
          </w:tcPr>
          <w:p>
            <w:pPr>
              <w:spacing w:after="0" w:before="0"/>
            </w:pPr>
            <w:r/>
            <w:r>
              <w:rPr>
                <w:rFonts w:ascii="Arial" w:hAnsi="Arial"/>
                <w:b w:val="0"/>
                <w:sz w:val="15"/>
              </w:rPr>
              <w:t>fin.CreditAssessmentFactor</w:t>
            </w:r>
          </w:p>
        </w:tc>
        <w:tc>
          <w:tcPr>
            <w:tcW w:type="dxa" w:w="10205"/>
            <w:shd w:val="clear" w:color="auto" w:fill="E8EEF6"/>
          </w:tcPr>
          <w:p>
            <w:pPr>
              <w:spacing w:after="0" w:before="0"/>
            </w:pPr>
            <w:r/>
            <w:r>
              <w:rPr>
                <w:rFonts w:ascii="Arial" w:hAnsi="Arial"/>
                <w:b w:val="0"/>
                <w:sz w:val="15"/>
              </w:rPr>
              <w:t>A scorecard metric of an assessment: its value, its score on the linear continuum, its grade, weight and contribution; written by fin.usp_ComputeCreditAssessment only (BR-FIN-018, BR-FIN-019)</w:t>
            </w:r>
          </w:p>
        </w:tc>
        <w:tc>
          <w:tcPr>
            <w:tcW w:type="dxa" w:w="1701"/>
            <w:shd w:val="clear" w:color="auto" w:fill="E8EEF6"/>
          </w:tcPr>
          <w:p>
            <w:pPr>
              <w:spacing w:after="0" w:before="0"/>
            </w:pPr>
            <w:r/>
            <w:r>
              <w:rPr>
                <w:rFonts w:ascii="Arial" w:hAnsi="Arial"/>
                <w:b w:val="0"/>
                <w:sz w:val="15"/>
              </w:rPr>
              <w:t>m5_financials_7</w:t>
            </w:r>
          </w:p>
        </w:tc>
      </w:tr>
      <w:tr>
        <w:trPr>
          <w:cantSplit w:val="true"/>
        </w:trPr>
        <w:tc>
          <w:tcPr>
            <w:tcW w:type="dxa" w:w="3515"/>
          </w:tcPr>
          <w:p>
            <w:pPr>
              <w:spacing w:after="0" w:before="0"/>
            </w:pPr>
            <w:r/>
            <w:r>
              <w:rPr>
                <w:rFonts w:ascii="Arial" w:hAnsi="Arial"/>
                <w:b w:val="0"/>
                <w:sz w:val="15"/>
              </w:rPr>
              <w:t>fin.CreditAssessmentFinding</w:t>
            </w:r>
          </w:p>
        </w:tc>
        <w:tc>
          <w:tcPr>
            <w:tcW w:type="dxa" w:w="10205"/>
          </w:tcPr>
          <w:p>
            <w:pPr>
              <w:spacing w:after="0" w:before="0"/>
            </w:pPr>
            <w:r/>
            <w:r>
              <w:rPr>
                <w:rFonts w:ascii="Arial" w:hAnsi="Arial"/>
                <w:b w:val="0"/>
                <w:sz w:val="15"/>
              </w:rPr>
              <w:t>A finding of an assessment, with its text: a strength, a point to note or watch, a weakness, a critical risk or an adjustment, from the scorecard, an item rule, the covenants or the bank flows; written by fin.usp_ComputeCreditAssessment only (BR-FIN-020)</w:t>
            </w:r>
          </w:p>
        </w:tc>
        <w:tc>
          <w:tcPr>
            <w:tcW w:type="dxa" w:w="1701"/>
          </w:tcPr>
          <w:p>
            <w:pPr>
              <w:spacing w:after="0" w:before="0"/>
            </w:pPr>
            <w:r/>
            <w:r>
              <w:rPr>
                <w:rFonts w:ascii="Arial" w:hAnsi="Arial"/>
                <w:b w:val="0"/>
                <w:sz w:val="15"/>
              </w:rPr>
              <w:t>m5_financials_8</w:t>
            </w:r>
          </w:p>
        </w:tc>
      </w:tr>
      <w:tr>
        <w:trPr>
          <w:cantSplit w:val="true"/>
        </w:trPr>
        <w:tc>
          <w:tcPr>
            <w:tcW w:type="dxa" w:w="3515"/>
            <w:shd w:val="clear" w:color="auto" w:fill="E8EEF6"/>
          </w:tcPr>
          <w:p>
            <w:pPr>
              <w:spacing w:after="0" w:before="0"/>
            </w:pPr>
            <w:r/>
            <w:r>
              <w:rPr>
                <w:rFonts w:ascii="Arial" w:hAnsi="Arial"/>
                <w:b w:val="0"/>
                <w:sz w:val="15"/>
              </w:rPr>
              <w:t>fin.CreditAssessmentGuarantor</w:t>
            </w:r>
          </w:p>
        </w:tc>
        <w:tc>
          <w:tcPr>
            <w:tcW w:type="dxa" w:w="10205"/>
            <w:shd w:val="clear" w:color="auto" w:fill="E8EEF6"/>
          </w:tcPr>
          <w:p>
            <w:pPr>
              <w:spacing w:after="0" w:before="0"/>
            </w:pPr>
            <w:r/>
            <w:r>
              <w:rPr>
                <w:rFonts w:ascii="Arial" w:hAnsi="Arial"/>
                <w:b w:val="0"/>
                <w:sz w:val="15"/>
              </w:rPr>
              <w:t>A guarantor of the company's facilities with the net worth statement the analyst read: partners' solvency for the facility grade (docs/35 section 10); changes only while the assessment is a draft</w:t>
            </w:r>
          </w:p>
        </w:tc>
        <w:tc>
          <w:tcPr>
            <w:tcW w:type="dxa" w:w="1701"/>
            <w:shd w:val="clear" w:color="auto" w:fill="E8EEF6"/>
          </w:tcPr>
          <w:p>
            <w:pPr>
              <w:spacing w:after="0" w:before="0"/>
            </w:pPr>
            <w:r/>
            <w:r>
              <w:rPr>
                <w:rFonts w:ascii="Arial" w:hAnsi="Arial"/>
                <w:b w:val="0"/>
                <w:sz w:val="15"/>
              </w:rPr>
              <w:t>m5_financials_8</w:t>
            </w:r>
          </w:p>
        </w:tc>
      </w:tr>
      <w:tr>
        <w:trPr>
          <w:cantSplit w:val="true"/>
        </w:trPr>
        <w:tc>
          <w:tcPr>
            <w:tcW w:type="dxa" w:w="3515"/>
          </w:tcPr>
          <w:p>
            <w:pPr>
              <w:spacing w:after="0" w:before="0"/>
            </w:pPr>
            <w:r/>
            <w:r>
              <w:rPr>
                <w:rFonts w:ascii="Arial" w:hAnsi="Arial"/>
                <w:b w:val="0"/>
                <w:sz w:val="15"/>
              </w:rPr>
              <w:t>fin.CreditAssessmentInput</w:t>
            </w:r>
          </w:p>
        </w:tc>
        <w:tc>
          <w:tcPr>
            <w:tcW w:type="dxa" w:w="10205"/>
          </w:tcPr>
          <w:p>
            <w:pPr>
              <w:spacing w:after="0" w:before="0"/>
            </w:pPr>
            <w:r/>
            <w:r>
              <w:rPr>
                <w:rFonts w:ascii="Arial" w:hAnsi="Arial"/>
                <w:b w:val="0"/>
                <w:sz w:val="15"/>
              </w:rPr>
              <w:t>The analyst's inputs to an assessment: the grade of a qualitative factor, group support or an override, each with its justification; they change only while the assessment is a draft (BR-FIN-021, BR-FIN-022)</w:t>
            </w:r>
          </w:p>
        </w:tc>
        <w:tc>
          <w:tcPr>
            <w:tcW w:type="dxa" w:w="1701"/>
          </w:tcPr>
          <w:p>
            <w:pPr>
              <w:spacing w:after="0" w:before="0"/>
            </w:pPr>
            <w:r/>
            <w:r>
              <w:rPr>
                <w:rFonts w:ascii="Arial" w:hAnsi="Arial"/>
                <w:b w:val="0"/>
                <w:sz w:val="15"/>
              </w:rPr>
              <w:t>m5_financials_9</w:t>
            </w:r>
          </w:p>
        </w:tc>
      </w:tr>
      <w:tr>
        <w:trPr>
          <w:cantSplit w:val="true"/>
        </w:trPr>
        <w:tc>
          <w:tcPr>
            <w:tcW w:type="dxa" w:w="3515"/>
            <w:shd w:val="clear" w:color="auto" w:fill="E8EEF6"/>
          </w:tcPr>
          <w:p>
            <w:pPr>
              <w:spacing w:after="0" w:before="0"/>
            </w:pPr>
            <w:r/>
            <w:r>
              <w:rPr>
                <w:rFonts w:ascii="Arial" w:hAnsi="Arial"/>
                <w:b w:val="0"/>
                <w:sz w:val="15"/>
              </w:rPr>
              <w:t>fin.CreditAssessmentPlan</w:t>
            </w:r>
          </w:p>
        </w:tc>
        <w:tc>
          <w:tcPr>
            <w:tcW w:type="dxa" w:w="10205"/>
            <w:shd w:val="clear" w:color="auto" w:fill="E8EEF6"/>
          </w:tcPr>
          <w:p>
            <w:pPr>
              <w:spacing w:after="0" w:before="0"/>
            </w:pPr>
            <w:r/>
            <w:r>
              <w:rPr>
                <w:rFonts w:ascii="Arial" w:hAnsi="Arial"/>
                <w:b w:val="0"/>
                <w:sz w:val="15"/>
              </w:rPr>
              <w:t>A strengthening plan computed for the assessment when the customer asked for one: the grade at its end and whether the balance sheet stayed balanced; written by fin.usp_ComputeCreditAssessment only (docs/35 section 12)</w:t>
            </w:r>
          </w:p>
        </w:tc>
        <w:tc>
          <w:tcPr>
            <w:tcW w:type="dxa" w:w="1701"/>
            <w:shd w:val="clear" w:color="auto" w:fill="E8EEF6"/>
          </w:tcPr>
          <w:p>
            <w:pPr>
              <w:spacing w:after="0" w:before="0"/>
            </w:pPr>
            <w:r/>
            <w:r>
              <w:rPr>
                <w:rFonts w:ascii="Arial" w:hAnsi="Arial"/>
                <w:b w:val="0"/>
                <w:sz w:val="15"/>
              </w:rPr>
              <w:t>m5_financials_9</w:t>
            </w:r>
          </w:p>
        </w:tc>
      </w:tr>
      <w:tr>
        <w:trPr>
          <w:cantSplit w:val="true"/>
        </w:trPr>
        <w:tc>
          <w:tcPr>
            <w:tcW w:type="dxa" w:w="3515"/>
          </w:tcPr>
          <w:p>
            <w:pPr>
              <w:spacing w:after="0" w:before="0"/>
            </w:pPr>
            <w:r/>
            <w:r>
              <w:rPr>
                <w:rFonts w:ascii="Arial" w:hAnsi="Arial"/>
                <w:b w:val="0"/>
                <w:sz w:val="15"/>
              </w:rPr>
              <w:t>fin.CreditAssessmentPlanStep</w:t>
            </w:r>
          </w:p>
        </w:tc>
        <w:tc>
          <w:tcPr>
            <w:tcW w:type="dxa" w:w="10205"/>
          </w:tcPr>
          <w:p>
            <w:pPr>
              <w:spacing w:after="0" w:before="0"/>
            </w:pPr>
            <w:r/>
            <w:r>
              <w:rPr>
                <w:rFonts w:ascii="Arial" w:hAnsi="Arial"/>
                <w:b w:val="0"/>
                <w:sz w:val="15"/>
              </w:rPr>
              <w:t>A step of a strengthening plan: the remedy applied, the amount it moved and the grade after it</w:t>
            </w:r>
          </w:p>
        </w:tc>
        <w:tc>
          <w:tcPr>
            <w:tcW w:type="dxa" w:w="1701"/>
          </w:tcPr>
          <w:p>
            <w:pPr>
              <w:spacing w:after="0" w:before="0"/>
            </w:pPr>
            <w:r/>
            <w:r>
              <w:rPr>
                <w:rFonts w:ascii="Arial" w:hAnsi="Arial"/>
                <w:b w:val="0"/>
                <w:sz w:val="15"/>
              </w:rPr>
              <w:t>m5_financials_10</w:t>
            </w:r>
          </w:p>
        </w:tc>
      </w:tr>
      <w:tr>
        <w:trPr>
          <w:cantSplit w:val="true"/>
        </w:trPr>
        <w:tc>
          <w:tcPr>
            <w:tcW w:type="dxa" w:w="3515"/>
            <w:shd w:val="clear" w:color="auto" w:fill="E8EEF6"/>
          </w:tcPr>
          <w:p>
            <w:pPr>
              <w:spacing w:after="0" w:before="0"/>
            </w:pPr>
            <w:r/>
            <w:r>
              <w:rPr>
                <w:rFonts w:ascii="Arial" w:hAnsi="Arial"/>
                <w:b w:val="0"/>
                <w:sz w:val="15"/>
              </w:rPr>
              <w:t>fin.CreditAssessmentReclass</w:t>
            </w:r>
          </w:p>
        </w:tc>
        <w:tc>
          <w:tcPr>
            <w:tcW w:type="dxa" w:w="10205"/>
            <w:shd w:val="clear" w:color="auto" w:fill="E8EEF6"/>
          </w:tcPr>
          <w:p>
            <w:pPr>
              <w:spacing w:after="0" w:before="0"/>
            </w:pPr>
            <w:r/>
            <w:r>
              <w:rPr>
                <w:rFonts w:ascii="Arial" w:hAnsi="Arial"/>
                <w:b w:val="0"/>
                <w:sz w:val="15"/>
              </w:rPr>
              <w:t>A row of the reconciliation of the analytical statement: a standard adjustment that moved an amount of a reported line to an analytical bucket; written by fin.usp_ComputeCreditAssessment only (docs/35 section 6)</w:t>
            </w:r>
          </w:p>
        </w:tc>
        <w:tc>
          <w:tcPr>
            <w:tcW w:type="dxa" w:w="1701"/>
            <w:shd w:val="clear" w:color="auto" w:fill="E8EEF6"/>
          </w:tcPr>
          <w:p>
            <w:pPr>
              <w:spacing w:after="0" w:before="0"/>
            </w:pPr>
            <w:r/>
            <w:r>
              <w:rPr>
                <w:rFonts w:ascii="Arial" w:hAnsi="Arial"/>
                <w:b w:val="0"/>
                <w:sz w:val="15"/>
              </w:rPr>
              <w:t>m5_financials_10</w:t>
            </w:r>
          </w:p>
        </w:tc>
      </w:tr>
      <w:tr>
        <w:trPr>
          <w:cantSplit w:val="true"/>
        </w:trPr>
        <w:tc>
          <w:tcPr>
            <w:tcW w:type="dxa" w:w="3515"/>
          </w:tcPr>
          <w:p>
            <w:pPr>
              <w:spacing w:after="0" w:before="0"/>
            </w:pPr>
            <w:r/>
            <w:r>
              <w:rPr>
                <w:rFonts w:ascii="Arial" w:hAnsi="Arial"/>
                <w:b w:val="0"/>
                <w:sz w:val="15"/>
              </w:rPr>
              <w:t>fin.CreditAssessmentRemedy</w:t>
            </w:r>
          </w:p>
        </w:tc>
        <w:tc>
          <w:tcPr>
            <w:tcW w:type="dxa" w:w="10205"/>
          </w:tcPr>
          <w:p>
            <w:pPr>
              <w:spacing w:after="0" w:before="0"/>
            </w:pPr>
            <w:r/>
            <w:r>
              <w:rPr>
                <w:rFonts w:ascii="Arial" w:hAnsi="Arial"/>
                <w:b w:val="0"/>
                <w:sz w:val="15"/>
              </w:rPr>
              <w:t>A remedy the report proposes, with the finding it answers and the grade the pro-forma statement would get; written by fin.usp_ComputeCreditAssessment only (docs/35 section 12)</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fin.CreditAssessmentScenario</w:t>
            </w:r>
          </w:p>
        </w:tc>
        <w:tc>
          <w:tcPr>
            <w:tcW w:type="dxa" w:w="10205"/>
            <w:shd w:val="clear" w:color="auto" w:fill="E8EEF6"/>
          </w:tcPr>
          <w:p>
            <w:pPr>
              <w:spacing w:after="0" w:before="0"/>
            </w:pPr>
            <w:r/>
            <w:r>
              <w:rPr>
                <w:rFonts w:ascii="Arial" w:hAnsi="Arial"/>
                <w:b w:val="0"/>
                <w:sz w:val="15"/>
              </w:rPr>
              <w:t>The assessment recomputed on the statement under each macro scenario, with the stress applied: the grade, the liquidity label and the notches lost; written by fin.usp_ComputeCreditAssessment only (docs/35 section 13)</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fin.CreditAssessmentTrigger</w:t>
            </w:r>
          </w:p>
        </w:tc>
        <w:tc>
          <w:tcPr>
            <w:tcW w:type="dxa" w:w="10205"/>
          </w:tcPr>
          <w:p>
            <w:pPr>
              <w:spacing w:after="0" w:before="0"/>
            </w:pPr>
            <w:r/>
            <w:r>
              <w:rPr>
                <w:rFonts w:ascii="Arial" w:hAnsi="Arial"/>
                <w:b w:val="0"/>
                <w:sz w:val="15"/>
              </w:rPr>
              <w:t>What would move the scorecard grade one notch: the value of a metric at which the weighted score crosses to the grade above or below, the other metrics unchanged (docs/35 section 15)</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fin.CreditMetric</w:t>
            </w:r>
          </w:p>
        </w:tc>
        <w:tc>
          <w:tcPr>
            <w:tcW w:type="dxa" w:w="10205"/>
            <w:shd w:val="clear" w:color="auto" w:fill="E8EEF6"/>
          </w:tcPr>
          <w:p>
            <w:pPr>
              <w:spacing w:after="0" w:before="0"/>
            </w:pPr>
            <w:r/>
            <w:r>
              <w:rPr>
                <w:rFonts w:ascii="Arial" w:hAnsi="Arial"/>
                <w:b w:val="0"/>
                <w:sz w:val="15"/>
              </w:rPr>
              <w:t>The metric dictionary of the credit assessment: how each ratio is computed from the statement lines, its unit and direction, and the texts of its strength and weakness (docs/35 section 4)</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fin.CreditRemedy</w:t>
            </w:r>
          </w:p>
        </w:tc>
        <w:tc>
          <w:tcPr>
            <w:tcW w:type="dxa" w:w="10205"/>
          </w:tcPr>
          <w:p>
            <w:pPr>
              <w:spacing w:after="0" w:before="0"/>
            </w:pPr>
            <w:r/>
            <w:r>
              <w:rPr>
                <w:rFonts w:ascii="Arial" w:hAnsi="Arial"/>
                <w:b w:val="0"/>
                <w:sz w:val="15"/>
              </w:rPr>
              <w:t>A remedy the report proposes against a finding: a real action, or a presentation that follows the legal substance and needs its evidence, with the change it makes to the statement for the pro-forma grade (docs/35 section 12)</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fin.CreditRemedyStep</w:t>
            </w:r>
          </w:p>
        </w:tc>
        <w:tc>
          <w:tcPr>
            <w:tcW w:type="dxa" w:w="10205"/>
            <w:shd w:val="clear" w:color="auto" w:fill="E8EEF6"/>
          </w:tcPr>
          <w:p>
            <w:pPr>
              <w:spacing w:after="0" w:before="0"/>
            </w:pPr>
            <w:r/>
            <w:r>
              <w:rPr>
                <w:rFonts w:ascii="Arial" w:hAnsi="Arial"/>
                <w:b w:val="0"/>
                <w:sz w:val="15"/>
              </w:rPr>
              <w:t>A step of a remedy's pro-forma: an amount, a share of a reference line capped by what the lines decreased hold, taken from up to three lines and added to up to three</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fin.CreditRemedyTrigger</w:t>
            </w:r>
          </w:p>
        </w:tc>
        <w:tc>
          <w:tcPr>
            <w:tcW w:type="dxa" w:w="10205"/>
          </w:tcPr>
          <w:p>
            <w:pPr>
              <w:spacing w:after="0" w:before="0"/>
            </w:pPr>
            <w:r/>
            <w:r>
              <w:rPr>
                <w:rFonts w:ascii="Arial" w:hAnsi="Arial"/>
                <w:b w:val="0"/>
                <w:sz w:val="15"/>
              </w:rPr>
              <w:t>A finding a remedy answers: a metric or an adjustment code</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fin.CreditText</w:t>
            </w:r>
          </w:p>
        </w:tc>
        <w:tc>
          <w:tcPr>
            <w:tcW w:type="dxa" w:w="10205"/>
            <w:shd w:val="clear" w:color="auto" w:fill="E8EEF6"/>
          </w:tcPr>
          <w:p>
            <w:pPr>
              <w:spacing w:after="0" w:before="0"/>
            </w:pPr>
            <w:r/>
            <w:r>
              <w:rPr>
                <w:rFonts w:ascii="Arial" w:hAnsi="Arial"/>
                <w:b w:val="0"/>
                <w:sz w:val="15"/>
              </w:rPr>
              <w:t>A text of the credit report: the reconciliation rows, the disclosures and data the report asks for, the outlook rules and views, the liquidity labels, the resilience and the funding kinds (docs/35)</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fin.EarlyWarningAlert</w:t>
            </w:r>
          </w:p>
        </w:tc>
        <w:tc>
          <w:tcPr>
            <w:tcW w:type="dxa" w:w="10205"/>
          </w:tcPr>
          <w:p>
            <w:pPr>
              <w:spacing w:after="0" w:before="0"/>
            </w:pPr>
            <w:r/>
            <w:r>
              <w:rPr>
                <w:rFonts w:ascii="Arial" w:hAnsi="Arial"/>
                <w:b w:val="0"/>
                <w:sz w:val="15"/>
              </w:rPr>
              <w:t>An early warning the job JOB-FIN-READINESS issued: a lender date of the company within the lead time that is not ready, once per stage of the time left and readiness, so a run after a stop or a second run of the day repeats nothing; written by the database only, with the notification request in the outbox, FIN.READINESS_RED or FIN.READINESS_AMBER (docs/36 F4, ADR 0027, ADR 0028)</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fin.FinancialStatement</w:t>
            </w:r>
          </w:p>
        </w:tc>
        <w:tc>
          <w:tcPr>
            <w:tcW w:type="dxa" w:w="10205"/>
            <w:shd w:val="clear" w:color="auto" w:fill="E8EEF6"/>
          </w:tcPr>
          <w:p>
            <w:pPr>
              <w:spacing w:after="0" w:before="0"/>
            </w:pPr>
            <w:r/>
            <w:r>
              <w:rPr>
                <w:rFonts w:ascii="Arial" w:hAnsi="Arial"/>
                <w:b w:val="0"/>
                <w:sz w:val="15"/>
              </w:rPr>
              <w:t>Financial statement header; highly confidential (FR-FIN-002/005/006, BR-FIN-001..004, section 8)</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fin.IndustryProfile</w:t>
            </w:r>
          </w:p>
        </w:tc>
        <w:tc>
          <w:tcPr>
            <w:tcW w:type="dxa" w:w="10205"/>
          </w:tcPr>
          <w:p>
            <w:pPr>
              <w:spacing w:after="0" w:before="0"/>
            </w:pPr>
            <w:r/>
            <w:r>
              <w:rPr>
                <w:rFonts w:ascii="Arial" w:hAnsi="Arial"/>
                <w:b w:val="0"/>
                <w:sz w:val="15"/>
              </w:rPr>
              <w:t>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fin.IndustrySensitivity</w:t>
            </w:r>
          </w:p>
        </w:tc>
        <w:tc>
          <w:tcPr>
            <w:tcW w:type="dxa" w:w="10205"/>
            <w:shd w:val="clear" w:color="auto" w:fill="E8EEF6"/>
          </w:tcPr>
          <w:p>
            <w:pPr>
              <w:spacing w:after="0" w:before="0"/>
            </w:pPr>
            <w:r/>
            <w:r>
              <w:rPr>
                <w:rFonts w:ascii="Arial" w:hAnsi="Arial"/>
                <w:b w:val="0"/>
                <w:sz w:val="15"/>
              </w:rPr>
              <w:t>The sensitivity 0 (none) to 5 (extreme) of an activity to a driver of stress (docs/35 section 14)</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fin.LenderRating</w:t>
            </w:r>
          </w:p>
        </w:tc>
        <w:tc>
          <w:tcPr>
            <w:tcW w:type="dxa" w:w="10205"/>
          </w:tcPr>
          <w:p>
            <w:pPr>
              <w:spacing w:after="0" w:before="0"/>
            </w:pPr>
            <w:r/>
            <w:r>
              <w:rPr>
                <w:rFonts w:ascii="Arial" w:hAnsi="Arial"/>
                <w:b w:val="0"/>
                <w:sz w:val="15"/>
              </w:rPr>
              <w:t>A rating of the company that a lender communicated to it: the lender's own grade and its equivalent on the 21-grade scale (given by the lender or mapped by the treasury), with what the lender said; compared with the company's assessment of that date (docs/36 F6, ADR 0026)</w:t>
            </w:r>
          </w:p>
        </w:tc>
        <w:tc>
          <w:tcPr>
            <w:tcW w:type="dxa" w:w="1701"/>
          </w:tcPr>
          <w:p>
            <w:pPr>
              <w:spacing w:after="0" w:before="0"/>
            </w:pPr>
            <w:r/>
            <w:r>
              <w:rPr>
                <w:rFonts w:ascii="Arial" w:hAnsi="Arial"/>
                <w:b w:val="0"/>
                <w:sz w:val="15"/>
              </w:rPr>
              <w:t>m5_financials_13</w:t>
            </w:r>
          </w:p>
        </w:tc>
      </w:tr>
      <w:tr>
        <w:trPr>
          <w:cantSplit w:val="true"/>
        </w:trPr>
        <w:tc>
          <w:tcPr>
            <w:tcW w:type="dxa" w:w="3515"/>
            <w:shd w:val="clear" w:color="auto" w:fill="E8EEF6"/>
          </w:tcPr>
          <w:p>
            <w:pPr>
              <w:spacing w:after="0" w:before="0"/>
            </w:pPr>
            <w:r/>
            <w:r>
              <w:rPr>
                <w:rFonts w:ascii="Arial" w:hAnsi="Arial"/>
                <w:b w:val="0"/>
                <w:sz w:val="15"/>
              </w:rPr>
              <w:t>fin.LineCatalogItem</w:t>
            </w:r>
          </w:p>
        </w:tc>
        <w:tc>
          <w:tcPr>
            <w:tcW w:type="dxa" w:w="10205"/>
            <w:shd w:val="clear" w:color="auto" w:fill="E8EEF6"/>
          </w:tcPr>
          <w:p>
            <w:pPr>
              <w:spacing w:after="0" w:before="0"/>
            </w:pPr>
            <w:r/>
            <w:r>
              <w:rPr>
                <w:rFonts w:ascii="Arial" w:hAnsi="Arial"/>
                <w:b w:val="0"/>
                <w:sz w:val="15"/>
              </w:rPr>
              <w:t>Standard statement line item; 51 items seeded, twelve of them for the credit assessment; system items used in formulas cannot be deleted (FR-FIN-001, FR-FIN-020, CatalogBase)</w:t>
            </w:r>
          </w:p>
        </w:tc>
        <w:tc>
          <w:tcPr>
            <w:tcW w:type="dxa" w:w="1701"/>
            <w:shd w:val="clear" w:color="auto" w:fill="E8EEF6"/>
          </w:tcPr>
          <w:p>
            <w:pPr>
              <w:spacing w:after="0" w:before="0"/>
            </w:pPr>
            <w:r/>
            <w:r>
              <w:rPr>
                <w:rFonts w:ascii="Arial" w:hAnsi="Arial"/>
                <w:b w:val="0"/>
                <w:sz w:val="15"/>
              </w:rPr>
              <w:t>m5_financials_13</w:t>
            </w:r>
          </w:p>
        </w:tc>
      </w:tr>
      <w:tr>
        <w:trPr>
          <w:cantSplit w:val="true"/>
        </w:trPr>
        <w:tc>
          <w:tcPr>
            <w:tcW w:type="dxa" w:w="3515"/>
          </w:tcPr>
          <w:p>
            <w:pPr>
              <w:spacing w:after="0" w:before="0"/>
            </w:pPr>
            <w:r/>
            <w:r>
              <w:rPr>
                <w:rFonts w:ascii="Arial" w:hAnsi="Arial"/>
                <w:b w:val="0"/>
                <w:sz w:val="15"/>
              </w:rPr>
              <w:t>fin.LineCatalogItemAlias</w:t>
            </w:r>
          </w:p>
        </w:tc>
        <w:tc>
          <w:tcPr>
            <w:tcW w:type="dxa" w:w="10205"/>
          </w:tcPr>
          <w:p>
            <w:pPr>
              <w:spacing w:after="0" w:before="0"/>
            </w:pPr>
            <w:r/>
            <w:r>
              <w:rPr>
                <w:rFonts w:ascii="Arial" w:hAnsi="Arial"/>
                <w:b w:val="0"/>
                <w:sz w:val="15"/>
              </w:rPr>
              <w:t>Alternative names (aliases) for a line item, used for paste and matching</w:t>
            </w:r>
          </w:p>
        </w:tc>
        <w:tc>
          <w:tcPr>
            <w:tcW w:type="dxa" w:w="1701"/>
          </w:tcPr>
          <w:p>
            <w:pPr>
              <w:spacing w:after="0" w:before="0"/>
            </w:pPr>
            <w:r/>
            <w:r>
              <w:rPr>
                <w:rFonts w:ascii="Arial" w:hAnsi="Arial"/>
                <w:b w:val="0"/>
                <w:sz w:val="15"/>
              </w:rPr>
              <w:t>m5_financials_13</w:t>
            </w:r>
          </w:p>
        </w:tc>
      </w:tr>
      <w:tr>
        <w:trPr>
          <w:cantSplit w:val="true"/>
        </w:trPr>
        <w:tc>
          <w:tcPr>
            <w:tcW w:type="dxa" w:w="3515"/>
            <w:shd w:val="clear" w:color="auto" w:fill="E8EEF6"/>
          </w:tcPr>
          <w:p>
            <w:pPr>
              <w:spacing w:after="0" w:before="0"/>
            </w:pPr>
            <w:r/>
            <w:r>
              <w:rPr>
                <w:rFonts w:ascii="Arial" w:hAnsi="Arial"/>
                <w:b w:val="0"/>
                <w:sz w:val="15"/>
              </w:rPr>
              <w:t>fin.MacroScenario</w:t>
            </w:r>
          </w:p>
        </w:tc>
        <w:tc>
          <w:tcPr>
            <w:tcW w:type="dxa" w:w="10205"/>
            <w:shd w:val="clear" w:color="auto" w:fill="E8EEF6"/>
          </w:tcPr>
          <w:p>
            <w:pPr>
              <w:spacing w:after="0" w:before="0"/>
            </w:pPr>
            <w:r/>
            <w:r>
              <w:rPr>
                <w:rFonts w:ascii="Arial" w:hAnsi="Arial"/>
                <w:b w:val="0"/>
                <w:sz w:val="15"/>
              </w:rPr>
              <w:t>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1701"/>
            <w:shd w:val="clear" w:color="auto" w:fill="E8EEF6"/>
          </w:tcPr>
          <w:p>
            <w:pPr>
              <w:spacing w:after="0" w:before="0"/>
            </w:pPr>
            <w:r/>
            <w:r>
              <w:rPr>
                <w:rFonts w:ascii="Arial" w:hAnsi="Arial"/>
                <w:b w:val="0"/>
                <w:sz w:val="15"/>
              </w:rPr>
              <w:t>m5_financials_13</w:t>
            </w:r>
          </w:p>
        </w:tc>
      </w:tr>
      <w:tr>
        <w:trPr>
          <w:cantSplit w:val="true"/>
        </w:trPr>
        <w:tc>
          <w:tcPr>
            <w:tcW w:type="dxa" w:w="3515"/>
          </w:tcPr>
          <w:p>
            <w:pPr>
              <w:spacing w:after="0" w:before="0"/>
            </w:pPr>
            <w:r/>
            <w:r>
              <w:rPr>
                <w:rFonts w:ascii="Arial" w:hAnsi="Arial"/>
                <w:b w:val="0"/>
                <w:sz w:val="15"/>
              </w:rPr>
              <w:t>fin.MacroScenarioCountry</w:t>
            </w:r>
          </w:p>
        </w:tc>
        <w:tc>
          <w:tcPr>
            <w:tcW w:type="dxa" w:w="10205"/>
          </w:tcPr>
          <w:p>
            <w:pPr>
              <w:spacing w:after="0" w:before="0"/>
            </w:pPr>
            <w:r/>
            <w:r>
              <w:rPr>
                <w:rFonts w:ascii="Arial" w:hAnsi="Arial"/>
                <w:b w:val="0"/>
                <w:sz w:val="15"/>
              </w:rPr>
              <w:t>The multiplier of a macro scenario's stress for a country it hits more or less than others; a country without a row takes the scenario's OtherCountryMult (docs/35 section 14, ADR 0020)</w:t>
            </w:r>
          </w:p>
        </w:tc>
        <w:tc>
          <w:tcPr>
            <w:tcW w:type="dxa" w:w="1701"/>
          </w:tcPr>
          <w:p>
            <w:pPr>
              <w:spacing w:after="0" w:before="0"/>
            </w:pPr>
            <w:r/>
            <w:r>
              <w:rPr>
                <w:rFonts w:ascii="Arial" w:hAnsi="Arial"/>
                <w:b w:val="0"/>
                <w:sz w:val="15"/>
              </w:rPr>
              <w:t>m5_financials_14</w:t>
            </w:r>
          </w:p>
        </w:tc>
      </w:tr>
      <w:tr>
        <w:trPr>
          <w:cantSplit w:val="true"/>
        </w:trPr>
        <w:tc>
          <w:tcPr>
            <w:tcW w:type="dxa" w:w="3515"/>
            <w:shd w:val="clear" w:color="auto" w:fill="E8EEF6"/>
          </w:tcPr>
          <w:p>
            <w:pPr>
              <w:spacing w:after="0" w:before="0"/>
            </w:pPr>
            <w:r/>
            <w:r>
              <w:rPr>
                <w:rFonts w:ascii="Arial" w:hAnsi="Arial"/>
                <w:b w:val="0"/>
                <w:sz w:val="15"/>
              </w:rPr>
              <w:t>fin.MacroScenarioIntensity</w:t>
            </w:r>
          </w:p>
        </w:tc>
        <w:tc>
          <w:tcPr>
            <w:tcW w:type="dxa" w:w="10205"/>
            <w:shd w:val="clear" w:color="auto" w:fill="E8EEF6"/>
          </w:tcPr>
          <w:p>
            <w:pPr>
              <w:spacing w:after="0" w:before="0"/>
            </w:pPr>
            <w:r/>
            <w:r>
              <w:rPr>
                <w:rFonts w:ascii="Arial" w:hAnsi="Arial"/>
                <w:b w:val="0"/>
                <w:sz w:val="15"/>
              </w:rPr>
              <w:t>The intensity 0 to 1 of a driver in a macro scenario (docs/35 section 14)</w:t>
            </w:r>
          </w:p>
        </w:tc>
        <w:tc>
          <w:tcPr>
            <w:tcW w:type="dxa" w:w="1701"/>
            <w:shd w:val="clear" w:color="auto" w:fill="E8EEF6"/>
          </w:tcPr>
          <w:p>
            <w:pPr>
              <w:spacing w:after="0" w:before="0"/>
            </w:pPr>
            <w:r/>
            <w:r>
              <w:rPr>
                <w:rFonts w:ascii="Arial" w:hAnsi="Arial"/>
                <w:b w:val="0"/>
                <w:sz w:val="15"/>
              </w:rPr>
              <w:t>m5_financials_14</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m5_financials_14</w:t>
            </w:r>
          </w:p>
        </w:tc>
      </w:tr>
      <w:tr>
        <w:trPr>
          <w:cantSplit w:val="true"/>
        </w:trPr>
        <w:tc>
          <w:tcPr>
            <w:tcW w:type="dxa" w:w="3515"/>
            <w:shd w:val="clear" w:color="auto" w:fill="E8EEF6"/>
          </w:tcPr>
          <w:p>
            <w:pPr>
              <w:spacing w:after="0" w:before="0"/>
            </w:pPr>
            <w:r/>
            <w:r>
              <w:rPr>
                <w:rFonts w:ascii="Arial" w:hAnsi="Arial"/>
                <w:b w:val="0"/>
                <w:sz w:val="15"/>
              </w:rPr>
              <w:t>fin.PresentationVersion</w:t>
            </w:r>
          </w:p>
        </w:tc>
        <w:tc>
          <w:tcPr>
            <w:tcW w:type="dxa" w:w="10205"/>
            <w:shd w:val="clear" w:color="auto" w:fill="E8EEF6"/>
          </w:tcPr>
          <w:p>
            <w:pPr>
              <w:spacing w:after="0" w:before="0"/>
            </w:pPr>
            <w:r/>
            <w:r>
              <w:rPr>
                <w:rFonts w:ascii="Arial" w:hAnsi="Arial"/>
                <w:b w:val="0"/>
                <w:sz w:val="15"/>
              </w:rPr>
              <w:t>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1701"/>
            <w:shd w:val="clear" w:color="auto" w:fill="E8EEF6"/>
          </w:tcPr>
          <w:p>
            <w:pPr>
              <w:spacing w:after="0" w:before="0"/>
            </w:pPr>
            <w:r/>
            <w:r>
              <w:rPr>
                <w:rFonts w:ascii="Arial" w:hAnsi="Arial"/>
                <w:b w:val="0"/>
                <w:sz w:val="15"/>
              </w:rPr>
              <w:t>m5_financials_14</w:t>
            </w:r>
          </w:p>
        </w:tc>
      </w:tr>
      <w:tr>
        <w:trPr>
          <w:cantSplit w:val="true"/>
        </w:trPr>
        <w:tc>
          <w:tcPr>
            <w:tcW w:type="dxa" w:w="3515"/>
          </w:tcPr>
          <w:p>
            <w:pPr>
              <w:spacing w:after="0" w:before="0"/>
            </w:pPr>
            <w:r/>
            <w:r>
              <w:rPr>
                <w:rFonts w:ascii="Arial" w:hAnsi="Arial"/>
                <w:b w:val="0"/>
                <w:sz w:val="15"/>
              </w:rPr>
              <w:t>fin.PresentationVersionStep</w:t>
            </w:r>
          </w:p>
        </w:tc>
        <w:tc>
          <w:tcPr>
            <w:tcW w:type="dxa" w:w="10205"/>
          </w:tcPr>
          <w:p>
            <w:pPr>
              <w:spacing w:after="0" w:before="0"/>
            </w:pPr>
            <w:r/>
            <w:r>
              <w:rPr>
                <w:rFonts w:ascii="Arial" w:hAnsi="Arial"/>
                <w:b w:val="0"/>
                <w:sz w:val="15"/>
              </w:rPr>
              <w:t>A remedy of the methodology the company chose for a presentation version, in order, with the document that supports it; the amount it moved is written by the build (docs/36 F2, ADR 0023)</w:t>
            </w:r>
          </w:p>
        </w:tc>
        <w:tc>
          <w:tcPr>
            <w:tcW w:type="dxa" w:w="1701"/>
          </w:tcPr>
          <w:p>
            <w:pPr>
              <w:spacing w:after="0" w:before="0"/>
            </w:pPr>
            <w:r/>
            <w:r>
              <w:rPr>
                <w:rFonts w:ascii="Arial" w:hAnsi="Arial"/>
                <w:b w:val="0"/>
                <w:sz w:val="15"/>
              </w:rPr>
              <w:t>m5_financials_15</w:t>
            </w:r>
          </w:p>
        </w:tc>
      </w:tr>
      <w:tr>
        <w:trPr>
          <w:cantSplit w:val="true"/>
        </w:trPr>
        <w:tc>
          <w:tcPr>
            <w:tcW w:type="dxa" w:w="3515"/>
            <w:shd w:val="clear" w:color="auto" w:fill="E8EEF6"/>
          </w:tcPr>
          <w:p>
            <w:pPr>
              <w:spacing w:after="0" w:before="0"/>
            </w:pPr>
            <w:r/>
            <w:r>
              <w:rPr>
                <w:rFonts w:ascii="Arial" w:hAnsi="Arial"/>
                <w:b w:val="0"/>
                <w:sz w:val="15"/>
              </w:rPr>
              <w:t>fin.ProductCategory</w:t>
            </w:r>
          </w:p>
        </w:tc>
        <w:tc>
          <w:tcPr>
            <w:tcW w:type="dxa" w:w="10205"/>
            <w:shd w:val="clear" w:color="auto" w:fill="E8EEF6"/>
          </w:tcPr>
          <w:p>
            <w:pPr>
              <w:spacing w:after="0" w:before="0"/>
            </w:pPr>
            <w:r/>
            <w:r>
              <w:rPr>
                <w:rFonts w:ascii="Arial" w:hAnsi="Arial"/>
                <w:b w:val="0"/>
                <w:sz w:val="15"/>
              </w:rPr>
              <w:t>A category of products or services and its credit behaviour: cash-flow quality, revenue sensitivity, inventory sale value and time to sell in normal, stagnant and crisis markets (docs/35 section 5)</w:t>
            </w:r>
          </w:p>
        </w:tc>
        <w:tc>
          <w:tcPr>
            <w:tcW w:type="dxa" w:w="1701"/>
            <w:shd w:val="clear" w:color="auto" w:fill="E8EEF6"/>
          </w:tcPr>
          <w:p>
            <w:pPr>
              <w:spacing w:after="0" w:before="0"/>
            </w:pPr>
            <w:r/>
            <w:r>
              <w:rPr>
                <w:rFonts w:ascii="Arial" w:hAnsi="Arial"/>
                <w:b w:val="0"/>
                <w:sz w:val="15"/>
              </w:rPr>
              <w:t>m5_financials_15</w:t>
            </w:r>
          </w:p>
        </w:tc>
      </w:tr>
      <w:tr>
        <w:trPr>
          <w:cantSplit w:val="true"/>
        </w:trPr>
        <w:tc>
          <w:tcPr>
            <w:tcW w:type="dxa" w:w="3515"/>
          </w:tcPr>
          <w:p>
            <w:pPr>
              <w:spacing w:after="0" w:before="0"/>
            </w:pPr>
            <w:r/>
            <w:r>
              <w:rPr>
                <w:rFonts w:ascii="Arial" w:hAnsi="Arial"/>
                <w:b w:val="0"/>
                <w:sz w:val="15"/>
              </w:rPr>
              <w:t>fin.RatingGrade</w:t>
            </w:r>
          </w:p>
        </w:tc>
        <w:tc>
          <w:tcPr>
            <w:tcW w:type="dxa" w:w="10205"/>
          </w:tcPr>
          <w:p>
            <w:pPr>
              <w:spacing w:after="0" w:before="0"/>
            </w:pPr>
            <w:r/>
            <w:r>
              <w:rPr>
                <w:rFonts w:ascii="Arial" w:hAnsi="Arial"/>
                <w:b w:val="0"/>
                <w:sz w:val="15"/>
              </w:rPr>
              <w:t>The 21 grades of the Moody's long-term scale, their range on the scorecard continuum and their risk band (docs/35 section 2, BR-FIN-018)</w:t>
            </w:r>
          </w:p>
        </w:tc>
        <w:tc>
          <w:tcPr>
            <w:tcW w:type="dxa" w:w="1701"/>
          </w:tcPr>
          <w:p>
            <w:pPr>
              <w:spacing w:after="0" w:before="0"/>
            </w:pPr>
            <w:r/>
            <w:r>
              <w:rPr>
                <w:rFonts w:ascii="Arial" w:hAnsi="Arial"/>
                <w:b w:val="0"/>
                <w:sz w:val="15"/>
              </w:rPr>
              <w:t>m5_financials_15</w:t>
            </w:r>
          </w:p>
        </w:tc>
      </w:tr>
      <w:tr>
        <w:trPr>
          <w:cantSplit w:val="true"/>
        </w:trPr>
        <w:tc>
          <w:tcPr>
            <w:tcW w:type="dxa" w:w="3515"/>
            <w:shd w:val="clear" w:color="auto" w:fill="E8EEF6"/>
          </w:tcPr>
          <w:p>
            <w:pPr>
              <w:spacing w:after="0" w:before="0"/>
            </w:pPr>
            <w:r/>
            <w:r>
              <w:rPr>
                <w:rFonts w:ascii="Arial" w:hAnsi="Arial"/>
                <w:b w:val="0"/>
                <w:sz w:val="15"/>
              </w:rPr>
              <w:t>fin.RevenueEstimate</w:t>
            </w:r>
          </w:p>
        </w:tc>
        <w:tc>
          <w:tcPr>
            <w:tcW w:type="dxa" w:w="10205"/>
            <w:shd w:val="clear" w:color="auto" w:fill="E8EEF6"/>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1701"/>
            <w:shd w:val="clear" w:color="auto" w:fill="E8EEF6"/>
          </w:tcPr>
          <w:p>
            <w:pPr>
              <w:spacing w:after="0" w:before="0"/>
            </w:pPr>
            <w:r/>
            <w:r>
              <w:rPr>
                <w:rFonts w:ascii="Arial" w:hAnsi="Arial"/>
                <w:b w:val="0"/>
                <w:sz w:val="15"/>
              </w:rPr>
              <w:t>m5_financials_15</w:t>
            </w:r>
          </w:p>
        </w:tc>
      </w:tr>
      <w:tr>
        <w:trPr>
          <w:cantSplit w:val="true"/>
        </w:trPr>
        <w:tc>
          <w:tcPr>
            <w:tcW w:type="dxa" w:w="3515"/>
          </w:tcPr>
          <w:p>
            <w:pPr>
              <w:spacing w:after="0" w:before="0"/>
            </w:pPr>
            <w:r/>
            <w:r>
              <w:rPr>
                <w:rFonts w:ascii="Arial" w:hAnsi="Arial"/>
                <w:b w:val="0"/>
                <w:sz w:val="15"/>
              </w:rPr>
              <w:t>fin.RiskAnchor</w:t>
            </w:r>
          </w:p>
        </w:tc>
        <w:tc>
          <w:tcPr>
            <w:tcW w:type="dxa" w:w="10205"/>
          </w:tcPr>
          <w:p>
            <w:pPr>
              <w:spacing w:after="0" w:before="0"/>
            </w:pPr>
            <w:r/>
            <w:r>
              <w:rPr>
                <w:rFonts w:ascii="Arial" w:hAnsi="Arial"/>
                <w:b w:val="0"/>
                <w:sz w:val="15"/>
              </w:rPr>
              <w:t>The anchor of a company's business risk from its country risk and its industry risk, a notch of the 21-grade scale: the computed sector risk sub-factor and the centre of the expected range (docs/35 section 13)</w:t>
            </w:r>
          </w:p>
        </w:tc>
        <w:tc>
          <w:tcPr>
            <w:tcW w:type="dxa" w:w="1701"/>
          </w:tcPr>
          <w:p>
            <w:pPr>
              <w:spacing w:after="0" w:before="0"/>
            </w:pPr>
            <w:r/>
            <w:r>
              <w:rPr>
                <w:rFonts w:ascii="Arial" w:hAnsi="Arial"/>
                <w:b w:val="0"/>
                <w:sz w:val="15"/>
              </w:rPr>
              <w:t>m5_financials_16</w:t>
            </w:r>
          </w:p>
        </w:tc>
      </w:tr>
      <w:tr>
        <w:trPr>
          <w:cantSplit w:val="true"/>
        </w:trPr>
        <w:tc>
          <w:tcPr>
            <w:tcW w:type="dxa" w:w="3515"/>
            <w:shd w:val="clear" w:color="auto" w:fill="E8EEF6"/>
          </w:tcPr>
          <w:p>
            <w:pPr>
              <w:spacing w:after="0" w:before="0"/>
            </w:pPr>
            <w:r/>
            <w:r>
              <w:rPr>
                <w:rFonts w:ascii="Arial" w:hAnsi="Arial"/>
                <w:b w:val="0"/>
                <w:sz w:val="15"/>
              </w:rPr>
              <w:t>fin.Scorecard</w:t>
            </w:r>
          </w:p>
        </w:tc>
        <w:tc>
          <w:tcPr>
            <w:tcW w:type="dxa" w:w="10205"/>
            <w:shd w:val="clear" w:color="auto" w:fill="E8EEF6"/>
          </w:tcPr>
          <w:p>
            <w:pPr>
              <w:spacing w:after="0" w:before="0"/>
            </w:pPr>
            <w:r/>
            <w:r>
              <w:rPr>
                <w:rFonts w:ascii="Arial" w:hAnsi="Arial"/>
                <w:b w:val="0"/>
                <w:sz w:val="15"/>
              </w:rPr>
              <w:t>A sector scorecard of the credit assessment and its version; approved, it never changes and a change is a new version (docs/35 section 5, BR-FIN-023)</w:t>
            </w:r>
          </w:p>
        </w:tc>
        <w:tc>
          <w:tcPr>
            <w:tcW w:type="dxa" w:w="1701"/>
            <w:shd w:val="clear" w:color="auto" w:fill="E8EEF6"/>
          </w:tcPr>
          <w:p>
            <w:pPr>
              <w:spacing w:after="0" w:before="0"/>
            </w:pPr>
            <w:r/>
            <w:r>
              <w:rPr>
                <w:rFonts w:ascii="Arial" w:hAnsi="Arial"/>
                <w:b w:val="0"/>
                <w:sz w:val="15"/>
              </w:rPr>
              <w:t>m5_financials_16</w:t>
            </w:r>
          </w:p>
        </w:tc>
      </w:tr>
      <w:tr>
        <w:trPr>
          <w:cantSplit w:val="true"/>
        </w:trPr>
        <w:tc>
          <w:tcPr>
            <w:tcW w:type="dxa" w:w="3515"/>
          </w:tcPr>
          <w:p>
            <w:pPr>
              <w:spacing w:after="0" w:before="0"/>
            </w:pPr>
            <w:r/>
            <w:r>
              <w:rPr>
                <w:rFonts w:ascii="Arial" w:hAnsi="Arial"/>
                <w:b w:val="0"/>
                <w:sz w:val="15"/>
              </w:rPr>
              <w:t>fin.ScorecardAdjustment</w:t>
            </w:r>
          </w:p>
        </w:tc>
        <w:tc>
          <w:tcPr>
            <w:tcW w:type="dxa" w:w="10205"/>
          </w:tcPr>
          <w:p>
            <w:pPr>
              <w:spacing w:after="0" w:before="0"/>
            </w:pPr>
            <w:r/>
            <w:r>
              <w:rPr>
                <w:rFonts w:ascii="Arial" w:hAnsi="Arial"/>
                <w:b w:val="0"/>
                <w:sz w:val="15"/>
              </w:rPr>
              <w:t>An adjustment of a scorecard: notches down, a standalone cap or an absolute cap on the best grade, applied in that order around group support and the override (docs/35 section 7)</w:t>
            </w:r>
          </w:p>
        </w:tc>
        <w:tc>
          <w:tcPr>
            <w:tcW w:type="dxa" w:w="1701"/>
          </w:tcPr>
          <w:p>
            <w:pPr>
              <w:spacing w:after="0" w:before="0"/>
            </w:pPr>
            <w:r/>
            <w:r>
              <w:rPr>
                <w:rFonts w:ascii="Arial" w:hAnsi="Arial"/>
                <w:b w:val="0"/>
                <w:sz w:val="15"/>
              </w:rPr>
              <w:t>m5_financials_16</w:t>
            </w:r>
          </w:p>
        </w:tc>
      </w:tr>
      <w:tr>
        <w:trPr>
          <w:cantSplit w:val="true"/>
        </w:trPr>
        <w:tc>
          <w:tcPr>
            <w:tcW w:type="dxa" w:w="3515"/>
            <w:shd w:val="clear" w:color="auto" w:fill="E8EEF6"/>
          </w:tcPr>
          <w:p>
            <w:pPr>
              <w:spacing w:after="0" w:before="0"/>
            </w:pPr>
            <w:r/>
            <w:r>
              <w:rPr>
                <w:rFonts w:ascii="Arial" w:hAnsi="Arial"/>
                <w:b w:val="0"/>
                <w:sz w:val="15"/>
              </w:rPr>
              <w:t>fin.ScorecardItemRule</w:t>
            </w:r>
          </w:p>
        </w:tc>
        <w:tc>
          <w:tcPr>
            <w:tcW w:type="dxa" w:w="10205"/>
            <w:shd w:val="clear" w:color="auto" w:fill="E8EEF6"/>
          </w:tcPr>
          <w:p>
            <w:pPr>
              <w:spacing w:after="0" w:before="0"/>
            </w:pPr>
            <w:r/>
            <w:r>
              <w:rPr>
                <w:rFonts w:ascii="Arial" w:hAnsi="Arial"/>
                <w:b w:val="0"/>
                <w:sz w:val="15"/>
              </w:rPr>
              <w:t>A balance-sheet item rule of a scorecard: the item, its metric and the thresholds of LOW, MODERATE, ELEVATED, HIGH and CRITICAL; a value on a threshold belongs to the worse level (docs/35 section 6)</w:t>
            </w:r>
          </w:p>
        </w:tc>
        <w:tc>
          <w:tcPr>
            <w:tcW w:type="dxa" w:w="1701"/>
            <w:shd w:val="clear" w:color="auto" w:fill="E8EEF6"/>
          </w:tcPr>
          <w:p>
            <w:pPr>
              <w:spacing w:after="0" w:before="0"/>
            </w:pPr>
            <w:r/>
            <w:r>
              <w:rPr>
                <w:rFonts w:ascii="Arial" w:hAnsi="Arial"/>
                <w:b w:val="0"/>
                <w:sz w:val="15"/>
              </w:rPr>
              <w:t>m5_financials_16</w:t>
            </w:r>
          </w:p>
        </w:tc>
      </w:tr>
      <w:tr>
        <w:trPr>
          <w:cantSplit w:val="true"/>
        </w:trPr>
        <w:tc>
          <w:tcPr>
            <w:tcW w:type="dxa" w:w="3515"/>
          </w:tcPr>
          <w:p>
            <w:pPr>
              <w:spacing w:after="0" w:before="0"/>
            </w:pPr>
            <w:r/>
            <w:r>
              <w:rPr>
                <w:rFonts w:ascii="Arial" w:hAnsi="Arial"/>
                <w:b w:val="0"/>
                <w:sz w:val="15"/>
              </w:rPr>
              <w:t>fin.ScorecardMetric</w:t>
            </w:r>
          </w:p>
        </w:tc>
        <w:tc>
          <w:tcPr>
            <w:tcW w:type="dxa" w:w="10205"/>
          </w:tcPr>
          <w:p>
            <w:pPr>
              <w:spacing w:after="0" w:before="0"/>
            </w:pPr>
            <w:r/>
            <w:r>
              <w:rPr>
                <w:rFonts w:ascii="Arial" w:hAnsi="Arial"/>
                <w:b w:val="0"/>
                <w:sz w:val="15"/>
              </w:rPr>
              <w:t>A metric of a scorecard: its factor, its weight and the nine boundaries of its grid (best cap, Aaa|Aa, Aa|A, A|Baa, Baa|Ba, Ba|B, B|Caa, Caa|Ca, worst cap); a qualitative metric has no grid (docs/35 section 5)</w:t>
            </w:r>
          </w:p>
        </w:tc>
        <w:tc>
          <w:tcPr>
            <w:tcW w:type="dxa" w:w="1701"/>
          </w:tcPr>
          <w:p>
            <w:pPr>
              <w:spacing w:after="0" w:before="0"/>
            </w:pPr>
            <w:r/>
            <w:r>
              <w:rPr>
                <w:rFonts w:ascii="Arial" w:hAnsi="Arial"/>
                <w:b w:val="0"/>
                <w:sz w:val="15"/>
              </w:rPr>
              <w:t>m5_financials_17</w:t>
            </w:r>
          </w:p>
        </w:tc>
      </w:tr>
      <w:tr>
        <w:trPr>
          <w:cantSplit w:val="true"/>
        </w:trPr>
        <w:tc>
          <w:tcPr>
            <w:tcW w:type="dxa" w:w="3515"/>
            <w:shd w:val="clear" w:color="auto" w:fill="E8EEF6"/>
          </w:tcPr>
          <w:p>
            <w:pPr>
              <w:spacing w:after="0" w:before="0"/>
            </w:pPr>
            <w:r/>
            <w:r>
              <w:rPr>
                <w:rFonts w:ascii="Arial" w:hAnsi="Arial"/>
                <w:b w:val="0"/>
                <w:sz w:val="15"/>
              </w:rPr>
              <w:t>fin.ScorecardParameter</w:t>
            </w:r>
          </w:p>
        </w:tc>
        <w:tc>
          <w:tcPr>
            <w:tcW w:type="dxa" w:w="10205"/>
            <w:shd w:val="clear" w:color="auto" w:fill="E8EEF6"/>
          </w:tcPr>
          <w:p>
            <w:pPr>
              <w:spacing w:after="0" w:before="0"/>
            </w:pPr>
            <w:r/>
            <w:r>
              <w:rPr>
                <w:rFonts w:ascii="Arial" w:hAnsi="Arial"/>
                <w:b w:val="0"/>
                <w:sz w:val="15"/>
              </w:rPr>
              <w:t>A parameter of a scorecard version: a haircut of the break-up test, a collateral haircut, a band of the loss given default, a liquidity threshold, a cost rule; frozen with its scorecard (docs/35 sections 5, 9 and 10)</w:t>
            </w:r>
          </w:p>
        </w:tc>
        <w:tc>
          <w:tcPr>
            <w:tcW w:type="dxa" w:w="1701"/>
            <w:shd w:val="clear" w:color="auto" w:fill="E8EEF6"/>
          </w:tcPr>
          <w:p>
            <w:pPr>
              <w:spacing w:after="0" w:before="0"/>
            </w:pPr>
            <w:r/>
            <w:r>
              <w:rPr>
                <w:rFonts w:ascii="Arial" w:hAnsi="Arial"/>
                <w:b w:val="0"/>
                <w:sz w:val="15"/>
              </w:rPr>
              <w:t>m5_financials_17</w:t>
            </w:r>
          </w:p>
        </w:tc>
      </w:tr>
      <w:tr>
        <w:trPr>
          <w:cantSplit w:val="true"/>
        </w:trPr>
        <w:tc>
          <w:tcPr>
            <w:tcW w:type="dxa" w:w="3515"/>
          </w:tcPr>
          <w:p>
            <w:pPr>
              <w:spacing w:after="0" w:before="0"/>
            </w:pPr>
            <w:r/>
            <w:r>
              <w:rPr>
                <w:rFonts w:ascii="Arial" w:hAnsi="Arial"/>
                <w:b w:val="0"/>
                <w:sz w:val="15"/>
              </w:rPr>
              <w:t>fin.ScorecardSubfactor</w:t>
            </w:r>
          </w:p>
        </w:tc>
        <w:tc>
          <w:tcPr>
            <w:tcW w:type="dxa" w:w="10205"/>
          </w:tcPr>
          <w:p>
            <w:pPr>
              <w:spacing w:after="0" w:before="0"/>
            </w:pPr>
            <w:r/>
            <w:r>
              <w:rPr>
                <w:rFonts w:ascii="Arial" w:hAnsi="Arial"/>
                <w:b w:val="0"/>
                <w:sz w:val="15"/>
              </w:rPr>
              <w:t>A sub-factor of a qualitative factor of a scorecard, with its grading guide; the factor's grade is the average of the graded sub-factors when the analyst grades them (docs/35 section 5)</w:t>
            </w:r>
          </w:p>
        </w:tc>
        <w:tc>
          <w:tcPr>
            <w:tcW w:type="dxa" w:w="1701"/>
          </w:tcPr>
          <w:p>
            <w:pPr>
              <w:spacing w:after="0" w:before="0"/>
            </w:pPr>
            <w:r/>
            <w:r>
              <w:rPr>
                <w:rFonts w:ascii="Arial" w:hAnsi="Arial"/>
                <w:b w:val="0"/>
                <w:sz w:val="15"/>
              </w:rPr>
              <w:t>m5_financials_17</w:t>
            </w:r>
          </w:p>
        </w:tc>
      </w:tr>
      <w:tr>
        <w:trPr>
          <w:cantSplit w:val="true"/>
        </w:trPr>
        <w:tc>
          <w:tcPr>
            <w:tcW w:type="dxa" w:w="3515"/>
            <w:shd w:val="clear" w:color="auto" w:fill="E8EEF6"/>
          </w:tcPr>
          <w:p>
            <w:pPr>
              <w:spacing w:after="0" w:before="0"/>
            </w:pPr>
            <w:r/>
            <w:r>
              <w:rPr>
                <w:rFonts w:ascii="Arial" w:hAnsi="Arial"/>
                <w:b w:val="0"/>
                <w:sz w:val="15"/>
              </w:rPr>
              <w:t>fin.ShockDriver</w:t>
            </w:r>
          </w:p>
        </w:tc>
        <w:tc>
          <w:tcPr>
            <w:tcW w:type="dxa" w:w="10205"/>
            <w:shd w:val="clear" w:color="auto" w:fill="E8EEF6"/>
          </w:tcPr>
          <w:p>
            <w:pPr>
              <w:spacing w:after="0" w:before="0"/>
            </w:pPr>
            <w:r/>
            <w:r>
              <w:rPr>
                <w:rFonts w:ascii="Arial" w:hAnsi="Arial"/>
                <w:b w:val="0"/>
                <w:sz w:val="15"/>
              </w:rPr>
              <w:t>A driver of stress: private demand, government spending, real estate, conflict, oil, credit, imports and currency; its effect at full intensity on revenue, gross margin and collection days (docs/35 section 14, ADR 0019)</w:t>
            </w:r>
          </w:p>
        </w:tc>
        <w:tc>
          <w:tcPr>
            <w:tcW w:type="dxa" w:w="1701"/>
            <w:shd w:val="clear" w:color="auto" w:fill="E8EEF6"/>
          </w:tcPr>
          <w:p>
            <w:pPr>
              <w:spacing w:after="0" w:before="0"/>
            </w:pPr>
            <w:r/>
            <w:r>
              <w:rPr>
                <w:rFonts w:ascii="Arial" w:hAnsi="Arial"/>
                <w:b w:val="0"/>
                <w:sz w:val="15"/>
              </w:rPr>
              <w:t>m5_financials_17</w:t>
            </w:r>
          </w:p>
        </w:tc>
      </w:tr>
      <w:tr>
        <w:trPr>
          <w:cantSplit w:val="true"/>
        </w:trPr>
        <w:tc>
          <w:tcPr>
            <w:tcW w:type="dxa" w:w="3515"/>
          </w:tcPr>
          <w:p>
            <w:pPr>
              <w:spacing w:after="0" w:before="0"/>
            </w:pPr>
            <w:r/>
            <w:r>
              <w:rPr>
                <w:rFonts w:ascii="Arial" w:hAnsi="Arial"/>
                <w:b w:val="0"/>
                <w:sz w:val="15"/>
              </w:rPr>
              <w:t>fin.StandardLine</w:t>
            </w:r>
          </w:p>
        </w:tc>
        <w:tc>
          <w:tcPr>
            <w:tcW w:type="dxa" w:w="10205"/>
          </w:tcPr>
          <w:p>
            <w:pPr>
              <w:spacing w:after="0" w:before="0"/>
            </w:pPr>
            <w:r/>
            <w:r>
              <w:rPr>
                <w:rFonts w:ascii="Arial" w:hAnsi="Arial"/>
                <w:b w:val="0"/>
                <w:sz w:val="15"/>
              </w:rPr>
              <w:t>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701"/>
          </w:tcPr>
          <w:p>
            <w:pPr>
              <w:spacing w:after="0" w:before="0"/>
            </w:pPr>
            <w:r/>
            <w:r>
              <w:rPr>
                <w:rFonts w:ascii="Arial" w:hAnsi="Arial"/>
                <w:b w:val="0"/>
                <w:sz w:val="15"/>
              </w:rPr>
              <w:t>m5_financials_18</w:t>
            </w:r>
          </w:p>
        </w:tc>
      </w:tr>
      <w:tr>
        <w:trPr>
          <w:cantSplit w:val="true"/>
        </w:trPr>
        <w:tc>
          <w:tcPr>
            <w:tcW w:type="dxa" w:w="3515"/>
            <w:shd w:val="clear" w:color="auto" w:fill="E8EEF6"/>
          </w:tcPr>
          <w:p>
            <w:pPr>
              <w:spacing w:after="0" w:before="0"/>
            </w:pPr>
            <w:r/>
            <w:r>
              <w:rPr>
                <w:rFonts w:ascii="Arial" w:hAnsi="Arial"/>
                <w:b w:val="0"/>
                <w:sz w:val="15"/>
              </w:rPr>
              <w:t>fin.StandardLineTotal</w:t>
            </w:r>
          </w:p>
        </w:tc>
        <w:tc>
          <w:tcPr>
            <w:tcW w:type="dxa" w:w="10205"/>
            <w:shd w:val="clear" w:color="auto" w:fill="E8EEF6"/>
          </w:tcPr>
          <w:p>
            <w:pPr>
              <w:spacing w:after="0" w:before="0"/>
            </w:pPr>
            <w:r/>
            <w:r>
              <w:rPr>
                <w:rFonts w:ascii="Arial" w:hAnsi="Arial"/>
                <w:b w:val="0"/>
                <w:sz w:val="15"/>
              </w:rPr>
              <w:t>The components of a standard total and their sign, so a total is recomputed after a pro-forma change (docs/35 section 12)</w:t>
            </w:r>
          </w:p>
        </w:tc>
        <w:tc>
          <w:tcPr>
            <w:tcW w:type="dxa" w:w="1701"/>
            <w:shd w:val="clear" w:color="auto" w:fill="E8EEF6"/>
          </w:tcPr>
          <w:p>
            <w:pPr>
              <w:spacing w:after="0" w:before="0"/>
            </w:pPr>
            <w:r/>
            <w:r>
              <w:rPr>
                <w:rFonts w:ascii="Arial" w:hAnsi="Arial"/>
                <w:b w:val="0"/>
                <w:sz w:val="15"/>
              </w:rPr>
              <w:t>m5_financials_18</w:t>
            </w:r>
          </w:p>
        </w:tc>
      </w:tr>
      <w:tr>
        <w:trPr>
          <w:cantSplit w:val="true"/>
        </w:trPr>
        <w:tc>
          <w:tcPr>
            <w:tcW w:type="dxa" w:w="3515"/>
          </w:tcPr>
          <w:p>
            <w:pPr>
              <w:spacing w:after="0" w:before="0"/>
            </w:pPr>
            <w:r/>
            <w:r>
              <w:rPr>
                <w:rFonts w:ascii="Arial" w:hAnsi="Arial"/>
                <w:b w:val="0"/>
                <w:sz w:val="15"/>
              </w:rPr>
              <w:t>fin.StatementLine</w:t>
            </w:r>
          </w:p>
        </w:tc>
        <w:tc>
          <w:tcPr>
            <w:tcW w:type="dxa" w:w="10205"/>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tcPr>
          <w:p>
            <w:pPr>
              <w:spacing w:after="0" w:before="0"/>
            </w:pPr>
            <w:r/>
            <w:r>
              <w:rPr>
                <w:rFonts w:ascii="Arial" w:hAnsi="Arial"/>
                <w:b w:val="0"/>
                <w:sz w:val="15"/>
              </w:rPr>
              <w:t>m5_financials_18</w:t>
            </w:r>
          </w:p>
        </w:tc>
      </w:tr>
      <w:tr>
        <w:trPr>
          <w:cantSplit w:val="true"/>
        </w:trPr>
        <w:tc>
          <w:tcPr>
            <w:tcW w:type="dxa" w:w="3515"/>
            <w:shd w:val="clear" w:color="auto" w:fill="E8EEF6"/>
          </w:tcPr>
          <w:p>
            <w:pPr>
              <w:spacing w:after="0" w:before="0"/>
            </w:pPr>
            <w:r/>
            <w:r>
              <w:rPr>
                <w:rFonts w:ascii="Arial" w:hAnsi="Arial"/>
                <w:b w:val="0"/>
                <w:sz w:val="15"/>
              </w:rPr>
              <w:t>fin.StatementRatio</w:t>
            </w:r>
          </w:p>
        </w:tc>
        <w:tc>
          <w:tcPr>
            <w:tcW w:type="dxa" w:w="10205"/>
            <w:shd w:val="clear" w:color="auto" w:fill="E8EEF6"/>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1701"/>
            <w:shd w:val="clear" w:color="auto" w:fill="E8EEF6"/>
          </w:tcPr>
          <w:p>
            <w:pPr>
              <w:spacing w:after="0" w:before="0"/>
            </w:pPr>
            <w:r/>
            <w:r>
              <w:rPr>
                <w:rFonts w:ascii="Arial" w:hAnsi="Arial"/>
                <w:b w:val="0"/>
                <w:sz w:val="15"/>
              </w:rPr>
              <w:t>m5_financials_18</w:t>
            </w:r>
          </w:p>
        </w:tc>
      </w:tr>
      <w:tr>
        <w:trPr>
          <w:cantSplit w:val="true"/>
        </w:trPr>
        <w:tc>
          <w:tcPr>
            <w:tcW w:type="dxa" w:w="3515"/>
          </w:tcPr>
          <w:p>
            <w:pPr>
              <w:spacing w:after="0" w:before="0"/>
            </w:pPr>
            <w:r/>
            <w:r>
              <w:rPr>
                <w:rFonts w:ascii="Arial" w:hAnsi="Arial"/>
                <w:b w:val="0"/>
                <w:sz w:val="15"/>
              </w:rPr>
              <w:t>fin.StrengtheningPlan</w:t>
            </w:r>
          </w:p>
        </w:tc>
        <w:tc>
          <w:tcPr>
            <w:tcW w:type="dxa" w:w="10205"/>
          </w:tcPr>
          <w:p>
            <w:pPr>
              <w:spacing w:after="0" w:before="0"/>
            </w:pPr>
            <w:r/>
            <w:r>
              <w:rPr>
                <w:rFonts w:ascii="Arial" w:hAnsi="Arial"/>
                <w:b w:val="0"/>
                <w:sz w:val="15"/>
              </w:rPr>
              <w:t>A ready-made plan to strengthen the statements: a package of remedies applied one after another, or the best plan the engine builds step by step from the remedies the findings call for (docs/35 section 12)</w:t>
            </w:r>
          </w:p>
        </w:tc>
        <w:tc>
          <w:tcPr>
            <w:tcW w:type="dxa" w:w="1701"/>
          </w:tcPr>
          <w:p>
            <w:pPr>
              <w:spacing w:after="0" w:before="0"/>
            </w:pPr>
            <w:r/>
            <w:r>
              <w:rPr>
                <w:rFonts w:ascii="Arial" w:hAnsi="Arial"/>
                <w:b w:val="0"/>
                <w:sz w:val="15"/>
              </w:rPr>
              <w:t>m5_financials_18</w:t>
            </w:r>
          </w:p>
        </w:tc>
      </w:tr>
      <w:tr>
        <w:trPr>
          <w:cantSplit w:val="true"/>
        </w:trPr>
        <w:tc>
          <w:tcPr>
            <w:tcW w:type="dxa" w:w="3515"/>
            <w:shd w:val="clear" w:color="auto" w:fill="E8EEF6"/>
          </w:tcPr>
          <w:p>
            <w:pPr>
              <w:spacing w:after="0" w:before="0"/>
            </w:pPr>
            <w:r/>
            <w:r>
              <w:rPr>
                <w:rFonts w:ascii="Arial" w:hAnsi="Arial"/>
                <w:b w:val="0"/>
                <w:sz w:val="15"/>
              </w:rPr>
              <w:t>fin.StrengtheningPlanMember</w:t>
            </w:r>
          </w:p>
        </w:tc>
        <w:tc>
          <w:tcPr>
            <w:tcW w:type="dxa" w:w="10205"/>
            <w:shd w:val="clear" w:color="auto" w:fill="E8EEF6"/>
          </w:tcPr>
          <w:p>
            <w:pPr>
              <w:spacing w:after="0" w:before="0"/>
            </w:pPr>
            <w:r/>
            <w:r>
              <w:rPr>
                <w:rFonts w:ascii="Arial" w:hAnsi="Arial"/>
                <w:b w:val="0"/>
                <w:sz w:val="15"/>
              </w:rPr>
              <w:t>A remedy of a package plan, in the order the plan applies it</w:t>
            </w:r>
          </w:p>
        </w:tc>
        <w:tc>
          <w:tcPr>
            <w:tcW w:type="dxa" w:w="1701"/>
            <w:shd w:val="clear" w:color="auto" w:fill="E8EEF6"/>
          </w:tcPr>
          <w:p>
            <w:pPr>
              <w:spacing w:after="0" w:before="0"/>
            </w:pPr>
            <w:r/>
            <w:r>
              <w:rPr>
                <w:rFonts w:ascii="Arial" w:hAnsi="Arial"/>
                <w:b w:val="0"/>
                <w:sz w:val="15"/>
              </w:rPr>
              <w:t>m5_financials_18</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obl.CovenantTestStatement</w:t>
            </w:r>
          </w:p>
        </w:tc>
        <w:tc>
          <w:tcPr>
            <w:tcW w:type="dxa" w:w="10205"/>
            <w:shd w:val="clear" w:color="auto" w:fill="E8EEF6"/>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1701"/>
            <w:shd w:val="clear" w:color="auto" w:fill="E8EEF6"/>
          </w:tcPr>
          <w:p>
            <w:pPr>
              <w:spacing w:after="0" w:before="0"/>
            </w:pPr>
            <w:r/>
            <w:r>
              <w:rPr>
                <w:rFonts w:ascii="Arial" w:hAnsi="Arial"/>
                <w:b w:val="0"/>
                <w:sz w:val="15"/>
              </w:rPr>
              <w:t>m5_obligations_2</w:t>
            </w:r>
          </w:p>
        </w:tc>
      </w:tr>
      <w:tr>
        <w:trPr>
          <w:cantSplit w:val="true"/>
        </w:trPr>
        <w:tc>
          <w:tcPr>
            <w:tcW w:type="dxa" w:w="3515"/>
          </w:tcPr>
          <w:p>
            <w:pPr>
              <w:spacing w:after="0" w:before="0"/>
            </w:pPr>
            <w:r/>
            <w:r>
              <w:rPr>
                <w:rFonts w:ascii="Arial" w:hAnsi="Arial"/>
                <w:b w:val="0"/>
                <w:sz w:val="15"/>
              </w:rPr>
              <w:t>obl.Obligation</w:t>
            </w:r>
          </w:p>
        </w:tc>
        <w:tc>
          <w:tcPr>
            <w:tcW w:type="dxa" w:w="10205"/>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obl.ObligationBreach</w:t>
            </w:r>
          </w:p>
        </w:tc>
        <w:tc>
          <w:tcPr>
            <w:tcW w:type="dxa" w:w="10205"/>
            <w:shd w:val="clear" w:color="auto" w:fill="E8EEF6"/>
          </w:tcPr>
          <w:p>
            <w:pPr>
              <w:spacing w:after="0" w:before="0"/>
            </w:pPr>
            <w:r/>
            <w:r>
              <w:rPr>
                <w:rFonts w:ascii="Arial" w:hAnsi="Arial"/>
                <w:b w:val="0"/>
                <w:sz w:val="15"/>
              </w:rPr>
              <w:t>Breach record, its remedy and any waiver (FR-OBL-012, BR-OBL-009/011, section 8)</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obl.ObligationCompany</w:t>
            </w:r>
          </w:p>
        </w:tc>
        <w:tc>
          <w:tcPr>
            <w:tcW w:type="dxa" w:w="10205"/>
          </w:tcPr>
          <w:p>
            <w:pPr>
              <w:spacing w:after="0" w:before="0"/>
            </w:pPr>
            <w:r/>
            <w:r>
              <w:rPr>
                <w:rFonts w:ascii="Arial" w:hAnsi="Arial"/>
                <w:b w:val="0"/>
                <w:sz w:val="15"/>
              </w:rPr>
              <w:t>Companies the obligation applies to (AppliesToCompanyIds)</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obl.ReportingInstance</w:t>
            </w:r>
          </w:p>
        </w:tc>
        <w:tc>
          <w:tcPr>
            <w:tcW w:type="dxa" w:w="10205"/>
            <w:shd w:val="clear" w:color="auto" w:fill="E8EEF6"/>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obl.ReportingObligation</w:t>
            </w:r>
          </w:p>
        </w:tc>
        <w:tc>
          <w:tcPr>
            <w:tcW w:type="dxa" w:w="10205"/>
          </w:tcPr>
          <w:p>
            <w:pPr>
              <w:spacing w:after="0" w:before="0"/>
            </w:pPr>
            <w:r/>
            <w:r>
              <w:rPr>
                <w:rFonts w:ascii="Arial" w:hAnsi="Arial"/>
                <w:b w:val="0"/>
                <w:sz w:val="15"/>
              </w:rPr>
              <w:t>Reporting or notice-due rule, 1:1 with Obligation (FR-OBL-002/003, BR-OBL-002, V-OBL-01)</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org.AuthorityGrant</w:t>
            </w:r>
          </w:p>
        </w:tc>
        <w:tc>
          <w:tcPr>
            <w:tcW w:type="dxa" w:w="10205"/>
            <w:shd w:val="clear" w:color="auto" w:fill="E8EEF6"/>
          </w:tcPr>
          <w:p>
            <w:pPr>
              <w:spacing w:after="0" w:before="0"/>
            </w:pPr>
            <w:r/>
            <w:r>
              <w:rPr>
                <w:rFonts w:ascii="Arial" w:hAnsi="Arial"/>
                <w:b w:val="0"/>
                <w:sz w:val="15"/>
              </w:rPr>
              <w:t>Authority grant to a company (FR-ORG-023..028, BR-ORG-011..014)</w:t>
            </w:r>
          </w:p>
        </w:tc>
        <w:tc>
          <w:tcPr>
            <w:tcW w:type="dxa" w:w="1701"/>
            <w:shd w:val="clear" w:color="auto" w:fill="E8EEF6"/>
          </w:tcPr>
          <w:p>
            <w:pPr>
              <w:spacing w:after="0" w:before="0"/>
            </w:pPr>
            <w:r/>
            <w:r>
              <w:rPr>
                <w:rFonts w:ascii="Arial" w:hAnsi="Arial"/>
                <w:b w:val="0"/>
                <w:sz w:val="15"/>
              </w:rPr>
              <w:t>m1_company_3</w:t>
            </w:r>
          </w:p>
        </w:tc>
      </w:tr>
      <w:tr>
        <w:trPr>
          <w:cantSplit w:val="true"/>
        </w:trPr>
        <w:tc>
          <w:tcPr>
            <w:tcW w:type="dxa" w:w="3515"/>
          </w:tcPr>
          <w:p>
            <w:pPr>
              <w:spacing w:after="0" w:before="0"/>
            </w:pPr>
            <w:r/>
            <w:r>
              <w:rPr>
                <w:rFonts w:ascii="Arial" w:hAnsi="Arial"/>
                <w:b w:val="0"/>
                <w:sz w:val="15"/>
              </w:rPr>
              <w:t>org.BodyMember</w:t>
            </w:r>
          </w:p>
        </w:tc>
        <w:tc>
          <w:tcPr>
            <w:tcW w:type="dxa" w:w="10205"/>
          </w:tcPr>
          <w:p>
            <w:pPr>
              <w:spacing w:after="0" w:before="0"/>
            </w:pPr>
            <w:r/>
            <w:r>
              <w:rPr>
                <w:rFonts w:ascii="Arial" w:hAnsi="Arial"/>
                <w:b w:val="0"/>
                <w:sz w:val="15"/>
              </w:rPr>
              <w:t>Membership of a governing body (FR-ORG-020, FR-ORG-021, BR-ORG-010)</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org.Company</w:t>
            </w:r>
          </w:p>
        </w:tc>
        <w:tc>
          <w:tcPr>
            <w:tcW w:type="dxa" w:w="10205"/>
            <w:shd w:val="clear" w:color="auto" w:fill="E8EEF6"/>
          </w:tcPr>
          <w:p>
            <w:pPr>
              <w:spacing w:after="0" w:before="0"/>
            </w:pPr>
            <w:r/>
            <w:r>
              <w:rPr>
                <w:rFonts w:ascii="Arial" w:hAnsi="Arial"/>
                <w:b w:val="0"/>
                <w:sz w:val="15"/>
              </w:rPr>
              <w:t>Company: root of the corporate structure (FR-ORG-001..010, BR-ORG-001..004)</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org.CompanyBranch</w:t>
            </w:r>
          </w:p>
        </w:tc>
        <w:tc>
          <w:tcPr>
            <w:tcW w:type="dxa" w:w="10205"/>
          </w:tcPr>
          <w:p>
            <w:pPr>
              <w:spacing w:after="0" w:before="0"/>
            </w:pPr>
            <w:r/>
            <w:r>
              <w:rPr>
                <w:rFonts w:ascii="Arial" w:hAnsi="Arial"/>
                <w:b w:val="0"/>
                <w:sz w:val="15"/>
              </w:rPr>
              <w:t>Branch, warehouse or subsidiary outside the account, held as text (G-3)</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org.CompanyDisclosure</w:t>
            </w:r>
          </w:p>
        </w:tc>
        <w:tc>
          <w:tcPr>
            <w:tcW w:type="dxa" w:w="10205"/>
            <w:shd w:val="clear" w:color="auto" w:fill="E8EEF6"/>
          </w:tcPr>
          <w:p>
            <w:pPr>
              <w:spacing w:after="0" w:before="0"/>
            </w:pPr>
            <w:r/>
            <w:r>
              <w:rPr>
                <w:rFonts w:ascii="Arial" w:hAnsi="Arial"/>
                <w:b w:val="0"/>
                <w:sz w:val="15"/>
              </w:rPr>
              <w:t>Company disclosures (G-5)</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org.CompanyExpectedFlow</w:t>
            </w:r>
          </w:p>
        </w:tc>
        <w:tc>
          <w:tcPr>
            <w:tcW w:type="dxa" w:w="10205"/>
          </w:tcPr>
          <w:p>
            <w:pPr>
              <w:spacing w:after="0" w:before="0"/>
            </w:pPr>
            <w:r/>
            <w:r>
              <w:rPr>
                <w:rFonts w:ascii="Arial" w:hAnsi="Arial"/>
                <w:b w:val="0"/>
                <w:sz w:val="15"/>
              </w:rPr>
              <w:t>Monthly expected cash-flow matrix (CTP): direction x five items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org.CompanyKeyRelation</w:t>
            </w:r>
          </w:p>
        </w:tc>
        <w:tc>
          <w:tcPr>
            <w:tcW w:type="dxa" w:w="10205"/>
            <w:shd w:val="clear" w:color="auto" w:fill="E8EEF6"/>
          </w:tcPr>
          <w:p>
            <w:pPr>
              <w:spacing w:after="0" w:before="0"/>
            </w:pPr>
            <w:r/>
            <w:r>
              <w:rPr>
                <w:rFonts w:ascii="Arial" w:hAnsi="Arial"/>
                <w:b w:val="0"/>
                <w:sz w:val="15"/>
              </w:rPr>
              <w:t>Key relations: auditors, legal counsel, regulators, and major customers and suppliers (G-6)</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org.CompanyKycFinancialProfile</w:t>
            </w:r>
          </w:p>
        </w:tc>
        <w:tc>
          <w:tcPr>
            <w:tcW w:type="dxa" w:w="10205"/>
          </w:tcPr>
          <w:p>
            <w:pPr>
              <w:spacing w:after="0" w:before="0"/>
            </w:pPr>
            <w:r/>
            <w:r>
              <w:rPr>
                <w:rFonts w:ascii="Arial" w:hAnsi="Arial"/>
                <w:b w:val="0"/>
                <w:sz w:val="15"/>
              </w:rPr>
              <w:t>KYC financial profile with an effective date: revenue band and purpose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org.CompanyProfile</w:t>
            </w:r>
          </w:p>
        </w:tc>
        <w:tc>
          <w:tcPr>
            <w:tcW w:type="dxa" w:w="10205"/>
            <w:shd w:val="clear" w:color="auto" w:fill="E8EEF6"/>
          </w:tcPr>
          <w:p>
            <w:pPr>
              <w:spacing w:after="0" w:before="0"/>
            </w:pPr>
            <w:r/>
            <w:r>
              <w:rPr>
                <w:rFonts w:ascii="Arial" w:hAnsi="Arial"/>
                <w:b w:val="0"/>
                <w:sz w:val="15"/>
              </w:rPr>
              <w:t>Company profile, 1:1 (G-1)</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org.CompanyTaxRate</w:t>
            </w:r>
          </w:p>
        </w:tc>
        <w:tc>
          <w:tcPr>
            <w:tcW w:type="dxa" w:w="10205"/>
          </w:tcPr>
          <w:p>
            <w:pPr>
              <w:spacing w:after="0" w:before="0"/>
            </w:pPr>
            <w:r/>
            <w:r>
              <w:rPr>
                <w:rFonts w:ascii="Arial" w:hAnsi="Arial"/>
                <w:b w:val="0"/>
                <w:sz w:val="15"/>
              </w:rPr>
              <w:t>Tax rate with an effective date; NULL CompanyId = tenant default (FR-ORG-007, BR-ORG-005)</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org.CompanyWealthSource</w:t>
            </w:r>
          </w:p>
        </w:tc>
        <w:tc>
          <w:tcPr>
            <w:tcW w:type="dxa" w:w="10205"/>
            <w:shd w:val="clear" w:color="auto" w:fill="E8EEF6"/>
          </w:tcPr>
          <w:p>
            <w:pPr>
              <w:spacing w:after="0" w:before="0"/>
            </w:pPr>
            <w:r/>
            <w:r>
              <w:rPr>
                <w:rFonts w:ascii="Arial" w:hAnsi="Arial"/>
                <w:b w:val="0"/>
                <w:sz w:val="15"/>
              </w:rPr>
              <w:t>Sources of funds and wealth: multiple-value list (G-4)</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org.Department</w:t>
            </w:r>
          </w:p>
        </w:tc>
        <w:tc>
          <w:tcPr>
            <w:tcW w:type="dxa" w:w="10205"/>
          </w:tcPr>
          <w:p>
            <w:pPr>
              <w:spacing w:after="0" w:before="0"/>
            </w:pPr>
            <w:r/>
            <w:r>
              <w:rPr>
                <w:rFonts w:ascii="Arial" w:hAnsi="Arial"/>
                <w:b w:val="0"/>
                <w:sz w:val="15"/>
              </w:rPr>
              <w:t>Department (FR-ORG-014, BR-ORG-016, Q-ORG-09): at tenant level, optionally per company</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org.GoverningBody</w:t>
            </w:r>
          </w:p>
        </w:tc>
        <w:tc>
          <w:tcPr>
            <w:tcW w:type="dxa" w:w="10205"/>
            <w:shd w:val="clear" w:color="auto" w:fill="E8EEF6"/>
          </w:tcPr>
          <w:p>
            <w:pPr>
              <w:spacing w:after="0" w:before="0"/>
            </w:pPr>
            <w:r/>
            <w:r>
              <w:rPr>
                <w:rFonts w:ascii="Arial" w:hAnsi="Arial"/>
                <w:b w:val="0"/>
                <w:sz w:val="15"/>
              </w:rPr>
              <w:t>Governing body (FR-ORG-019, BR-ORG-009)</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org.Shareholding</w:t>
            </w:r>
          </w:p>
        </w:tc>
        <w:tc>
          <w:tcPr>
            <w:tcW w:type="dxa" w:w="10205"/>
          </w:tcPr>
          <w:p>
            <w:pPr>
              <w:spacing w:after="0" w:before="0"/>
            </w:pPr>
            <w:r/>
            <w:r>
              <w:rPr>
                <w:rFonts w:ascii="Arial" w:hAnsi="Arial"/>
                <w:b w:val="0"/>
                <w:sz w:val="15"/>
              </w:rPr>
              <w:t>Ownership interest with an effective date; the owner is a Party, an individual or an entity (FR-ORG-015..018, BR-ORG-006..008, G-7)</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plat.OperatorSession</w:t>
            </w:r>
          </w:p>
        </w:tc>
        <w:tc>
          <w:tcPr>
            <w:tcW w:type="dxa" w:w="10205"/>
            <w:shd w:val="clear" w:color="auto" w:fill="E8EEF6"/>
          </w:tcPr>
          <w:p>
            <w:pPr>
              <w:spacing w:after="0" w:before="0"/>
            </w:pPr>
            <w:r/>
            <w:r>
              <w:rPr>
                <w:rFonts w:ascii="Arial" w:hAnsi="Arial"/>
                <w:b w:val="0"/>
                <w:sz w:val="15"/>
              </w:rPr>
              <w:t>Platform operator sessions: 15-minute idle and 8-hour absolute timeout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plat.OperatorToken</w:t>
            </w:r>
          </w:p>
        </w:tc>
        <w:tc>
          <w:tcPr>
            <w:tcW w:type="dxa" w:w="10205"/>
          </w:tcPr>
          <w:p>
            <w:pPr>
              <w:spacing w:after="0" w:before="0"/>
            </w:pPr>
            <w:r/>
            <w:r>
              <w:rPr>
                <w:rFonts w:ascii="Arial" w:hAnsi="Arial"/>
                <w:b w:val="0"/>
                <w:sz w:val="15"/>
              </w:rPr>
              <w:t>One-time operator set-up links: password and MFA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plat.Plan</w:t>
            </w:r>
          </w:p>
        </w:tc>
        <w:tc>
          <w:tcPr>
            <w:tcW w:type="dxa" w:w="10205"/>
            <w:shd w:val="clear" w:color="auto" w:fill="E8EEF6"/>
          </w:tcPr>
          <w:p>
            <w:pPr>
              <w:spacing w:after="0" w:before="0"/>
            </w:pPr>
            <w:r/>
            <w:r>
              <w:rPr>
                <w:rFonts w:ascii="Arial" w:hAnsi="Arial"/>
                <w:b w:val="0"/>
                <w:sz w:val="15"/>
              </w:rPr>
              <w:t>Subscription plan: a bundle of modules and soft limits (FR-PLT-003/004, Q-PLT-11)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plat.PlanModule</w:t>
            </w:r>
          </w:p>
        </w:tc>
        <w:tc>
          <w:tcPr>
            <w:tcW w:type="dxa" w:w="10205"/>
          </w:tcPr>
          <w:p>
            <w:pPr>
              <w:spacing w:after="0" w:before="0"/>
            </w:pPr>
            <w:r/>
            <w:r>
              <w:rPr>
                <w:rFonts w:ascii="Arial" w:hAnsi="Arial"/>
                <w:b w:val="0"/>
                <w:sz w:val="15"/>
              </w:rPr>
              <w:t>Modules included in a plan (replaces the Plan.IncludedModules JSON column)</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plat.PlatformOperator</w:t>
            </w:r>
          </w:p>
        </w:tc>
        <w:tc>
          <w:tcPr>
            <w:tcW w:type="dxa" w:w="10205"/>
            <w:shd w:val="clear" w:color="auto" w:fill="E8EEF6"/>
          </w:tcPr>
          <w:p>
            <w:pPr>
              <w:spacing w:after="0" w:before="0"/>
            </w:pPr>
            <w:r/>
            <w:r>
              <w:rPr>
                <w:rFonts w:ascii="Arial" w:hAnsi="Arial"/>
                <w:b w:val="0"/>
                <w:sz w:val="15"/>
              </w:rPr>
              <w:t>Platform operator account: not readable by the tenant application (tp_app); identity store separate from AppUser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plat.ReservedSubdomain</w:t>
            </w:r>
          </w:p>
        </w:tc>
        <w:tc>
          <w:tcPr>
            <w:tcW w:type="dxa" w:w="10205"/>
          </w:tcPr>
          <w:p>
            <w:pPr>
              <w:spacing w:after="0" w:before="0"/>
            </w:pPr>
            <w:r/>
            <w:r>
              <w:rPr>
                <w:rFonts w:ascii="Arial" w:hAnsi="Arial"/>
                <w:b w:val="0"/>
                <w:sz w:val="15"/>
              </w:rPr>
              <w:t>Subdomains reserved for the system: www, admin, api, app and others (FR-PLT-046)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plat.SupportAccessGrant</w:t>
            </w:r>
          </w:p>
        </w:tc>
        <w:tc>
          <w:tcPr>
            <w:tcW w:type="dxa" w:w="10205"/>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w:t>
            </w:r>
          </w:p>
        </w:tc>
        <w:tc>
          <w:tcPr>
            <w:tcW w:type="dxa" w:w="10205"/>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plat.TenantModule</w:t>
            </w:r>
          </w:p>
        </w:tc>
        <w:tc>
          <w:tcPr>
            <w:tcW w:type="dxa" w:w="10205"/>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prc.PricingRule</w:t>
            </w:r>
          </w:p>
        </w:tc>
        <w:tc>
          <w:tcPr>
            <w:tcW w:type="dxa" w:w="10205"/>
          </w:tcPr>
          <w:p>
            <w:pPr>
              <w:spacing w:after="0" w:before="0"/>
            </w:pPr>
            <w:r/>
            <w:r>
              <w:rPr>
                <w:rFonts w:ascii="Arial" w:hAnsi="Arial"/>
                <w:b w:val="0"/>
                <w:sz w:val="15"/>
              </w:rPr>
              <w:t>Pricing rule with scope, inheritance and methods (FR-PRC-006..017, BR-PRC-006..012, V-PRC-02)</w:t>
            </w:r>
          </w:p>
        </w:tc>
        <w:tc>
          <w:tcPr>
            <w:tcW w:type="dxa" w:w="1701"/>
          </w:tcPr>
          <w:p>
            <w:pPr>
              <w:spacing w:after="0" w:before="0"/>
            </w:pPr>
            <w:r/>
            <w:r>
              <w:rPr>
                <w:rFonts w:ascii="Arial" w:hAnsi="Arial"/>
                <w:b w:val="0"/>
                <w:sz w:val="15"/>
              </w:rPr>
              <w:t>m5_pricing_2</w:t>
            </w:r>
          </w:p>
        </w:tc>
      </w:tr>
      <w:tr>
        <w:trPr>
          <w:cantSplit w:val="true"/>
        </w:trPr>
        <w:tc>
          <w:tcPr>
            <w:tcW w:type="dxa" w:w="3515"/>
            <w:shd w:val="clear" w:color="auto" w:fill="E8EEF6"/>
          </w:tcPr>
          <w:p>
            <w:pPr>
              <w:spacing w:after="0" w:before="0"/>
            </w:pPr>
            <w:r/>
            <w:r>
              <w:rPr>
                <w:rFonts w:ascii="Arial" w:hAnsi="Arial"/>
                <w:b w:val="0"/>
                <w:sz w:val="15"/>
              </w:rPr>
              <w:t>prc.PricingTier</w:t>
            </w:r>
          </w:p>
        </w:tc>
        <w:tc>
          <w:tcPr>
            <w:tcW w:type="dxa" w:w="10205"/>
            <w:shd w:val="clear" w:color="auto" w:fill="E8EEF6"/>
          </w:tcPr>
          <w:p>
            <w:pPr>
              <w:spacing w:after="0" w:before="0"/>
            </w:pPr>
            <w:r/>
            <w:r>
              <w:rPr>
                <w:rFonts w:ascii="Arial" w:hAnsi="Arial"/>
                <w:b w:val="0"/>
                <w:sz w:val="15"/>
              </w:rPr>
              <w:t>Tier of a TIERED rule by amount and/or term (FR-PRC-003, BR-PRC-002)</w:t>
            </w:r>
          </w:p>
        </w:tc>
        <w:tc>
          <w:tcPr>
            <w:tcW w:type="dxa" w:w="1701"/>
            <w:shd w:val="clear" w:color="auto" w:fill="E8EEF6"/>
          </w:tcPr>
          <w:p>
            <w:pPr>
              <w:spacing w:after="0" w:before="0"/>
            </w:pPr>
            <w:r/>
            <w:r>
              <w:rPr>
                <w:rFonts w:ascii="Arial" w:hAnsi="Arial"/>
                <w:b w:val="0"/>
                <w:sz w:val="15"/>
              </w:rPr>
              <w:t>m5_pricing_3</w:t>
            </w:r>
          </w:p>
        </w:tc>
      </w:tr>
      <w:tr>
        <w:trPr>
          <w:cantSplit w:val="true"/>
        </w:trPr>
        <w:tc>
          <w:tcPr>
            <w:tcW w:type="dxa" w:w="3515"/>
          </w:tcPr>
          <w:p>
            <w:pPr>
              <w:spacing w:after="0" w:before="0"/>
            </w:pPr>
            <w:r/>
            <w:r>
              <w:rPr>
                <w:rFonts w:ascii="Arial" w:hAnsi="Arial"/>
                <w:b w:val="0"/>
                <w:sz w:val="15"/>
              </w:rPr>
              <w:t>prc.TariffItem</w:t>
            </w:r>
          </w:p>
        </w:tc>
        <w:tc>
          <w:tcPr>
            <w:tcW w:type="dxa" w:w="10205"/>
          </w:tcPr>
          <w:p>
            <w:pPr>
              <w:spacing w:after="0" w:before="0"/>
            </w:pPr>
            <w:r/>
            <w:r>
              <w:rPr>
                <w:rFonts w:ascii="Arial" w:hAnsi="Arial"/>
                <w:b w:val="0"/>
                <w:sz w:val="15"/>
              </w:rPr>
              <w:t>Fee item in a tariff schedule (FR-PRC-002, BR-PRC-002..005)</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prc.TariffSchedule</w:t>
            </w:r>
          </w:p>
        </w:tc>
        <w:tc>
          <w:tcPr>
            <w:tcW w:type="dxa" w:w="10205"/>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prc.TariffTier</w:t>
            </w:r>
          </w:p>
        </w:tc>
        <w:tc>
          <w:tcPr>
            <w:tcW w:type="dxa" w:w="10205"/>
          </w:tcPr>
          <w:p>
            <w:pPr>
              <w:spacing w:after="0" w:before="0"/>
            </w:pPr>
            <w:r/>
            <w:r>
              <w:rPr>
                <w:rFonts w:ascii="Arial" w:hAnsi="Arial"/>
                <w:b w:val="0"/>
                <w:sz w:val="15"/>
              </w:rPr>
              <w:t>Tier of a tariff item by amount and/or term (FR-PRC-003, BR-PRC-002)</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pty.Address</w:t>
            </w:r>
          </w:p>
        </w:tc>
        <w:tc>
          <w:tcPr>
            <w:tcW w:type="dxa" w:w="10205"/>
            <w:shd w:val="clear" w:color="auto" w:fill="E8EEF6"/>
          </w:tcPr>
          <w:p>
            <w:pPr>
              <w:spacing w:after="0" w:before="0"/>
            </w:pPr>
            <w:r/>
            <w:r>
              <w:rPr>
                <w:rFonts w:ascii="Arial" w:hAnsi="Arial"/>
                <w:b w:val="0"/>
                <w:sz w:val="15"/>
              </w:rPr>
              <w:t>Postal address with an exclusive owner arc: exactly one of Party, Institution, Unit or Contact (FR-PTY-011,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pty.ContactMethod</w:t>
            </w:r>
          </w:p>
        </w:tc>
        <w:tc>
          <w:tcPr>
            <w:tcW w:type="dxa" w:w="10205"/>
          </w:tcPr>
          <w:p>
            <w:pPr>
              <w:spacing w:after="0" w:before="0"/>
            </w:pPr>
            <w:r/>
            <w:r>
              <w:rPr>
                <w:rFonts w:ascii="Arial" w:hAnsi="Arial"/>
                <w:b w:val="0"/>
                <w:sz w:val="15"/>
              </w:rPr>
              <w:t>Contact method (phone, e-mail and similar) with an exclusive owner arc, as for addresses (FR-PTY-012,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pty.CustomFieldDefinition</w:t>
            </w:r>
          </w:p>
        </w:tc>
        <w:tc>
          <w:tcPr>
            <w:tcW w:type="dxa" w:w="10205"/>
            <w:shd w:val="clear" w:color="auto" w:fill="E8EEF6"/>
          </w:tcPr>
          <w:p>
            <w:pPr>
              <w:spacing w:after="0" w:before="0"/>
            </w:pPr>
            <w:r/>
            <w:r>
              <w:rPr>
                <w:rFonts w:ascii="Arial" w:hAnsi="Arial"/>
                <w:b w:val="0"/>
                <w:sz w:val="15"/>
              </w:rPr>
              <w:t>Custom field definition (FR-PTY-013, BR-PTY-014)</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pty.IdentityDocument</w:t>
            </w:r>
          </w:p>
        </w:tc>
        <w:tc>
          <w:tcPr>
            <w:tcW w:type="dxa" w:w="10205"/>
          </w:tcPr>
          <w:p>
            <w:pPr>
              <w:spacing w:after="0" w:before="0"/>
            </w:pPr>
            <w:r/>
            <w:r>
              <w:rPr>
                <w:rFonts w:ascii="Arial" w:hAnsi="Arial"/>
                <w:b w:val="0"/>
                <w:sz w:val="15"/>
              </w:rPr>
              <w:t>Identity document; the number is encrypted and images are restricted documents (FR-PTY-004..009, FR-PTY-020..022, BR-PTY-002..008)</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w:t>
            </w:r>
          </w:p>
        </w:tc>
        <w:tc>
          <w:tcPr>
            <w:tcW w:type="dxa" w:w="10205"/>
            <w:shd w:val="clear" w:color="auto" w:fill="E8EEF6"/>
          </w:tcPr>
          <w:p>
            <w:pPr>
              <w:spacing w:after="0" w:before="0"/>
            </w:pPr>
            <w:r/>
            <w:r>
              <w:rPr>
                <w:rFonts w:ascii="Arial" w:hAnsi="Arial"/>
                <w:b w:val="0"/>
                <w:sz w:val="15"/>
              </w:rPr>
              <w:t>KYC completeness checklist per bank and role (FR-PTY-023, BR-PTY-012..013, G-8,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w:t>
            </w:r>
          </w:p>
        </w:tc>
        <w:tc>
          <w:tcPr>
            <w:tcW w:type="dxa" w:w="10205"/>
          </w:tcPr>
          <w:p>
            <w:pPr>
              <w:spacing w:after="0" w:before="0"/>
            </w:pPr>
            <w:r/>
            <w:r>
              <w:rPr>
                <w:rFonts w:ascii="Arial" w:hAnsi="Arial"/>
                <w:b w:val="0"/>
                <w:sz w:val="15"/>
              </w:rPr>
              <w:t>Completeness item (FR-PTY-023, FR-PTY-024,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pty.KycProfileItemLegalForm</w:t>
            </w:r>
          </w:p>
        </w:tc>
        <w:tc>
          <w:tcPr>
            <w:tcW w:type="dxa" w:w="10205"/>
            <w:shd w:val="clear" w:color="auto" w:fill="E8EEF6"/>
          </w:tcPr>
          <w:p>
            <w:pPr>
              <w:spacing w:after="0" w:before="0"/>
            </w:pPr>
            <w:r/>
            <w:r>
              <w:rPr>
                <w:rFonts w:ascii="Arial" w:hAnsi="Arial"/>
                <w:b w:val="0"/>
                <w:sz w:val="15"/>
              </w:rPr>
              <w:t>Conditions for an item to apply, by legal form; no rows = applies to all (G-15)</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w:t>
            </w:r>
          </w:p>
        </w:tc>
        <w:tc>
          <w:tcPr>
            <w:tcW w:type="dxa" w:w="10205"/>
          </w:tcPr>
          <w:p>
            <w:pPr>
              <w:spacing w:after="0" w:before="0"/>
            </w:pPr>
            <w:r/>
            <w:r>
              <w:rPr>
                <w:rFonts w:ascii="Arial" w:hAnsi="Arial"/>
                <w:b w:val="0"/>
                <w:sz w:val="15"/>
              </w:rPr>
              <w:t>Person or entity; no stored role (FR-PTY-001..003, BR-PTY-001..004, BR-PTY-016..018)</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pty.PartyCompliance</w:t>
            </w:r>
          </w:p>
        </w:tc>
        <w:tc>
          <w:tcPr>
            <w:tcW w:type="dxa" w:w="10205"/>
            <w:shd w:val="clear" w:color="auto" w:fill="E8EEF6"/>
          </w:tcPr>
          <w:p>
            <w:pPr>
              <w:spacing w:after="0" w:before="0"/>
            </w:pPr>
            <w:r/>
            <w:r>
              <w:rPr>
                <w:rFonts w:ascii="Arial" w:hAnsi="Arial"/>
                <w:b w:val="0"/>
                <w:sz w:val="15"/>
              </w:rPr>
              <w:t>Dated compliance declarations per person in their capacity: PEP, sanctions, investigations, immunity (G-9)</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pty.PartyCustomField</w:t>
            </w:r>
          </w:p>
        </w:tc>
        <w:tc>
          <w:tcPr>
            <w:tcW w:type="dxa" w:w="10205"/>
          </w:tcPr>
          <w:p>
            <w:pPr>
              <w:spacing w:after="0" w:before="0"/>
            </w:pPr>
            <w:r/>
            <w:r>
              <w:rPr>
                <w:rFonts w:ascii="Arial" w:hAnsi="Arial"/>
                <w:b w:val="0"/>
                <w:sz w:val="15"/>
              </w:rPr>
              <w:t>Custom-field value for a party (FR-PTY-013, FR-PTY-014)</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pty.TaxIdentity</w:t>
            </w:r>
          </w:p>
        </w:tc>
        <w:tc>
          <w:tcPr>
            <w:tcW w:type="dxa" w:w="10205"/>
            <w:shd w:val="clear" w:color="auto" w:fill="E8EEF6"/>
          </w:tcPr>
          <w:p>
            <w:pPr>
              <w:spacing w:after="0" w:before="0"/>
            </w:pPr>
            <w:r/>
            <w:r>
              <w:rPr>
                <w:rFonts w:ascii="Arial" w:hAnsi="Arial"/>
                <w:b w:val="0"/>
                <w:sz w:val="15"/>
              </w:rPr>
              <w:t>Tax identity and FATCA/CRS tax declaration (G-13)</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ref.Country</w:t>
            </w:r>
          </w:p>
        </w:tc>
        <w:tc>
          <w:tcPr>
            <w:tcW w:type="dxa" w:w="10205"/>
          </w:tcPr>
          <w:p>
            <w:pPr>
              <w:spacing w:after="0" w:before="0"/>
            </w:pPr>
            <w:r/>
            <w:r>
              <w:rPr>
                <w:rFonts w:ascii="Arial" w:hAnsi="Arial"/>
                <w:b w:val="0"/>
                <w:sz w:val="15"/>
              </w:rPr>
              <w:t>Country: global reference, read-only, managed by the platform operator (FR-CAT-026, BR-CAT-018,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ref.Currency</w:t>
            </w:r>
          </w:p>
        </w:tc>
        <w:tc>
          <w:tcPr>
            <w:tcW w:type="dxa" w:w="10205"/>
            <w:shd w:val="clear" w:color="auto" w:fill="E8EEF6"/>
          </w:tcPr>
          <w:p>
            <w:pPr>
              <w:spacing w:after="0" w:before="0"/>
            </w:pPr>
            <w:r/>
            <w:r>
              <w:rPr>
                <w:rFonts w:ascii="Arial" w:hAnsi="Arial"/>
                <w:b w:val="0"/>
                <w:sz w:val="15"/>
              </w:rPr>
              <w:t>Currency: global ISO 4217 reference, read-only (FR-CAT-021, Q-CAT-08)</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ref.Incoterm</w:t>
            </w:r>
          </w:p>
        </w:tc>
        <w:tc>
          <w:tcPr>
            <w:tcW w:type="dxa" w:w="10205"/>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ref.Industry</w:t>
            </w:r>
          </w:p>
        </w:tc>
        <w:tc>
          <w:tcPr>
            <w:tcW w:type="dxa" w:w="10205"/>
            <w:shd w:val="clear" w:color="auto" w:fill="E8EEF6"/>
          </w:tcPr>
          <w:p>
            <w:pPr>
              <w:spacing w:after="0" w:before="0"/>
            </w:pPr>
            <w:r/>
            <w:r>
              <w:rPr>
                <w:rFonts w:ascii="Arial" w:hAnsi="Arial"/>
                <w:b w:val="0"/>
                <w:sz w:val="15"/>
              </w:rPr>
              <w:t>An economic activity of the Saudi classification of economic activities (GASTAT, ISIC Rev.4): section and division; a company's main activity (docs/35 section 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sec.SessionBinding</w:t>
            </w:r>
          </w:p>
        </w:tc>
        <w:tc>
          <w:tcPr>
            <w:tcW w:type="dxa" w:w="10205"/>
            <w:shd w:val="clear" w:color="auto" w:fill="E8EEF6"/>
          </w:tcPr>
          <w:p>
            <w:pPr>
              <w:spacing w:after="0" w:before="0"/>
            </w:pPr>
            <w:r/>
            <w:r>
              <w:rPr>
                <w:rFonts w:ascii="Arial" w:hAnsi="Arial"/>
                <w:b w:val="0"/>
                <w:sz w:val="15"/>
              </w:rPr>
              <w:t>Connection binding for the row filters (O-16)</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sec.TenantKey</w:t>
            </w:r>
          </w:p>
        </w:tc>
        <w:tc>
          <w:tcPr>
            <w:tcW w:type="dxa" w:w="10205"/>
          </w:tcPr>
          <w:p>
            <w:pPr>
              <w:spacing w:after="0" w:before="0"/>
            </w:pPr>
            <w:r/>
            <w:r>
              <w:rPr>
                <w:rFonts w:ascii="Arial" w:hAnsi="Arial"/>
                <w:b w:val="0"/>
                <w:sz w:val="15"/>
              </w:rPr>
              <w:t>Tenant key register; each key is wrapped by a master key held outside the database (FR-PLT-037, BR-PLT-015)</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sec.UserCompanyScope</w:t>
            </w:r>
          </w:p>
        </w:tc>
        <w:tc>
          <w:tcPr>
            <w:tcW w:type="dxa" w:w="10205"/>
            <w:shd w:val="clear" w:color="auto" w:fill="E8EEF6"/>
          </w:tcPr>
          <w:p>
            <w:pPr>
              <w:spacing w:after="0" w:before="0"/>
            </w:pPr>
            <w:r/>
            <w:r>
              <w:rPr>
                <w:rFonts w:ascii="Arial" w:hAnsi="Arial"/>
                <w:b w:val="0"/>
                <w:sz w:val="15"/>
              </w:rPr>
              <w:t>Companies a user can see; ignored when CompanyScopeMode = ALL (FR-PLT-020)</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sec.UserPasswordHistory</w:t>
            </w:r>
          </w:p>
        </w:tc>
        <w:tc>
          <w:tcPr>
            <w:tcW w:type="dxa" w:w="10205"/>
          </w:tcPr>
          <w:p>
            <w:pPr>
              <w:spacing w:after="0" w:before="0"/>
            </w:pPr>
            <w:r/>
            <w:r>
              <w:rPr>
                <w:rFonts w:ascii="Arial" w:hAnsi="Arial"/>
                <w:b w:val="0"/>
                <w:sz w:val="15"/>
              </w:rPr>
              <w:t>Last five passwords, to prevent reuse (BR-PLT-004)</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sec.UserRole</w:t>
            </w:r>
          </w:p>
        </w:tc>
        <w:tc>
          <w:tcPr>
            <w:tcW w:type="dxa" w:w="10205"/>
            <w:shd w:val="clear" w:color="auto" w:fill="E8EEF6"/>
          </w:tcPr>
          <w:p>
            <w:pPr>
              <w:spacing w:after="0" w:before="0"/>
            </w:pPr>
            <w:r/>
            <w:r>
              <w:rPr>
                <w:rFonts w:ascii="Arial" w:hAnsi="Arial"/>
                <w:b w:val="0"/>
                <w:sz w:val="15"/>
              </w:rPr>
              <w:t>User–role link; permissions are the union of the roles (BR-PLT-007,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sec.UserSession</w:t>
            </w:r>
          </w:p>
        </w:tc>
        <w:tc>
          <w:tcPr>
            <w:tcW w:type="dxa" w:w="10205"/>
          </w:tcPr>
          <w:p>
            <w:pPr>
              <w:spacing w:after="0" w:before="0"/>
            </w:pPr>
            <w:r/>
            <w:r>
              <w:rPr>
                <w:rFonts w:ascii="Arial" w:hAnsi="Arial"/>
                <w:b w:val="0"/>
                <w:sz w:val="15"/>
              </w:rPr>
              <w:t>User sessions: 30-minute idle timeout and 12-hour absolute timeout (FR-PLT-014)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sec.UserToken</w:t>
            </w:r>
          </w:p>
        </w:tc>
        <w:tc>
          <w:tcPr>
            <w:tcW w:type="dxa" w:w="10205"/>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wfl.ExternalPhase</w:t>
            </w:r>
          </w:p>
        </w:tc>
        <w:tc>
          <w:tcPr>
            <w:tcW w:type="dxa" w:w="10205"/>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wfl.HookExecution</w:t>
            </w:r>
          </w:p>
        </w:tc>
        <w:tc>
          <w:tcPr>
            <w:tcW w:type="dxa" w:w="10205"/>
            <w:shd w:val="clear" w:color="auto" w:fill="E8EEF6"/>
          </w:tcPr>
          <w:p>
            <w:pPr>
              <w:spacing w:after="0" w:before="0"/>
            </w:pPr>
            <w:r/>
            <w:r>
              <w:rPr>
                <w:rFonts w:ascii="Arial" w:hAnsi="Arial"/>
                <w:b w:val="0"/>
                <w:sz w:val="15"/>
              </w:rPr>
              <w:t>Execution of a hook with an idempotency key; a repeat returns the stored result (FR-WFL-021, BR-WFL-015)</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wfl.Request</w:t>
            </w:r>
          </w:p>
        </w:tc>
        <w:tc>
          <w:tcPr>
            <w:tcW w:type="dxa" w:w="10205"/>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tcPr>
          <w:p>
            <w:pPr>
              <w:spacing w:after="0" w:before="0"/>
            </w:pPr>
            <w:r/>
            <w:r>
              <w:rPr>
                <w:rFonts w:ascii="Arial" w:hAnsi="Arial"/>
                <w:b w:val="0"/>
                <w:sz w:val="15"/>
              </w:rPr>
              <w:t>m6_requests_3</w:t>
            </w:r>
          </w:p>
        </w:tc>
      </w:tr>
      <w:tr>
        <w:trPr>
          <w:cantSplit w:val="true"/>
        </w:trPr>
        <w:tc>
          <w:tcPr>
            <w:tcW w:type="dxa" w:w="3515"/>
            <w:shd w:val="clear" w:color="auto" w:fill="E8EEF6"/>
          </w:tcPr>
          <w:p>
            <w:pPr>
              <w:spacing w:after="0" w:before="0"/>
            </w:pPr>
            <w:r/>
            <w:r>
              <w:rPr>
                <w:rFonts w:ascii="Arial" w:hAnsi="Arial"/>
                <w:b w:val="0"/>
                <w:sz w:val="15"/>
              </w:rPr>
              <w:t>wfl.RequestAction</w:t>
            </w:r>
          </w:p>
        </w:tc>
        <w:tc>
          <w:tcPr>
            <w:tcW w:type="dxa" w:w="10205"/>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wfl.RequestApproval</w:t>
            </w:r>
          </w:p>
        </w:tc>
        <w:tc>
          <w:tcPr>
            <w:tcW w:type="dxa" w:w="10205"/>
          </w:tcPr>
          <w:p>
            <w:pPr>
              <w:spacing w:after="0" w:before="0"/>
            </w:pPr>
            <w:r/>
            <w:r>
              <w:rPr>
                <w:rFonts w:ascii="Arial" w:hAnsi="Arial"/>
                <w:b w:val="0"/>
                <w:sz w:val="15"/>
              </w:rPr>
              <w:t>Approval slot created per entry and cycle; a new cycle creates new slots (BR-WFL-003, FR-WFL-007/008/011)</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wfl.RequestAttachment</w:t>
            </w:r>
          </w:p>
        </w:tc>
        <w:tc>
          <w:tcPr>
            <w:tcW w:type="dxa" w:w="10205"/>
            <w:shd w:val="clear" w:color="auto" w:fill="E8EEF6"/>
          </w:tcPr>
          <w:p>
            <w:pPr>
              <w:spacing w:after="0" w:before="0"/>
            </w:pPr>
            <w:r/>
            <w:r>
              <w:rPr>
                <w:rFonts w:ascii="Arial" w:hAnsi="Arial"/>
                <w:b w:val="0"/>
                <w:sz w:val="15"/>
              </w:rPr>
              <w:t>Links a document to a request and creates a DocumentLink (EntityType = Request) (FR-REQ-006, BR-REQ-005)</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wfl.RequestComment</w:t>
            </w:r>
          </w:p>
        </w:tc>
        <w:tc>
          <w:tcPr>
            <w:tcW w:type="dxa" w:w="10205"/>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tcPr>
          <w:p>
            <w:pPr>
              <w:spacing w:after="0" w:before="0"/>
            </w:pPr>
            <w:r/>
            <w:r>
              <w:rPr>
                <w:rFonts w:ascii="Arial" w:hAnsi="Arial"/>
                <w:b w:val="0"/>
                <w:sz w:val="15"/>
              </w:rPr>
              <w:t>m6_requests_4</w:t>
            </w:r>
          </w:p>
        </w:tc>
      </w:tr>
      <w:tr>
        <w:trPr>
          <w:cantSplit w:val="true"/>
        </w:trPr>
        <w:tc>
          <w:tcPr>
            <w:tcW w:type="dxa" w:w="3515"/>
            <w:shd w:val="clear" w:color="auto" w:fill="E8EEF6"/>
          </w:tcPr>
          <w:p>
            <w:pPr>
              <w:spacing w:after="0" w:before="0"/>
            </w:pPr>
            <w:r/>
            <w:r>
              <w:rPr>
                <w:rFonts w:ascii="Arial" w:hAnsi="Arial"/>
                <w:b w:val="0"/>
                <w:sz w:val="15"/>
              </w:rPr>
              <w:t>wfl.RequestExternalRef</w:t>
            </w:r>
          </w:p>
        </w:tc>
        <w:tc>
          <w:tcPr>
            <w:tcW w:type="dxa" w:w="10205"/>
            <w:shd w:val="clear" w:color="auto" w:fill="E8EEF6"/>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wfl.RequestStageInstance</w:t>
            </w:r>
          </w:p>
        </w:tc>
        <w:tc>
          <w:tcPr>
            <w:tcW w:type="dxa" w:w="10205"/>
          </w:tcPr>
          <w:p>
            <w:pPr>
              <w:spacing w:after="0" w:before="0"/>
            </w:pPr>
            <w:r/>
            <w:r>
              <w:rPr>
                <w:rFonts w:ascii="Arial" w:hAnsi="Arial"/>
                <w:b w:val="0"/>
                <w:sz w:val="15"/>
              </w:rPr>
              <w:t>Entry of a request into a stage; source of the cycle-time, withdrawal and SLA metrics (BR-WFL-002/007/012, section 8)</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wfl.RequestType</w:t>
            </w:r>
          </w:p>
        </w:tc>
        <w:tc>
          <w:tcPr>
            <w:tcW w:type="dxa" w:w="10205"/>
            <w:shd w:val="clear" w:color="auto" w:fill="E8EEF6"/>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wfl.RequestTypeAudience</w:t>
            </w:r>
          </w:p>
        </w:tc>
        <w:tc>
          <w:tcPr>
            <w:tcW w:type="dxa" w:w="10205"/>
          </w:tcPr>
          <w:p>
            <w:pPr>
              <w:spacing w:after="0" w:before="0"/>
            </w:pPr>
            <w:r/>
            <w:r>
              <w:rPr>
                <w:rFonts w:ascii="Arial" w:hAnsi="Arial"/>
                <w:b w:val="0"/>
                <w:sz w:val="15"/>
              </w:rPr>
              <w:t>Audience of a request type: who may raise it; no rows = nobody (fail closed) (FR-REQ-007)</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wfl.StageApprover</w:t>
            </w:r>
          </w:p>
        </w:tc>
        <w:tc>
          <w:tcPr>
            <w:tcW w:type="dxa" w:w="10205"/>
            <w:shd w:val="clear" w:color="auto" w:fill="E8EEF6"/>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wfl.TemplateAttachmentRule</w:t>
            </w:r>
          </w:p>
        </w:tc>
        <w:tc>
          <w:tcPr>
            <w:tcW w:type="dxa" w:w="10205"/>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wfl.TemplateField</w:t>
            </w:r>
          </w:p>
        </w:tc>
        <w:tc>
          <w:tcPr>
            <w:tcW w:type="dxa" w:w="10205"/>
            <w:shd w:val="clear" w:color="auto" w:fill="E8EEF6"/>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wfl.UserDelegation</w:t>
            </w:r>
          </w:p>
        </w:tc>
        <w:tc>
          <w:tcPr>
            <w:tcW w:type="dxa" w:w="10205"/>
          </w:tcPr>
          <w:p>
            <w:pPr>
              <w:spacing w:after="0" w:before="0"/>
            </w:pPr>
            <w:r/>
            <w:r>
              <w:rPr>
                <w:rFonts w:ascii="Arial" w:hAnsi="Arial"/>
                <w:b w:val="0"/>
                <w:sz w:val="15"/>
              </w:rPr>
              <w:t>Task delegation with a period and scope; no chained delegation (FR-WFL-020, BR-WFL-021, V-WFL-06)</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wfl.WorkflowStage</w:t>
            </w:r>
          </w:p>
        </w:tc>
        <w:tc>
          <w:tcPr>
            <w:tcW w:type="dxa" w:w="10205"/>
            <w:shd w:val="clear" w:color="auto" w:fill="E8EEF6"/>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wfl.WorkflowStageHook</w:t>
            </w:r>
          </w:p>
        </w:tc>
        <w:tc>
          <w:tcPr>
            <w:tcW w:type="dxa" w:w="10205"/>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1701"/>
          </w:tcPr>
          <w:p>
            <w:pPr>
              <w:spacing w:after="0" w:before="0"/>
            </w:pPr>
            <w:r/>
            <w:r>
              <w:rPr>
                <w:rFonts w:ascii="Arial" w:hAnsi="Arial"/>
                <w:b w:val="0"/>
                <w:sz w:val="15"/>
              </w:rPr>
              <w:t>m6_wf_templates_3</w:t>
            </w:r>
          </w:p>
        </w:tc>
      </w:tr>
      <w:tr>
        <w:trPr>
          <w:cantSplit w:val="true"/>
        </w:trPr>
        <w:tc>
          <w:tcPr>
            <w:tcW w:type="dxa" w:w="3515"/>
            <w:shd w:val="clear" w:color="auto" w:fill="E8EEF6"/>
          </w:tcPr>
          <w:p>
            <w:pPr>
              <w:spacing w:after="0" w:before="0"/>
            </w:pPr>
            <w:r/>
            <w:r>
              <w:rPr>
                <w:rFonts w:ascii="Arial" w:hAnsi="Arial"/>
                <w:b w:val="0"/>
                <w:sz w:val="15"/>
              </w:rPr>
              <w:t>wfl.WorkflowTemplate</w:t>
            </w:r>
          </w:p>
        </w:tc>
        <w:tc>
          <w:tcPr>
            <w:tcW w:type="dxa" w:w="10205"/>
            <w:shd w:val="clear" w:color="auto" w:fill="E8EEF6"/>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wfl.WorkflowTransition</w:t>
            </w:r>
          </w:p>
        </w:tc>
        <w:tc>
          <w:tcPr>
            <w:tcW w:type="dxa" w:w="10205"/>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1701"/>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249</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923</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208</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715</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634</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81</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655</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797</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91</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