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DOC-B04 — عقد الواجهة البرمجية ونموذج الأخطاء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المبادئ العامة</w:t>
        </w:r>
      </w:hyperlink>
    </w:p>
    <w:p>
      <w:pPr>
        <w:bidi/>
        <w:spacing w:after="50" w:before="0"/>
        <w:ind w:left="0"/>
      </w:pPr>
      <w:hyperlink w:history="1" w:anchor="_sec7">
        <w:r>
          <w:rPr>
            <w:rFonts w:ascii="Arial" w:cs="Arial" w:eastAsia="Arial" w:hAnsi="Arial"/>
            <w:b/>
            <w:bCs/>
            <w:color w:val="1F3A5F"/>
            <w:sz w:val="20"/>
            <w:szCs w:val="20"/>
            <w:rtl/>
          </w:rPr>
          <w:t xml:space="preserve">4. المعرّفات العامة والمفاتيح الداخلية</w:t>
        </w:r>
      </w:hyperlink>
    </w:p>
    <w:p>
      <w:pPr>
        <w:bidi/>
        <w:spacing w:after="50" w:before="0"/>
        <w:ind w:left="0"/>
      </w:pPr>
      <w:hyperlink w:history="1" w:anchor="_sec8">
        <w:r>
          <w:rPr>
            <w:rFonts w:ascii="Arial" w:cs="Arial" w:eastAsia="Arial" w:hAnsi="Arial"/>
            <w:b/>
            <w:bCs/>
            <w:color w:val="1F3A5F"/>
            <w:sz w:val="20"/>
            <w:szCs w:val="20"/>
            <w:rtl/>
          </w:rPr>
          <w:t xml:space="preserve">5. الترقيم والترشيح والفرز</w:t>
        </w:r>
      </w:hyperlink>
    </w:p>
    <w:p>
      <w:pPr>
        <w:bidi/>
        <w:spacing w:after="50" w:before="0"/>
        <w:ind w:left="0"/>
      </w:pPr>
      <w:hyperlink w:history="1" w:anchor="_sec9">
        <w:r>
          <w:rPr>
            <w:rFonts w:ascii="Arial" w:cs="Arial" w:eastAsia="Arial" w:hAnsi="Arial"/>
            <w:b/>
            <w:bCs/>
            <w:color w:val="1F3A5F"/>
            <w:sz w:val="20"/>
            <w:szCs w:val="20"/>
            <w:rtl/>
          </w:rPr>
          <w:t xml:space="preserve">6. التزامن المتفائل (RowVersion وETag وIf-Match)</w:t>
        </w:r>
      </w:hyperlink>
    </w:p>
    <w:p>
      <w:pPr>
        <w:bidi/>
        <w:spacing w:after="50" w:before="0"/>
        <w:ind w:left="0"/>
      </w:pPr>
      <w:hyperlink w:history="1" w:anchor="_sec10">
        <w:r>
          <w:rPr>
            <w:rFonts w:ascii="Arial" w:cs="Arial" w:eastAsia="Arial" w:hAnsi="Arial"/>
            <w:b/>
            <w:bCs/>
            <w:color w:val="1F3A5F"/>
            <w:sz w:val="20"/>
            <w:szCs w:val="20"/>
            <w:rtl/>
          </w:rPr>
          <w:t xml:space="preserve">7. مفتاح التكرار (Idempotency-Key)</w:t>
        </w:r>
      </w:hyperlink>
    </w:p>
    <w:p>
      <w:pPr>
        <w:bidi/>
        <w:spacing w:after="50" w:before="0"/>
        <w:ind w:left="0"/>
      </w:pPr>
      <w:hyperlink w:history="1" w:anchor="_sec11">
        <w:r>
          <w:rPr>
            <w:rFonts w:ascii="Arial" w:cs="Arial" w:eastAsia="Arial" w:hAnsi="Arial"/>
            <w:b/>
            <w:bCs/>
            <w:color w:val="1F3A5F"/>
            <w:sz w:val="20"/>
            <w:szCs w:val="20"/>
            <w:rtl/>
          </w:rPr>
          <w:t xml:space="preserve">8. مغلف الخطأ (application/problem+json)</w:t>
        </w:r>
      </w:hyperlink>
    </w:p>
    <w:p>
      <w:pPr>
        <w:bidi/>
        <w:spacing w:after="50" w:before="0"/>
        <w:ind w:left="0"/>
      </w:pPr>
      <w:hyperlink w:history="1" w:anchor="_sec12">
        <w:r>
          <w:rPr>
            <w:rFonts w:ascii="Arial" w:cs="Arial" w:eastAsia="Arial" w:hAnsi="Arial"/>
            <w:b/>
            <w:bCs/>
            <w:color w:val="1F3A5F"/>
            <w:sz w:val="20"/>
            <w:szCs w:val="20"/>
            <w:rtl/>
          </w:rPr>
          <w:t xml:space="preserve">9. جداول التحويل إلى HTTP</w:t>
        </w:r>
      </w:hyperlink>
    </w:p>
    <w:p>
      <w:pPr>
        <w:bidi/>
        <w:spacing w:after="50" w:before="0"/>
        <w:ind w:left="0"/>
      </w:pPr>
      <w:hyperlink w:history="1" w:anchor="_sec18">
        <w:r>
          <w:rPr>
            <w:rFonts w:ascii="Arial" w:cs="Arial" w:eastAsia="Arial" w:hAnsi="Arial"/>
            <w:b/>
            <w:bCs/>
            <w:color w:val="1F3A5F"/>
            <w:sz w:val="20"/>
            <w:szCs w:val="20"/>
            <w:rtl/>
          </w:rPr>
          <w:t xml:space="preserve">10. توطين الرسائل</w:t>
        </w:r>
      </w:hyperlink>
    </w:p>
    <w:p>
      <w:pPr>
        <w:bidi/>
        <w:spacing w:after="50" w:before="0"/>
        <w:ind w:left="0"/>
      </w:pPr>
      <w:hyperlink w:history="1" w:anchor="_sec19">
        <w:r>
          <w:rPr>
            <w:rFonts w:ascii="Arial" w:cs="Arial" w:eastAsia="Arial" w:hAnsi="Arial"/>
            <w:b/>
            <w:bCs/>
            <w:color w:val="1F3A5F"/>
            <w:sz w:val="20"/>
            <w:szCs w:val="20"/>
            <w:rtl/>
          </w:rPr>
          <w:t xml:space="preserve">11. مسار ترجمة الخطأ</w:t>
        </w:r>
      </w:hyperlink>
    </w:p>
    <w:p>
      <w:pPr>
        <w:bidi/>
        <w:spacing w:after="50" w:before="0"/>
        <w:ind w:left="0"/>
      </w:pPr>
      <w:hyperlink w:history="1" w:anchor="_sec20">
        <w:r>
          <w:rPr>
            <w:rFonts w:ascii="Arial" w:cs="Arial" w:eastAsia="Arial" w:hAnsi="Arial"/>
            <w:b/>
            <w:bCs/>
            <w:color w:val="1F3A5F"/>
            <w:sz w:val="20"/>
            <w:szCs w:val="20"/>
            <w:rtl/>
          </w:rPr>
          <w:t xml:space="preserve">12. وثيقة OpenAPI</w:t>
        </w:r>
      </w:hyperlink>
    </w:p>
    <w:p>
      <w:pPr>
        <w:bidi/>
        <w:spacing w:after="50" w:before="0"/>
        <w:ind w:left="0"/>
      </w:pPr>
      <w:hyperlink w:history="1" w:anchor="_sec21">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15.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1"/>
        <w:bidi/>
      </w:pPr>
      <w:bookmarkStart w:name="_sec3" w:id="3"/>
      <w:r>
        <w:rPr>
          <w:rFonts w:ascii="Arial" w:cs="Arial" w:eastAsia="Arial" w:hAnsi="Arial"/>
          <w:b/>
          <w:bCs/>
          <w:color w:val="1F3A5F"/>
          <w:sz w:val="32"/>
          <w:szCs w:val="32"/>
          <w:rtl/>
        </w:rPr>
        <w:t xml:space="preserve">3. المبادئ العامة</w:t>
      </w:r>
      <w:bookmarkEnd w:id="3"/>
    </w:p>
    <w:p>
      <w:pPr>
        <w:pStyle w:val="Heading2"/>
        <w:bidi/>
      </w:pPr>
      <w:bookmarkStart w:name="_sec4" w:id="4"/>
      <w:r>
        <w:rPr>
          <w:rFonts w:ascii="Arial" w:cs="Arial" w:eastAsia="Arial" w:hAnsi="Arial"/>
          <w:b/>
          <w:bCs/>
          <w:color w:val="2B5C8A"/>
          <w:sz w:val="26"/>
          <w:szCs w:val="26"/>
          <w:rtl/>
        </w:rPr>
        <w:t xml:space="preserve">3.1 العناوين والإصدار</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تسمية الموارد وشكل البيانات</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الارتباط والتتبع</w:t>
      </w:r>
      <w:bookmarkEnd w:id="6"/>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1"/>
        <w:bidi/>
      </w:pPr>
      <w:bookmarkStart w:name="_sec7" w:id="7"/>
      <w:r>
        <w:rPr>
          <w:rFonts w:ascii="Arial" w:cs="Arial" w:eastAsia="Arial" w:hAnsi="Arial"/>
          <w:b/>
          <w:bCs/>
          <w:color w:val="1F3A5F"/>
          <w:sz w:val="32"/>
          <w:szCs w:val="32"/>
          <w:rtl/>
        </w:rPr>
        <w:t xml:space="preserve">4. المعرّفات العامة والمفاتيح الداخلية</w:t>
      </w:r>
      <w:bookmarkEnd w:id="7"/>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1"/>
        <w:bidi/>
      </w:pPr>
      <w:bookmarkStart w:name="_sec8" w:id="8"/>
      <w:r>
        <w:rPr>
          <w:rFonts w:ascii="Arial" w:cs="Arial" w:eastAsia="Arial" w:hAnsi="Arial"/>
          <w:b/>
          <w:bCs/>
          <w:color w:val="1F3A5F"/>
          <w:sz w:val="32"/>
          <w:szCs w:val="32"/>
          <w:rtl/>
        </w:rPr>
        <w:t xml:space="preserve">5. الترقيم والترشيح والفرز </w:t>
      </w:r>
      <w:r>
        <w:rPr>
          <w:rFonts w:ascii="Arial" w:cs="Arial" w:eastAsia="Arial" w:hAnsi="Arial"/>
          <w:color w:val="E0A800"/>
          <w:sz w:val="32"/>
          <w:szCs w:val="32"/>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6. التزامن المتفائل (RowVersion وETag وIf-Match)</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1"/>
        <w:bidi/>
      </w:pPr>
      <w:bookmarkStart w:name="_sec10" w:id="10"/>
      <w:r>
        <w:rPr>
          <w:rFonts w:ascii="Arial" w:cs="Arial" w:eastAsia="Arial" w:hAnsi="Arial"/>
          <w:b/>
          <w:bCs/>
          <w:color w:val="1F3A5F"/>
          <w:sz w:val="32"/>
          <w:szCs w:val="32"/>
          <w:rtl/>
        </w:rPr>
        <w:t xml:space="preserve">7. مفتاح التكرار (Idempotency-Key)</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76675"/>
                    </a:xfrm>
                    <a:prstGeom prst="rect">
                      <a:avLst/>
                    </a:prstGeom>
                  </pic:spPr>
                </pic:pic>
              </a:graphicData>
            </a:graphic>
          </wp:inline>
        </w:drawing>
      </w:r>
    </w:p>
    <w:p>
      <w:pPr>
        <w:pStyle w:val="Heading1"/>
        <w:bidi/>
      </w:pPr>
      <w:bookmarkStart w:name="_sec11" w:id="11"/>
      <w:r>
        <w:rPr>
          <w:rFonts w:ascii="Arial" w:cs="Arial" w:eastAsia="Arial" w:hAnsi="Arial"/>
          <w:b/>
          <w:bCs/>
          <w:color w:val="1F3A5F"/>
          <w:sz w:val="32"/>
          <w:szCs w:val="32"/>
          <w:rtl/>
        </w:rPr>
        <w:t xml:space="preserve">8. مغلف الخطأ (application/problem+json)</w:t>
      </w:r>
      <w:bookmarkEnd w:id="11"/>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2" w:id="12"/>
      <w:r>
        <w:rPr>
          <w:rFonts w:ascii="Arial" w:cs="Arial" w:eastAsia="Arial" w:hAnsi="Arial"/>
          <w:b/>
          <w:bCs/>
          <w:color w:val="1F3A5F"/>
          <w:sz w:val="32"/>
          <w:szCs w:val="32"/>
          <w:rtl/>
        </w:rPr>
        <w:t xml:space="preserve">9. جداول التحويل إلى HTTP</w:t>
      </w:r>
      <w:bookmarkEnd w:id="12"/>
    </w:p>
    <w:p>
      <w:pPr>
        <w:pStyle w:val="Heading2"/>
        <w:bidi/>
      </w:pPr>
      <w:bookmarkStart w:name="_sec13" w:id="13"/>
      <w:r>
        <w:rPr>
          <w:rFonts w:ascii="Arial" w:cs="Arial" w:eastAsia="Arial" w:hAnsi="Arial"/>
          <w:b/>
          <w:bCs/>
          <w:color w:val="2B5C8A"/>
          <w:sz w:val="26"/>
          <w:szCs w:val="26"/>
          <w:rtl/>
        </w:rPr>
        <w:t xml:space="preserve">9.1 دليل الحالات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2"/>
        <w:bidi/>
      </w:pPr>
      <w:bookmarkStart w:name="_sec14" w:id="14"/>
      <w:r>
        <w:rPr>
          <w:rFonts w:ascii="Arial" w:cs="Arial" w:eastAsia="Arial" w:hAnsi="Arial"/>
          <w:b/>
          <w:bCs/>
          <w:color w:val="2B5C8A"/>
          <w:sz w:val="26"/>
          <w:szCs w:val="26"/>
          <w:rtl/>
        </w:rPr>
        <w:t xml:space="preserve">9.2 رموز التحقق V-XXX-nn</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9.3 رموز الأعمال</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2"/>
        <w:bidi/>
      </w:pPr>
      <w:bookmarkStart w:name="_sec16" w:id="16"/>
      <w:r>
        <w:rPr>
          <w:rFonts w:ascii="Arial" w:cs="Arial" w:eastAsia="Arial" w:hAnsi="Arial"/>
          <w:b/>
          <w:bCs/>
          <w:color w:val="2B5C8A"/>
          <w:sz w:val="26"/>
          <w:szCs w:val="26"/>
          <w:rtl/>
        </w:rPr>
        <w:t xml:space="preserve">9.4 أخطاء قاعدة البيانات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2"/>
        <w:bidi/>
      </w:pPr>
      <w:bookmarkStart w:name="_sec17" w:id="17"/>
      <w:r>
        <w:rPr>
          <w:rFonts w:ascii="Arial" w:cs="Arial" w:eastAsia="Arial" w:hAnsi="Arial"/>
          <w:b/>
          <w:bCs/>
          <w:color w:val="2B5C8A"/>
          <w:sz w:val="26"/>
          <w:szCs w:val="26"/>
          <w:rtl/>
        </w:rPr>
        <w:t xml:space="preserve">9.5 أخطاء الدخول</w:t>
      </w:r>
      <w:bookmarkEnd w:id="17"/>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1"/>
        <w:bidi/>
      </w:pPr>
      <w:bookmarkStart w:name="_sec18" w:id="18"/>
      <w:r>
        <w:rPr>
          <w:rFonts w:ascii="Arial" w:cs="Arial" w:eastAsia="Arial" w:hAnsi="Arial"/>
          <w:b/>
          <w:bCs/>
          <w:color w:val="1F3A5F"/>
          <w:sz w:val="32"/>
          <w:szCs w:val="32"/>
          <w:rtl/>
        </w:rPr>
        <w:t xml:space="preserve">10. توطين الرسائل</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1"/>
        <w:bidi/>
      </w:pPr>
      <w:bookmarkStart w:name="_sec19" w:id="19"/>
      <w:r>
        <w:rPr>
          <w:rFonts w:ascii="Arial" w:cs="Arial" w:eastAsia="Arial" w:hAnsi="Arial"/>
          <w:b/>
          <w:bCs/>
          <w:color w:val="1F3A5F"/>
          <w:sz w:val="32"/>
          <w:szCs w:val="32"/>
          <w:rtl/>
        </w:rPr>
        <w:t xml:space="preserve">11. مسار ترجمة الخطأ</w:t>
      </w:r>
      <w:bookmarkEnd w:id="19"/>
    </w:p>
    <w:p>
      <w:pPr>
        <w:keepNext/>
        <w:bidi/>
        <w:spacing w:after="60" w:before="160"/>
        <w:jc w:val="center"/>
      </w:pPr>
      <w:r>
        <w:drawing>
          <wp:inline distT="0" distB="0" distL="0" distR="0">
            <wp:extent cx="6096000" cy="63150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6315075"/>
                    </a:xfrm>
                    <a:prstGeom prst="rect">
                      <a:avLst/>
                    </a:prstGeom>
                  </pic:spPr>
                </pic:pic>
              </a:graphicData>
            </a:graphic>
          </wp:inline>
        </w:drawing>
      </w:r>
    </w:p>
    <w:p>
      <w:pPr>
        <w:pStyle w:val="Heading1"/>
        <w:bidi/>
      </w:pPr>
      <w:bookmarkStart w:name="_sec20" w:id="20"/>
      <w:r>
        <w:rPr>
          <w:rFonts w:ascii="Arial" w:cs="Arial" w:eastAsia="Arial" w:hAnsi="Arial"/>
          <w:b/>
          <w:bCs/>
          <w:color w:val="1F3A5F"/>
          <w:sz w:val="32"/>
          <w:szCs w:val="32"/>
          <w:rtl/>
        </w:rPr>
        <w:t xml:space="preserve">12. وثيقة OpenAPI</w:t>
      </w:r>
      <w:bookmarkEnd w:id="20"/>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14. تعارضات وفجوات في المصادر</w:t>
      </w:r>
      <w:bookmarkEnd w:id="22"/>
    </w:p>
    <w:p>
      <w:pPr>
        <w:pStyle w:val="ListParagraph"/>
        <w:numPr>
          <w:ilvl w:val="0"/>
          <w:numId w:val="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1"/>
        <w:bidi/>
      </w:pPr>
      <w:bookmarkStart w:name="_sec23" w:id="23"/>
      <w:r>
        <w:rPr>
          <w:rFonts w:ascii="Arial" w:cs="Arial" w:eastAsia="Arial" w:hAnsi="Arial"/>
          <w:b/>
          <w:bCs/>
          <w:color w:val="1F3A5F"/>
          <w:sz w:val="32"/>
          <w:szCs w:val="32"/>
          <w:rtl/>
        </w:rPr>
        <w:t xml:space="preserve">15.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81ac65f0b4f55d48d9d2bbd4def27ec0cf01dd.png"/><Relationship Id="rId10" Type="http://schemas.openxmlformats.org/officeDocument/2006/relationships/image" Target="media/747b464a761b041f27659c28146cb2f7a09afe3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DOC-B04 — عقد الواجهة البرمجية ونموذج الأخطاء</dc:title>
  <dc:creator>Claude</dc:creator>
  <dc:description>BankFas database design document</dc:description>
  <cp:lastModifiedBy>Un-named</cp:lastModifiedBy>
  <cp:revision>1</cp:revision>
  <dcterms:created xsi:type="dcterms:W3CDTF">2026-10-20T18:27:45.439Z</dcterms:created>
  <dcterms:modified xsi:type="dcterms:W3CDTF">2026-10-20T18:27:45.440Z</dcterms:modified>
</cp:coreProperties>
</file>

<file path=docProps/custom.xml><?xml version="1.0" encoding="utf-8"?>
<Properties xmlns="http://schemas.openxmlformats.org/officeDocument/2006/custom-properties" xmlns:vt="http://schemas.openxmlformats.org/officeDocument/2006/docPropsVTypes"/>
</file>