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bidi/>
      </w:pPr>
      <w:r>
        <w:rPr>
          <w:rFonts w:ascii="Arial" w:cs="Arial" w:eastAsia="Arial" w:hAnsi="Arial"/>
          <w:b/>
          <w:bCs/>
          <w:color w:val="1F3A5F"/>
          <w:sz w:val="48"/>
          <w:szCs w:val="48"/>
          <w:rtl/>
        </w:rPr>
        <w:t xml:space="preserve">DOC-F02 — تدفقات البيانات الحساسة (DFD المستوى 1)</w:t>
      </w:r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60"/>
        <w:gridCol w:w="8704"/>
      </w:tblGrid>
      <w:tr>
        <w:trPr>
          <w:cantSplit/>
          <w:tblHeader/>
        </w:trPr>
        <w:tc>
          <w:tcPr>
            <w:tcW w:type="dxa" w:w="11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البند</w:t>
            </w:r>
          </w:p>
        </w:tc>
        <w:tc>
          <w:tcPr>
            <w:tcW w:type="dxa" w:w="87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القيمة</w:t>
            </w:r>
          </w:p>
        </w:tc>
      </w:tr>
      <w:tr>
        <w:trPr>
          <w:cantSplit/>
        </w:trPr>
        <w:tc>
          <w:tcPr>
            <w:tcW w:type="dxa" w:w="11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المعرّف</w:t>
            </w:r>
          </w:p>
        </w:tc>
        <w:tc>
          <w:tcPr>
            <w:tcW w:type="dxa" w:w="87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DOC-F02 (docs/30-readiness-documents.md)</w:t>
            </w:r>
          </w:p>
        </w:tc>
      </w:tr>
      <w:tr>
        <w:trPr>
          <w:cantSplit/>
        </w:trPr>
        <w:tc>
          <w:tcPr>
            <w:tcW w:type="dxa" w:w="11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الإصدار</w:t>
            </w:r>
          </w:p>
        </w:tc>
        <w:tc>
          <w:tcPr>
            <w:tcW w:type="dxa" w:w="87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0.1 — مسودة للمراجعة — 2026-10-12</w:t>
            </w:r>
          </w:p>
        </w:tc>
      </w:tr>
      <w:tr>
        <w:trPr>
          <w:cantSplit/>
        </w:trPr>
        <w:tc>
          <w:tcPr>
            <w:tcW w:type="dxa" w:w="11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المالك المقترح</w:t>
            </w:r>
          </w:p>
        </w:tc>
        <w:tc>
          <w:tcPr>
            <w:tcW w:type="dxa" w:w="87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مسؤول الأمن مع معماري قاعدة البيانات</w:t>
            </w:r>
          </w:p>
        </w:tc>
      </w:tr>
      <w:tr>
        <w:trPr>
          <w:cantSplit/>
        </w:trPr>
        <w:tc>
          <w:tcPr>
            <w:tcW w:type="dxa" w:w="11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الأولوية</w:t>
            </w:r>
          </w:p>
        </w:tc>
        <w:tc>
          <w:tcPr>
            <w:tcW w:type="dxa" w:w="87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P0 قبل S0</w:t>
            </w:r>
          </w:p>
        </w:tc>
      </w:tr>
      <w:tr>
        <w:trPr>
          <w:cantSplit/>
        </w:trPr>
        <w:tc>
          <w:tcPr>
            <w:tcW w:type="dxa" w:w="11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يغطي</w:t>
            </w:r>
          </w:p>
        </w:tc>
        <w:tc>
          <w:tcPr>
            <w:tcW w:type="dxa" w:w="87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FR-PLT-010، FR-PLT-011، FR-PLT-013، FR-PLT-014، FR-PLT-022، FR-PLT-023، FR-PLT-027، FR-PLT-030، FR-PLT-037، FR-PLT-039، FR-PLT-042، FR-PTY-006 إلى FR-PTY-009، FR-PTY-026، FR-PTY-027، FR-REQ-024، BR-PLT-004، BR-PLT-006، BR-PLT-009، BR-PLT-015، BR-PLT-016، BR-PTY-002، BR-PTY-008، BR-PTY-009، BR-REQ-003، O-24 (erd_open_items)، DR-08، DR-11، DR-13، DR-18، DR-25، DR-31، DR-46</w:t>
            </w:r>
          </w:p>
        </w:tc>
      </w:tr>
      <w:tr>
        <w:trPr>
          <w:cantSplit/>
        </w:trPr>
        <w:tc>
          <w:tcPr>
            <w:tcW w:type="dxa" w:w="11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يعتمد على</w:t>
            </w:r>
          </w:p>
        </w:tc>
        <w:tc>
          <w:tcPr>
            <w:tcW w:type="dxa" w:w="87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DOC-F01 (معرّفات TB والفاعلين والمخازن). يُستكمل بـDOC-S02 (المفاتيح) وDOC-S06 (التصنيف) وDOC-S07 (الخصوصية)</w:t>
            </w:r>
          </w:p>
        </w:tc>
      </w:tr>
      <w:tr>
        <w:trPr>
          <w:cantSplit/>
        </w:trPr>
        <w:tc>
          <w:tcPr>
            <w:tcW w:type="dxa" w:w="11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المصادر</w:t>
            </w:r>
          </w:p>
        </w:tc>
        <w:tc>
          <w:tcPr>
            <w:tcW w:type="dxa" w:w="87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db/model/*.model، db/generated/tsql/006_sensitive_columns.sql، db/generated/tsql/005_delete_grants.sql، db/generated/tsql/007_table_grants.sql، db/static/010_rls.sql، db/static/020_roles_and_grants.sql، db/static/030_session_context.sql، tools/dbgen/dbgen.py، tools/dbgen/check_grants.py، docs/20-database-design.md، docs/10-detailed-analysis/10-m0-m1-platform-organization.md، docs/10-detailed-analysis/13-m6-workflow-engine-notifications.md، docs/review/design-review-2026-10-11.json، tools/dbgen/erd_open_items.py</w:t>
            </w:r>
          </w:p>
        </w:tc>
      </w:tr>
    </w:tbl>
    <w:p>
      <w:pPr>
        <w:bidi/>
        <w:spacing w:after="120" w:before="0"/>
      </w:pPr>
    </w:p>
    <w:p>
      <w:pPr>
        <w:pBdr>
          <w:bottom w:val="single" w:color="1F3A5F" w:sz="8" w:space="4"/>
        </w:pBdr>
        <w:bidi/>
        <w:spacing w:after="100" w:before="280"/>
      </w:pPr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المحتويات</w:t>
      </w:r>
    </w:p>
    <w:p>
      <w:pPr>
        <w:bidi/>
        <w:spacing w:after="50" w:before="0"/>
        <w:ind w:left="0"/>
      </w:pPr>
      <w:hyperlink w:history="1" w:anchor="_sec1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1. الغرض والنطاق</w:t>
        </w:r>
      </w:hyperlink>
    </w:p>
    <w:p>
      <w:pPr>
        <w:bidi/>
        <w:spacing w:after="50" w:before="0"/>
        <w:ind w:left="0"/>
      </w:pPr>
      <w:hyperlink w:history="1" w:anchor="_sec2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2. جرد القيم الحساسة</w:t>
        </w:r>
      </w:hyperlink>
    </w:p>
    <w:p>
      <w:pPr>
        <w:bidi/>
        <w:spacing w:after="50" w:before="0"/>
        <w:ind w:left="0"/>
      </w:pPr>
      <w:hyperlink w:history="1" w:anchor="_sec3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3. وسوم الحساسية في النموذج</w:t>
        </w:r>
      </w:hyperlink>
    </w:p>
    <w:p>
      <w:pPr>
        <w:bidi/>
        <w:spacing w:after="50" w:before="0"/>
        <w:ind w:left="0"/>
      </w:pPr>
      <w:hyperlink w:history="1" w:anchor="_sec4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4. DFD-1: بيانات الدخول (V-01 إلى V-06)</w:t>
        </w:r>
      </w:hyperlink>
    </w:p>
    <w:p>
      <w:pPr>
        <w:bidi/>
        <w:spacing w:after="50" w:before="0"/>
        <w:ind w:left="0"/>
      </w:pPr>
      <w:hyperlink w:history="1" w:anchor="_sec5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5. DFD-2: أرقام الهويات وصورها (V-08، V-09)</w:t>
        </w:r>
      </w:hyperlink>
    </w:p>
    <w:p>
      <w:pPr>
        <w:bidi/>
        <w:spacing w:after="50" w:before="0"/>
        <w:ind w:left="0"/>
      </w:pPr>
      <w:hyperlink w:history="1" w:anchor="_sec6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6. DFD-3: أرقام الحسابات وIBAN ونسخها (V-10، V-13)</w:t>
        </w:r>
      </w:hyperlink>
    </w:p>
    <w:p>
      <w:pPr>
        <w:bidi/>
        <w:spacing w:after="50" w:before="0"/>
        <w:ind w:left="0"/>
      </w:pPr>
      <w:hyperlink w:history="1" w:anchor="_sec7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7. DFD-4: المفاتيح والنسخ الاحتياطية (V-07)</w:t>
        </w:r>
      </w:hyperlink>
    </w:p>
    <w:p>
      <w:pPr>
        <w:bidi/>
        <w:spacing w:after="50" w:before="0"/>
        <w:ind w:left="0"/>
      </w:pPr>
      <w:hyperlink w:history="1" w:anchor="_sec8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8. النسخ الجانبية: الإثبات</w:t>
        </w:r>
      </w:hyperlink>
    </w:p>
    <w:p>
      <w:pPr>
        <w:bidi/>
        <w:spacing w:after="50" w:before="0"/>
        <w:ind w:left="0"/>
      </w:pPr>
      <w:hyperlink w:history="1" w:anchor="_sec9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9. الحذف والاحتفاظ</w:t>
        </w:r>
      </w:hyperlink>
    </w:p>
    <w:p>
      <w:pPr>
        <w:bidi/>
        <w:spacing w:after="50" w:before="0"/>
        <w:ind w:left="0"/>
      </w:pPr>
      <w:hyperlink w:history="1" w:anchor="_sec10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10. قواعد ملزمة للتنفيذ</w:t>
        </w:r>
      </w:hyperlink>
    </w:p>
    <w:p>
      <w:pPr>
        <w:bidi/>
        <w:spacing w:after="50" w:before="0"/>
        <w:ind w:left="0"/>
      </w:pPr>
      <w:hyperlink w:history="1" w:anchor="_sec11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11. القرارات المطلوبة</w:t>
        </w:r>
      </w:hyperlink>
    </w:p>
    <w:p>
      <w:pPr>
        <w:bidi/>
        <w:spacing w:after="50" w:before="0"/>
        <w:ind w:left="0"/>
      </w:pPr>
      <w:hyperlink w:history="1" w:anchor="_sec12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12. تعارضات وفجوات في المصادر</w:t>
        </w:r>
      </w:hyperlink>
    </w:p>
    <w:p>
      <w:pPr>
        <w:bidi/>
        <w:spacing w:after="50" w:before="0"/>
        <w:ind w:left="0"/>
      </w:pPr>
      <w:hyperlink w:history="1" w:anchor="_sec13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13. التتبع</w:t>
        </w:r>
      </w:hyperlink>
    </w:p>
    <w:p>
      <w:r>
        <w:br w:type="page"/>
      </w:r>
    </w:p>
    <w:p>
      <w:pPr>
        <w:pStyle w:val="Heading1"/>
        <w:bidi/>
      </w:pPr>
      <w:bookmarkStart w:name="_sec1" w:id="1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1. الغرض والنطاق</w:t>
      </w:r>
      <w:bookmarkEnd w:id="1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يتتبع هذا المستند كل قيمة سرّية أو مقيّدة: أين تُنشأ، وأين تُنسخ وتُخزَّن وتُصدَّر وتُسجَّل وتُحذف.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الهدف إثبات أن كل نسخة من قيمة مقيّدة مشفّرة أو مقنَّعة أو مجزّأة، أو تسمية النسخة التي لا تحقق ذلك ومعالجتها.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معرّفات الحدود (TB) والفاعلين (A) والمخازن (D) من DOC-F01. معرّفات التدفقات هنا SD-nn.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مستويات التصنيف </w:t>
      </w:r>
      <w:r>
        <w:rPr>
          <w:rFonts w:ascii="Arial" w:cs="Arial" w:eastAsia="Arial" w:hAnsi="Arial"/>
          <w:color w:val="2E9E44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(docs/10-detailed-analysis/10-m0-m1-platform-organization.md:581): عامة، داخلية، </w:t>
      </w: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سرّية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(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‎sens=confidential‎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)، </w:t>
      </w: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مقيّدة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(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‎sens=restricted‎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خارج النطاق: قيم التصنيف التفصيلية (DOC-S06)، سلسلة المفاتيح وتدويرها (DOC-S02)، مدد الاحتفاظ القانونية (DOC-S07)، تسلسل الدخول (DOC-F03).</w:t>
      </w:r>
    </w:p>
    <w:p>
      <w:pPr>
        <w:bidi/>
        <w:spacing w:after="60" w:before="0"/>
      </w:pPr>
    </w:p>
    <w:p>
      <w:pPr>
        <w:pStyle w:val="Heading1"/>
        <w:bidi/>
      </w:pPr>
      <w:bookmarkStart w:name="_sec2" w:id="2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2. جرد القيم الحساسة</w:t>
      </w:r>
      <w:bookmarkEnd w:id="2"/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40"/>
        <w:gridCol w:w="1862"/>
        <w:gridCol w:w="2072"/>
        <w:gridCol w:w="1335"/>
        <w:gridCol w:w="2110"/>
        <w:gridCol w:w="1545"/>
      </w:tblGrid>
      <w:tr>
        <w:trPr>
          <w:cantSplit/>
          <w:tblHeader/>
        </w:trPr>
        <w:tc>
          <w:tcPr>
            <w:tcW w:type="dxa" w:w="9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القيمة</w:t>
            </w:r>
          </w:p>
        </w:tc>
        <w:tc>
          <w:tcPr>
            <w:tcW w:type="dxa" w:w="186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الإنشاء</w:t>
            </w:r>
          </w:p>
        </w:tc>
        <w:tc>
          <w:tcPr>
            <w:tcW w:type="dxa" w:w="207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التخزين</w:t>
            </w:r>
          </w:p>
        </w:tc>
        <w:tc>
          <w:tcPr>
            <w:tcW w:type="dxa" w:w="13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النسخ والتصدير</w:t>
            </w:r>
          </w:p>
        </w:tc>
        <w:tc>
          <w:tcPr>
            <w:tcW w:type="dxa" w:w="211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السجلات</w:t>
            </w:r>
          </w:p>
        </w:tc>
        <w:tc>
          <w:tcPr>
            <w:tcW w:type="dxa" w:w="154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الحذف</w:t>
            </w:r>
          </w:p>
        </w:tc>
      </w:tr>
      <w:tr>
        <w:trPr>
          <w:cantSplit/>
        </w:trPr>
        <w:tc>
          <w:tcPr>
            <w:tcW w:type="dxa" w:w="9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V-01 كلمة المرور</w:t>
            </w:r>
          </w:p>
        </w:tc>
        <w:tc>
          <w:tcPr>
            <w:tcW w:type="dxa" w:w="186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يكتبها المستخدم (SD-01)</w:t>
            </w:r>
          </w:p>
        </w:tc>
        <w:tc>
          <w:tcPr>
            <w:tcW w:type="dxa" w:w="207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تُخزَّن؛ تبقى في ذاكرة التطبيق لحساب Argon2id</w:t>
            </w:r>
          </w:p>
        </w:tc>
        <w:tc>
          <w:tcPr>
            <w:tcW w:type="dxa" w:w="13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شيء</w:t>
            </w:r>
          </w:p>
        </w:tc>
        <w:tc>
          <w:tcPr>
            <w:tcW w:type="dxa" w:w="211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ممنوعة في سجلات التطبيق </w:t>
            </w: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(docs/10-detailed-analysis/10-m0-m1-platform-organization.md:586)</w:t>
            </w:r>
          </w:p>
        </w:tc>
        <w:tc>
          <w:tcPr>
            <w:tcW w:type="dxa" w:w="154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تُمحى من الذاكرة بعد الحساب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</w:tr>
      <w:tr>
        <w:trPr>
          <w:cantSplit/>
        </w:trPr>
        <w:tc>
          <w:tcPr>
            <w:tcW w:type="dxa" w:w="9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V-02 تجزئة كلمة المرور (PHC)</w:t>
            </w:r>
          </w:p>
        </w:tc>
        <w:tc>
          <w:tcPr>
            <w:tcW w:type="dxa" w:w="186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التطبيق (docs/adr/0002-login-and-session-bound-context.md:19)</w:t>
            </w:r>
          </w:p>
        </w:tc>
        <w:tc>
          <w:tcPr>
            <w:tcW w:type="dxa" w:w="207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‎sec.AppUser.PasswordHash‎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،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‎sec.UserPasswordHistory.PasswordHash‎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،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‎plat.PlatformOperator.PasswordHash‎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(db/model/10-platform.model:124، :262، :69)</w:t>
            </w:r>
          </w:p>
        </w:tc>
        <w:tc>
          <w:tcPr>
            <w:tcW w:type="dxa" w:w="13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الملح والمعاملات تعود من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‎usp_GetPasswordParams‎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بلا التجزئة (db/static/030_session_context.sql:34)</w:t>
            </w:r>
          </w:p>
        </w:tc>
        <w:tc>
          <w:tcPr>
            <w:tcW w:type="dxa" w:w="211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تُسجَّل</w:t>
            </w:r>
          </w:p>
        </w:tc>
        <w:tc>
          <w:tcPr>
            <w:tcW w:type="dxa" w:w="154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آخر 5 في السجل (BR-PLT-004)؛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‎tp_app‎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يحذف من السجل (db/generated/tsql/005_delete_grants.sql:15)</w:t>
            </w:r>
          </w:p>
        </w:tc>
      </w:tr>
      <w:tr>
        <w:trPr>
          <w:cantSplit/>
        </w:trPr>
        <w:tc>
          <w:tcPr>
            <w:tcW w:type="dxa" w:w="9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V-03 رمز الجلسة</w:t>
            </w:r>
          </w:p>
        </w:tc>
        <w:tc>
          <w:tcPr>
            <w:tcW w:type="dxa" w:w="186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التطبيق، 32 بايت على الأقل (db/static/030_session_context.sql:53)</w:t>
            </w:r>
          </w:p>
        </w:tc>
        <w:tc>
          <w:tcPr>
            <w:tcW w:type="dxa" w:w="207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SHA-256 في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‎sec.UserSession.TokenHash‎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(db/static/030_session_context.sql:116-118)</w:t>
            </w:r>
          </w:p>
        </w:tc>
        <w:tc>
          <w:tcPr>
            <w:tcW w:type="dxa" w:w="13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الأصل في ملف تعريف الارتباط (DOC-S03)</w:t>
            </w:r>
          </w:p>
        </w:tc>
        <w:tc>
          <w:tcPr>
            <w:tcW w:type="dxa" w:w="211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يُسجَّل</w:t>
            </w:r>
          </w:p>
        </w:tc>
        <w:tc>
          <w:tcPr>
            <w:tcW w:type="dxa" w:w="154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الإنهاء يحذف الربط (db/static/030_session_context.sql:269-283)؛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‎tp_app‎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يحذف الصف (db/generated/tsql/005_delete_grants.sql:12)</w:t>
            </w:r>
          </w:p>
        </w:tc>
      </w:tr>
      <w:tr>
        <w:trPr>
          <w:cantSplit/>
        </w:trPr>
        <w:tc>
          <w:tcPr>
            <w:tcW w:type="dxa" w:w="9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V-04 سر TOTP</w:t>
            </w:r>
          </w:p>
        </w:tc>
        <w:tc>
          <w:tcPr>
            <w:tcW w:type="dxa" w:w="186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التطبيق عند التسجيل</w:t>
            </w:r>
          </w:p>
        </w:tc>
        <w:tc>
          <w:tcPr>
            <w:tcW w:type="dxa" w:w="207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‎sec.AppUser.MfaSecretEnc‎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بمفتاح DATA للمشترك (db/model/10-platform.model:127-129)؛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‎plat.PlatformOperator.MfaSecretEnc‎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بمفتاح المنصة (:72-73)</w:t>
            </w:r>
          </w:p>
        </w:tc>
        <w:tc>
          <w:tcPr>
            <w:tcW w:type="dxa" w:w="13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يُعرض مرة للمستخدم (DF-04)</w:t>
            </w:r>
          </w:p>
        </w:tc>
        <w:tc>
          <w:tcPr>
            <w:tcW w:type="dxa" w:w="211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يُسجَّل</w:t>
            </w:r>
          </w:p>
        </w:tc>
        <w:tc>
          <w:tcPr>
            <w:tcW w:type="dxa" w:w="154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إعادة تعيين MFA تصفّره (BR-PLT-006)</w:t>
            </w:r>
          </w:p>
        </w:tc>
      </w:tr>
      <w:tr>
        <w:trPr>
          <w:cantSplit/>
        </w:trPr>
        <w:tc>
          <w:tcPr>
            <w:tcW w:type="dxa" w:w="9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V-05 رموز الاسترداد</w:t>
            </w:r>
          </w:p>
        </w:tc>
        <w:tc>
          <w:tcPr>
            <w:tcW w:type="dxa" w:w="186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التطبيق، 10 رموز (FR-PLT-011)</w:t>
            </w:r>
          </w:p>
        </w:tc>
        <w:tc>
          <w:tcPr>
            <w:tcW w:type="dxa" w:w="207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‎sec.MfaRecoveryCode.CodeHash‎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(db/model/10-platform.model:238)</w:t>
            </w:r>
          </w:p>
        </w:tc>
        <w:tc>
          <w:tcPr>
            <w:tcW w:type="dxa" w:w="13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تُعرض مرة للمستخدم</w:t>
            </w:r>
          </w:p>
        </w:tc>
        <w:tc>
          <w:tcPr>
            <w:tcW w:type="dxa" w:w="211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الاستهلاك يُسجَّل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‎UsedAt‎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و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‎UsedIp‎</w:t>
            </w:r>
          </w:p>
        </w:tc>
        <w:tc>
          <w:tcPr>
            <w:tcW w:type="dxa" w:w="154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‎tp_app‎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يحذف (db/generated/tsql/005_delete_grants.sql:13)</w:t>
            </w:r>
          </w:p>
        </w:tc>
      </w:tr>
      <w:tr>
        <w:trPr>
          <w:cantSplit/>
        </w:trPr>
        <w:tc>
          <w:tcPr>
            <w:tcW w:type="dxa" w:w="9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V-06 رمز الدعوة أو إعادة التعيين</w:t>
            </w:r>
          </w:p>
        </w:tc>
        <w:tc>
          <w:tcPr>
            <w:tcW w:type="dxa" w:w="186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التطبيق</w:t>
            </w:r>
          </w:p>
        </w:tc>
        <w:tc>
          <w:tcPr>
            <w:tcW w:type="dxa" w:w="207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‎sec.UserToken.TokenHash‎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(db/model/10-platform.model:247)</w:t>
            </w:r>
          </w:p>
        </w:tc>
        <w:tc>
          <w:tcPr>
            <w:tcW w:type="dxa" w:w="13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الأصل في رابط البريد (SD-09، TB-10)</w:t>
            </w:r>
          </w:p>
        </w:tc>
        <w:tc>
          <w:tcPr>
            <w:tcW w:type="dxa" w:w="211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‎SentTo‎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و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‎RequestIp‎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و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‎SendError‎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(:251-255)</w:t>
            </w:r>
          </w:p>
        </w:tc>
        <w:tc>
          <w:tcPr>
            <w:tcW w:type="dxa" w:w="154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48 ساعة أو 30 دقيقة (FR-PLT-013)؛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‎tp_app‎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يحذف (db/generated/tsql/005_delete_grants.sql:14)</w:t>
            </w:r>
          </w:p>
        </w:tc>
      </w:tr>
      <w:tr>
        <w:trPr>
          <w:cantSplit/>
        </w:trPr>
        <w:tc>
          <w:tcPr>
            <w:tcW w:type="dxa" w:w="9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V-07 مفاتيح المشترك</w:t>
            </w:r>
          </w:p>
        </w:tc>
        <w:tc>
          <w:tcPr>
            <w:tcW w:type="dxa" w:w="186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خدمة المفاتيح (FR-PLT-037)</w:t>
            </w:r>
          </w:p>
        </w:tc>
        <w:tc>
          <w:tcPr>
            <w:tcW w:type="dxa" w:w="207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‎sec.TenantKey.WrappedKey‎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ملفوف بمفتاح رئيسي خارجي (db/model/10-platform.model:276-289)</w:t>
            </w:r>
          </w:p>
        </w:tc>
        <w:tc>
          <w:tcPr>
            <w:tcW w:type="dxa" w:w="13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المفتاح المفكوك في ذاكرة التطبيق</w:t>
            </w:r>
          </w:p>
        </w:tc>
        <w:tc>
          <w:tcPr>
            <w:tcW w:type="dxa" w:w="211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‎sec.KeyEvent‎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(:291-301)</w:t>
            </w:r>
          </w:p>
        </w:tc>
        <w:tc>
          <w:tcPr>
            <w:tcW w:type="dxa" w:w="154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‎RETIRED‎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أو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‎REVOKED‎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؛ لا حذف</w:t>
            </w:r>
          </w:p>
        </w:tc>
      </w:tr>
      <w:tr>
        <w:trPr>
          <w:cantSplit/>
        </w:trPr>
        <w:tc>
          <w:tcPr>
            <w:tcW w:type="dxa" w:w="9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V-08 رقم الهوية</w:t>
            </w:r>
          </w:p>
        </w:tc>
        <w:tc>
          <w:tcPr>
            <w:tcW w:type="dxa" w:w="186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المستخدم (SD-12)</w:t>
            </w:r>
          </w:p>
        </w:tc>
        <w:tc>
          <w:tcPr>
            <w:tcW w:type="dxa" w:w="207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‎pty.IdentityDocument‎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: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‎NumberEnc‎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و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‎NumberMask‎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و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‎NumberHash‎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(db/model/11-organization-party.model:294-296)</w:t>
            </w:r>
          </w:p>
        </w:tc>
        <w:tc>
          <w:tcPr>
            <w:tcW w:type="dxa" w:w="13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الكشف (SD-16)، حزمة الكفيل، التصدير</w:t>
            </w:r>
          </w:p>
        </w:tc>
        <w:tc>
          <w:tcPr>
            <w:tcW w:type="dxa" w:w="211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التدقيق بالقناع فقط (FR-PLT-023)</w:t>
            </w:r>
          </w:p>
        </w:tc>
        <w:tc>
          <w:tcPr>
            <w:tcW w:type="dxa" w:w="154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حذف؛ إخفاء الهوية بعد الاحتفاظ (FR-PTY-029)</w:t>
            </w:r>
          </w:p>
        </w:tc>
      </w:tr>
      <w:tr>
        <w:trPr>
          <w:cantSplit/>
        </w:trPr>
        <w:tc>
          <w:tcPr>
            <w:tcW w:type="dxa" w:w="9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V-09 صور الهويات والمستندات المقيّدة</w:t>
            </w:r>
          </w:p>
        </w:tc>
        <w:tc>
          <w:tcPr>
            <w:tcW w:type="dxa" w:w="186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المستخدم (SD-14)</w:t>
            </w:r>
          </w:p>
        </w:tc>
        <w:tc>
          <w:tcPr>
            <w:tcW w:type="dxa" w:w="207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مخزن الملفات مشفّرًا بمفتاح FILE؛ المرجع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‎doc.DocumentVersion‎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(db/model/10-platform.model:386-408) والدور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‎IMAGE_FRONT‎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وأمثاله (:414)</w:t>
            </w:r>
          </w:p>
        </w:tc>
        <w:tc>
          <w:tcPr>
            <w:tcW w:type="dxa" w:w="13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العرض والتنزيل (FR-PLT-030)، الحزمة</w:t>
            </w:r>
          </w:p>
        </w:tc>
        <w:tc>
          <w:tcPr>
            <w:tcW w:type="dxa" w:w="211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‎aud.SensitiveAccessLog‎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(:332-355)</w:t>
            </w:r>
          </w:p>
        </w:tc>
        <w:tc>
          <w:tcPr>
            <w:tcW w:type="dxa" w:w="154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حذف منطقي؛ الإتلاف بالاحتفاظ (BR-PLT-011)</w:t>
            </w:r>
          </w:p>
        </w:tc>
      </w:tr>
      <w:tr>
        <w:trPr>
          <w:cantSplit/>
        </w:trPr>
        <w:tc>
          <w:tcPr>
            <w:tcW w:type="dxa" w:w="9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V-10 رقم الحساب وIBAN</w:t>
            </w:r>
          </w:p>
        </w:tc>
        <w:tc>
          <w:tcPr>
            <w:tcW w:type="dxa" w:w="186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المستخدم</w:t>
            </w:r>
          </w:p>
        </w:tc>
        <w:tc>
          <w:tcPr>
            <w:tcW w:type="dxa" w:w="207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‎acc.BankAccount‎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(db/model/12-institutions-accounts-catalogs.model:386-392)؛ IBAN المستفيد في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‎lc.LcTerms‎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(db/model/16-letters-of-credit.model:186-188)</w:t>
            </w:r>
          </w:p>
        </w:tc>
        <w:tc>
          <w:tcPr>
            <w:tcW w:type="dxa" w:w="13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نسخ صريحة في المقارنة والنص الأصلي (§8)</w:t>
            </w:r>
          </w:p>
        </w:tc>
        <w:tc>
          <w:tcPr>
            <w:tcW w:type="dxa" w:w="211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القناع فقط</w:t>
            </w:r>
          </w:p>
        </w:tc>
        <w:tc>
          <w:tcPr>
            <w:tcW w:type="dxa" w:w="154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حذف للحساب</w:t>
            </w:r>
          </w:p>
        </w:tc>
      </w:tr>
      <w:tr>
        <w:trPr>
          <w:cantSplit/>
        </w:trPr>
        <w:tc>
          <w:tcPr>
            <w:tcW w:type="dxa" w:w="9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V-11 بيانات الامتثال</w:t>
            </w:r>
          </w:p>
        </w:tc>
        <w:tc>
          <w:tcPr>
            <w:tcW w:type="dxa" w:w="186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المستخدم</w:t>
            </w:r>
          </w:p>
        </w:tc>
        <w:tc>
          <w:tcPr>
            <w:tcW w:type="dxa" w:w="207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‎pty.PartyCompliance‎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(db/model/11-organization-party.model:465)</w:t>
            </w:r>
          </w:p>
        </w:tc>
        <w:tc>
          <w:tcPr>
            <w:tcW w:type="dxa" w:w="13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الحزمة والتصدير</w:t>
            </w:r>
          </w:p>
        </w:tc>
        <w:tc>
          <w:tcPr>
            <w:tcW w:type="dxa" w:w="211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التدقيق</w:t>
            </w:r>
          </w:p>
        </w:tc>
        <w:tc>
          <w:tcPr>
            <w:tcW w:type="dxa" w:w="154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حذف؛ سجل مؤرخ</w:t>
            </w:r>
          </w:p>
        </w:tc>
      </w:tr>
      <w:tr>
        <w:trPr>
          <w:cantSplit/>
        </w:trPr>
        <w:tc>
          <w:tcPr>
            <w:tcW w:type="dxa" w:w="9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V-12 الحقل المخصص المقيّد</w:t>
            </w:r>
          </w:p>
        </w:tc>
        <w:tc>
          <w:tcPr>
            <w:tcW w:type="dxa" w:w="186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المستخدم</w:t>
            </w:r>
          </w:p>
        </w:tc>
        <w:tc>
          <w:tcPr>
            <w:tcW w:type="dxa" w:w="207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‎pty.PartyCustomField.ValueEnc‎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و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‎ValueMask‎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(db/model/11-organization-party.model:397-400)</w:t>
            </w:r>
          </w:p>
        </w:tc>
        <w:tc>
          <w:tcPr>
            <w:tcW w:type="dxa" w:w="13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الكشف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‎CUSTOM_FIELD_REVEAL‎</w:t>
            </w:r>
          </w:p>
        </w:tc>
        <w:tc>
          <w:tcPr>
            <w:tcW w:type="dxa" w:w="211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‎aud.SensitiveAccessLog‎</w:t>
            </w:r>
          </w:p>
        </w:tc>
        <w:tc>
          <w:tcPr>
            <w:tcW w:type="dxa" w:w="154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مع الشخص</w:t>
            </w:r>
          </w:p>
        </w:tc>
      </w:tr>
      <w:tr>
        <w:trPr>
          <w:cantSplit/>
        </w:trPr>
        <w:tc>
          <w:tcPr>
            <w:tcW w:type="dxa" w:w="9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V-13 سمات الضمان</w:t>
            </w:r>
          </w:p>
        </w:tc>
        <w:tc>
          <w:tcPr>
            <w:tcW w:type="dxa" w:w="186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المستخدم من الاتفاقية</w:t>
            </w:r>
          </w:p>
        </w:tc>
        <w:tc>
          <w:tcPr>
            <w:tcW w:type="dxa" w:w="207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‎col.Collateral.Attributes‎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JSON موسوم مقيّدًا وغير مشفّر (db/model/14-collateral-obligations-financials.model:32)</w:t>
            </w:r>
          </w:p>
        </w:tc>
        <w:tc>
          <w:tcPr>
            <w:tcW w:type="dxa" w:w="13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شيء</w:t>
            </w:r>
          </w:p>
        </w:tc>
        <w:tc>
          <w:tcPr>
            <w:tcW w:type="dxa" w:w="211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التدقيق</w:t>
            </w:r>
          </w:p>
        </w:tc>
        <w:tc>
          <w:tcPr>
            <w:tcW w:type="dxa" w:w="154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حذف</w:t>
            </w:r>
          </w:p>
        </w:tc>
      </w:tr>
      <w:tr>
        <w:trPr>
          <w:cantSplit/>
        </w:trPr>
        <w:tc>
          <w:tcPr>
            <w:tcW w:type="dxa" w:w="9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V-14 بيانات شخصية سرّية</w:t>
            </w:r>
          </w:p>
        </w:tc>
        <w:tc>
          <w:tcPr>
            <w:tcW w:type="dxa" w:w="186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المستخدم</w:t>
            </w:r>
          </w:p>
        </w:tc>
        <w:tc>
          <w:tcPr>
            <w:tcW w:type="dxa" w:w="207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23 عمودًا موسومًا سرّيًا، مثل تاريخ الميلاد (db/model/11-organization-party.model:267-273) والرقم الضريبي (:470-471)</w:t>
            </w:r>
          </w:p>
        </w:tc>
        <w:tc>
          <w:tcPr>
            <w:tcW w:type="dxa" w:w="13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التصدير والحزمة</w:t>
            </w:r>
          </w:p>
        </w:tc>
        <w:tc>
          <w:tcPr>
            <w:tcW w:type="dxa" w:w="211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التدقيق</w:t>
            </w:r>
          </w:p>
        </w:tc>
        <w:tc>
          <w:tcPr>
            <w:tcW w:type="dxa" w:w="154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الاحتفاظ (FR-PLT-040)</w:t>
            </w:r>
          </w:p>
        </w:tc>
      </w:tr>
      <w:tr>
        <w:trPr>
          <w:cantSplit/>
        </w:trPr>
        <w:tc>
          <w:tcPr>
            <w:tcW w:type="dxa" w:w="9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V-15 أحداث التدقيق والوصول</w:t>
            </w:r>
          </w:p>
        </w:tc>
        <w:tc>
          <w:tcPr>
            <w:tcW w:type="dxa" w:w="186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التطبيق</w:t>
            </w:r>
          </w:p>
        </w:tc>
        <w:tc>
          <w:tcPr>
            <w:tcW w:type="dxa" w:w="207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‎aud.AuditLog‎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(db/model/10-platform.model:304-330)،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‎aud.SensitiveAccessLog‎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(:332-355)</w:t>
            </w:r>
          </w:p>
        </w:tc>
        <w:tc>
          <w:tcPr>
            <w:tcW w:type="dxa" w:w="13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عارض التدقيق وتصديره (FR-PLT-024)</w:t>
            </w:r>
          </w:p>
        </w:tc>
        <w:tc>
          <w:tcPr>
            <w:tcW w:type="dxa" w:w="211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هي السجل</w:t>
            </w:r>
          </w:p>
        </w:tc>
        <w:tc>
          <w:tcPr>
            <w:tcW w:type="dxa" w:w="154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حذف ولا تعديل (db/static/020_roles_and_grants.sql:65)</w:t>
            </w:r>
          </w:p>
        </w:tc>
      </w:tr>
      <w:tr>
        <w:trPr>
          <w:cantSplit/>
        </w:trPr>
        <w:tc>
          <w:tcPr>
            <w:tcW w:type="dxa" w:w="9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V-16 بيانات التتبع الشخصية</w:t>
            </w:r>
          </w:p>
        </w:tc>
        <w:tc>
          <w:tcPr>
            <w:tcW w:type="dxa" w:w="186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الطلب</w:t>
            </w:r>
          </w:p>
        </w:tc>
        <w:tc>
          <w:tcPr>
            <w:tcW w:type="dxa" w:w="207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عنوان IP ووكيل المستخدم في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‎sec.LoginAttempt‎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و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‎sec.UserSession‎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و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‎aud.AuditLog‎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؛ البريد المكتوب في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‎LoginName‎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(db/model/10-platform.model:201-204، :226-227، :318-319)</w:t>
            </w:r>
          </w:p>
        </w:tc>
        <w:tc>
          <w:tcPr>
            <w:tcW w:type="dxa" w:w="13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شيء</w:t>
            </w:r>
          </w:p>
        </w:tc>
        <w:tc>
          <w:tcPr>
            <w:tcW w:type="dxa" w:w="211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هي السجل</w:t>
            </w:r>
          </w:p>
        </w:tc>
        <w:tc>
          <w:tcPr>
            <w:tcW w:type="dxa" w:w="154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غير محدد (DQ-F02-6)</w:t>
            </w:r>
          </w:p>
        </w:tc>
      </w:tr>
      <w:tr>
        <w:trPr>
          <w:cantSplit/>
        </w:trPr>
        <w:tc>
          <w:tcPr>
            <w:tcW w:type="dxa" w:w="9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V-17 حزمة التصدير</w:t>
            </w:r>
          </w:p>
        </w:tc>
        <w:tc>
          <w:tcPr>
            <w:tcW w:type="dxa" w:w="186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مهمة التصدير (FR-PLT-039)</w:t>
            </w:r>
          </w:p>
        </w:tc>
        <w:tc>
          <w:tcPr>
            <w:tcW w:type="dxa" w:w="207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‎cfg.DataExportJob‎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ومستند الحزمة (db/model/10-platform.model:502-521)</w:t>
            </w:r>
          </w:p>
        </w:tc>
        <w:tc>
          <w:tcPr>
            <w:tcW w:type="dxa" w:w="13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تنزيل المستخدم (DF-08)</w:t>
            </w:r>
          </w:p>
        </w:tc>
        <w:tc>
          <w:tcPr>
            <w:tcW w:type="dxa" w:w="211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‎DATA_EXPORT‎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في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‎aud.SensitiveAccessLog‎</w:t>
            </w:r>
          </w:p>
        </w:tc>
        <w:tc>
          <w:tcPr>
            <w:tcW w:type="dxa" w:w="154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‎EXPIRED‎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بعد 7 أيام؛ حذف الملف غير محدد (DQ-F02-5)</w:t>
            </w:r>
          </w:p>
        </w:tc>
      </w:tr>
    </w:tbl>
    <w:p>
      <w:pPr>
        <w:bidi/>
        <w:spacing w:after="120" w:before="0"/>
      </w:pPr>
    </w:p>
    <w:p>
      <w:pPr>
        <w:pStyle w:val="Heading1"/>
        <w:bidi/>
      </w:pPr>
      <w:bookmarkStart w:name="_sec3" w:id="3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3. وسوم الحساسية في النموذج</w:t>
      </w:r>
      <w:bookmarkEnd w:id="3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المقيّد: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31 عمودًا (2026-10-18). لكل منها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‎DENY SELECT‎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لـ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‎tp_readonly‎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(db/generated/tsql/006_sensitive_columns.sql). الفحص R7 يطابق العددين (tools/dbgen/check_grants.py:92-96)، والاختبار T21 يثبت الرفض (db/tests/tenant_isolation_tests.sql:704-711).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السرّي: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42 عمودًا موسومًا في قاموس البيانات (2026-10-18، ومنها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‎OriginalText‎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لكل جدول بختم مصدر)، </w:t>
      </w: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بلا DENY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لأي دور.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‎tp_readonly‎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يقرؤها متى رأى الصف (DQ-F02-3).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التطبيق </w:t>
      </w:r>
      <w:r>
        <w:rPr>
          <w:rFonts w:ascii="Courier New" w:cs="Courier New" w:eastAsia="Courier New" w:hAnsi="Courier New"/>
          <w:b/>
          <w:bCs/>
          <w:color w:val="1F2937"/>
          <w:sz w:val="18"/>
          <w:szCs w:val="18"/>
          <w:shd w:fill="F1F3F5" w:color="auto" w:val="clear"/>
          <w:rtl/>
        </w:rPr>
        <w:t xml:space="preserve">‎tp_app‎</w:t>
      </w: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 يقرأ كل المقيّد في جداول المشترك عدا </w:t>
      </w:r>
      <w:r>
        <w:rPr>
          <w:rFonts w:ascii="Courier New" w:cs="Courier New" w:eastAsia="Courier New" w:hAnsi="Courier New"/>
          <w:b/>
          <w:bCs/>
          <w:color w:val="1F2937"/>
          <w:sz w:val="18"/>
          <w:szCs w:val="18"/>
          <w:shd w:fill="F1F3F5" w:color="auto" w:val="clear"/>
          <w:rtl/>
        </w:rPr>
        <w:t xml:space="preserve">‎sec.AppUser.PasswordHash‎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(db/static/030_session_context.sql:237؛ الاختبار T35)، ولا يصل إلى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‎plat.PlatformOperator‎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لأنه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‎noapp‎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. القيم المقيّدة في الأعمدة نص مشفّر أو تجزئة، فالقراءة وحدها لا تكشفها دون مفتاح البيانات.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استثناء خطر: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‎tp_app‎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يقرأ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‎sec.UserPasswordHistory.PasswordHash‎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(db/generated/tsql/007_table_grants.sql:46) بلا DENY. إن كتب التطبيق التجزئة الحالية في السجل، أمكن اتصالًا مربوطًا قراءتها وتمريرها إلى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‎usp_StartSession‎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، فيسقط شرط «لا إعادة تشغيل للتجزئة» في docs/adr/0002-login-and-session-bound-context.md:24. المعالجة مع O-24 (erd_open_items) في DOC-S01.</w:t>
      </w:r>
    </w:p>
    <w:p>
      <w:pPr>
        <w:bidi/>
        <w:spacing w:after="60" w:before="0"/>
      </w:pPr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437"/>
        <w:gridCol w:w="5232"/>
        <w:gridCol w:w="1195"/>
      </w:tblGrid>
      <w:tr>
        <w:trPr>
          <w:cantSplit/>
          <w:tblHeader/>
        </w:trPr>
        <w:tc>
          <w:tcPr>
            <w:tcW w:type="dxa" w:w="343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الجدول</w:t>
            </w:r>
          </w:p>
        </w:tc>
        <w:tc>
          <w:tcPr>
            <w:tcW w:type="dxa" w:w="52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الأعمدة المقيّدة</w:t>
            </w:r>
          </w:p>
        </w:tc>
        <w:tc>
          <w:tcPr>
            <w:tcW w:type="dxa" w:w="119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الحماية</w:t>
            </w:r>
          </w:p>
        </w:tc>
      </w:tr>
      <w:tr>
        <w:trPr>
          <w:cantSplit/>
        </w:trPr>
        <w:tc>
          <w:tcPr>
            <w:tcW w:type="dxa" w:w="343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‎plat.PlatformOperator‎</w:t>
            </w:r>
          </w:p>
        </w:tc>
        <w:tc>
          <w:tcPr>
            <w:tcW w:type="dxa" w:w="52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‎PasswordHash‎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،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‎MfaSecretEnc‎</w:t>
            </w:r>
          </w:p>
        </w:tc>
        <w:tc>
          <w:tcPr>
            <w:tcW w:type="dxa" w:w="119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تجزئة؛ تشفير بمفتاح المنصة</w:t>
            </w:r>
          </w:p>
        </w:tc>
      </w:tr>
      <w:tr>
        <w:trPr>
          <w:cantSplit/>
        </w:trPr>
        <w:tc>
          <w:tcPr>
            <w:tcW w:type="dxa" w:w="343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‎sec.AppUser‎</w:t>
            </w:r>
          </w:p>
        </w:tc>
        <w:tc>
          <w:tcPr>
            <w:tcW w:type="dxa" w:w="52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‎PasswordHash‎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،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‎MfaSecretEnc‎</w:t>
            </w:r>
          </w:p>
        </w:tc>
        <w:tc>
          <w:tcPr>
            <w:tcW w:type="dxa" w:w="119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تجزئة؛ تشفير بمفتاح DATA</w:t>
            </w:r>
          </w:p>
        </w:tc>
      </w:tr>
      <w:tr>
        <w:trPr>
          <w:cantSplit/>
        </w:trPr>
        <w:tc>
          <w:tcPr>
            <w:tcW w:type="dxa" w:w="343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‎sec.UserSession‎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،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‎sec.UserToken‎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،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‎sec.MfaRecoveryCode‎</w:t>
            </w:r>
          </w:p>
        </w:tc>
        <w:tc>
          <w:tcPr>
            <w:tcW w:type="dxa" w:w="52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‎TokenHash‎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،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‎TokenHash‎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،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‎CodeHash‎</w:t>
            </w:r>
          </w:p>
        </w:tc>
        <w:tc>
          <w:tcPr>
            <w:tcW w:type="dxa" w:w="119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تجزئة</w:t>
            </w:r>
          </w:p>
        </w:tc>
      </w:tr>
      <w:tr>
        <w:trPr>
          <w:cantSplit/>
        </w:trPr>
        <w:tc>
          <w:tcPr>
            <w:tcW w:type="dxa" w:w="343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‎sec.UserPasswordHistory‎</w:t>
            </w:r>
          </w:p>
        </w:tc>
        <w:tc>
          <w:tcPr>
            <w:tcW w:type="dxa" w:w="52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‎PasswordHash‎</w:t>
            </w:r>
          </w:p>
        </w:tc>
        <w:tc>
          <w:tcPr>
            <w:tcW w:type="dxa" w:w="119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تجزئة</w:t>
            </w:r>
          </w:p>
        </w:tc>
      </w:tr>
      <w:tr>
        <w:trPr>
          <w:cantSplit/>
        </w:trPr>
        <w:tc>
          <w:tcPr>
            <w:tcW w:type="dxa" w:w="343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‎sec.TenantKey‎</w:t>
            </w:r>
          </w:p>
        </w:tc>
        <w:tc>
          <w:tcPr>
            <w:tcW w:type="dxa" w:w="52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‎WrappedKey‎</w:t>
            </w:r>
          </w:p>
        </w:tc>
        <w:tc>
          <w:tcPr>
            <w:tcW w:type="dxa" w:w="119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لف بمفتاح رئيسي خارجي</w:t>
            </w:r>
          </w:p>
        </w:tc>
      </w:tr>
      <w:tr>
        <w:trPr>
          <w:cantSplit/>
        </w:trPr>
        <w:tc>
          <w:tcPr>
            <w:tcW w:type="dxa" w:w="343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‎pty.IdentityDocument‎</w:t>
            </w:r>
          </w:p>
        </w:tc>
        <w:tc>
          <w:tcPr>
            <w:tcW w:type="dxa" w:w="52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‎NumberEnc‎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،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‎NumberMask‎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،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‎NumberHash‎</w:t>
            </w:r>
          </w:p>
        </w:tc>
        <w:tc>
          <w:tcPr>
            <w:tcW w:type="dxa" w:w="119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تشفير وقناع وHMAC</w:t>
            </w:r>
          </w:p>
        </w:tc>
      </w:tr>
      <w:tr>
        <w:trPr>
          <w:cantSplit/>
        </w:trPr>
        <w:tc>
          <w:tcPr>
            <w:tcW w:type="dxa" w:w="343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‎pty.PartyCustomField‎</w:t>
            </w:r>
          </w:p>
        </w:tc>
        <w:tc>
          <w:tcPr>
            <w:tcW w:type="dxa" w:w="52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‎ValueEnc‎</w:t>
            </w:r>
          </w:p>
        </w:tc>
        <w:tc>
          <w:tcPr>
            <w:tcW w:type="dxa" w:w="119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تشفير</w:t>
            </w:r>
          </w:p>
        </w:tc>
      </w:tr>
      <w:tr>
        <w:trPr>
          <w:cantSplit/>
        </w:trPr>
        <w:tc>
          <w:tcPr>
            <w:tcW w:type="dxa" w:w="343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‎pty.PartyCompliance‎</w:t>
            </w:r>
          </w:p>
        </w:tc>
        <w:tc>
          <w:tcPr>
            <w:tcW w:type="dxa" w:w="52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‎IsPep‎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،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‎IsRelatedToPep‎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،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‎IsSanctioned‎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،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‎IsUnderInvestigation‎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،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‎HasImmunity‎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،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‎Details‎</w:t>
            </w:r>
          </w:p>
        </w:tc>
        <w:tc>
          <w:tcPr>
            <w:tcW w:type="dxa" w:w="119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حجب عن التقارير فقط</w:t>
            </w:r>
          </w:p>
        </w:tc>
      </w:tr>
      <w:tr>
        <w:trPr>
          <w:cantSplit/>
        </w:trPr>
        <w:tc>
          <w:tcPr>
            <w:tcW w:type="dxa" w:w="343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‎acc.BankAccount‎</w:t>
            </w:r>
          </w:p>
        </w:tc>
        <w:tc>
          <w:tcPr>
            <w:tcW w:type="dxa" w:w="52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‎AccountNoEnc/Mask/Hash‎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،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‎IbanEnc/Mask/Hash‎</w:t>
            </w:r>
          </w:p>
        </w:tc>
        <w:tc>
          <w:tcPr>
            <w:tcW w:type="dxa" w:w="119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تشفير وقناع وHMAC</w:t>
            </w:r>
          </w:p>
        </w:tc>
      </w:tr>
      <w:tr>
        <w:trPr>
          <w:cantSplit/>
        </w:trPr>
        <w:tc>
          <w:tcPr>
            <w:tcW w:type="dxa" w:w="343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‎col.Collateral‎</w:t>
            </w:r>
          </w:p>
        </w:tc>
        <w:tc>
          <w:tcPr>
            <w:tcW w:type="dxa" w:w="52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‎Attributes‎</w:t>
            </w:r>
          </w:p>
        </w:tc>
        <w:tc>
          <w:tcPr>
            <w:tcW w:type="dxa" w:w="119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حجب عن التقارير فقط (DR-08)</w:t>
            </w:r>
          </w:p>
        </w:tc>
      </w:tr>
      <w:tr>
        <w:trPr>
          <w:cantSplit/>
        </w:trPr>
        <w:tc>
          <w:tcPr>
            <w:tcW w:type="dxa" w:w="343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‎lc.LcTerms‎</w:t>
            </w:r>
          </w:p>
        </w:tc>
        <w:tc>
          <w:tcPr>
            <w:tcW w:type="dxa" w:w="52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‎BeneficiaryAccountIbanEnc/Mask/Hash‎</w:t>
            </w:r>
          </w:p>
        </w:tc>
        <w:tc>
          <w:tcPr>
            <w:tcW w:type="dxa" w:w="119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تشفير وقناع وHMAC</w:t>
            </w:r>
          </w:p>
        </w:tc>
      </w:tr>
    </w:tbl>
    <w:p>
      <w:pPr>
        <w:bidi/>
        <w:spacing w:after="12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شكل الغلاف المشفّر وAAD والتدوير في docs/20-database-design.md:188-209 </w:t>
      </w:r>
      <w:r>
        <w:rPr>
          <w:rFonts w:ascii="Arial" w:cs="Arial" w:eastAsia="Arial" w:hAnsi="Arial"/>
          <w:color w:val="2E9E44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، ويملكه DOC-S02.</w:t>
      </w:r>
    </w:p>
    <w:p>
      <w:pPr>
        <w:pStyle w:val="Heading1"/>
        <w:bidi/>
      </w:pPr>
      <w:bookmarkStart w:name="_sec4" w:id="4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4. DFD-1: بيانات الدخول (V-01 إلى V-06)</w:t>
      </w:r>
      <w:bookmarkEnd w:id="4"/>
    </w:p>
    <w:p>
      <w:pPr>
        <w:keepNext/>
        <w:bidi/>
        <w:spacing w:after="60" w:before="160"/>
        <w:jc w:val="center"/>
      </w:pPr>
      <w:r>
        <w:drawing>
          <wp:inline distT="0" distB="0" distL="0" distR="0">
            <wp:extent cx="6096000" cy="3362325"/>
            <wp:effectExtent t="0" r="0" b="0" l="0"/>
            <wp:docPr id="1" name="diagram-1.png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33623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"/>
        <w:gridCol w:w="936"/>
        <w:gridCol w:w="3579"/>
        <w:gridCol w:w="4413"/>
      </w:tblGrid>
      <w:tr>
        <w:trPr>
          <w:cantSplit/>
          <w:tblHeader/>
        </w:trPr>
        <w:tc>
          <w:tcPr>
            <w:tcW w:type="dxa" w:w="93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التدفق</w:t>
            </w:r>
          </w:p>
        </w:tc>
        <w:tc>
          <w:tcPr>
            <w:tcW w:type="dxa" w:w="93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ما يعبر</w:t>
            </w:r>
          </w:p>
        </w:tc>
        <w:tc>
          <w:tcPr>
            <w:tcW w:type="dxa" w:w="35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الحماية</w:t>
            </w:r>
          </w:p>
        </w:tc>
        <w:tc>
          <w:tcPr>
            <w:tcW w:type="dxa" w:w="441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الملاحظة</w:t>
            </w:r>
          </w:p>
        </w:tc>
      </w:tr>
      <w:tr>
        <w:trPr>
          <w:cantSplit/>
        </w:trPr>
        <w:tc>
          <w:tcPr>
            <w:tcW w:type="dxa" w:w="93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SD-01</w:t>
            </w:r>
          </w:p>
        </w:tc>
        <w:tc>
          <w:tcPr>
            <w:tcW w:type="dxa" w:w="93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كلمة المرور نصًا عبر TB-1</w:t>
            </w:r>
          </w:p>
        </w:tc>
        <w:tc>
          <w:tcPr>
            <w:tcW w:type="dxa" w:w="35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TLS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(DOC-S05)</w:t>
            </w:r>
          </w:p>
        </w:tc>
        <w:tc>
          <w:tcPr>
            <w:tcW w:type="dxa" w:w="441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تصل إلى القاعدة أبدًا</w:t>
            </w:r>
          </w:p>
        </w:tc>
      </w:tr>
      <w:tr>
        <w:trPr>
          <w:cantSplit/>
        </w:trPr>
        <w:tc>
          <w:tcPr>
            <w:tcW w:type="dxa" w:w="93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SD-02، SD-03</w:t>
            </w:r>
          </w:p>
        </w:tc>
        <w:tc>
          <w:tcPr>
            <w:tcW w:type="dxa" w:w="93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البريد، ثم سلسلة PHC ورمز الجلسة</w:t>
            </w:r>
          </w:p>
        </w:tc>
        <w:tc>
          <w:tcPr>
            <w:tcW w:type="dxa" w:w="35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تنفيذ بصفة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‎tp_auth_exec‎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(db/static/030_session_context.sql:27، :48)؛ مقارنة ثنائية (:85-86)</w:t>
            </w:r>
          </w:p>
        </w:tc>
        <w:tc>
          <w:tcPr>
            <w:tcW w:type="dxa" w:w="441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البريد غير الموجود يعيد NULL (:31-36)، والتطبيق يجيب كما للكلمة الخاطئة </w:t>
            </w: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(docs/adr/0002-login-and-session-bound-context.md:33)</w:t>
            </w:r>
          </w:p>
        </w:tc>
      </w:tr>
      <w:tr>
        <w:trPr>
          <w:cantSplit/>
        </w:trPr>
        <w:tc>
          <w:tcPr>
            <w:tcW w:type="dxa" w:w="93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SD-03</w:t>
            </w:r>
          </w:p>
        </w:tc>
        <w:tc>
          <w:tcPr>
            <w:tcW w:type="dxa" w:w="93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تسجيل المحاولة</w:t>
            </w:r>
          </w:p>
        </w:tc>
        <w:tc>
          <w:tcPr>
            <w:tcW w:type="dxa" w:w="35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‎sec.LoginAttempt‎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مع البريد المكتوب لمجهول (db/static/030_session_context.sql:124-129)</w:t>
            </w:r>
          </w:p>
        </w:tc>
        <w:tc>
          <w:tcPr>
            <w:tcW w:type="dxa" w:w="441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البريد يُخزَّن في المشترك الذي كُتب عنده، وقد يكون بريد مستخدم مشترك آخر (DQ-F02-6)</w:t>
            </w:r>
          </w:p>
        </w:tc>
      </w:tr>
      <w:tr>
        <w:trPr>
          <w:cantSplit/>
        </w:trPr>
        <w:tc>
          <w:tcPr>
            <w:tcW w:type="dxa" w:w="93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SD-04</w:t>
            </w:r>
          </w:p>
        </w:tc>
        <w:tc>
          <w:tcPr>
            <w:tcW w:type="dxa" w:w="93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رمز الجلسة الأصلي</w:t>
            </w:r>
          </w:p>
        </w:tc>
        <w:tc>
          <w:tcPr>
            <w:tcW w:type="dxa" w:w="35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يُخزَّن إلا SHA-256 (db/static/030_session_context.sql:117)</w:t>
            </w:r>
          </w:p>
        </w:tc>
        <w:tc>
          <w:tcPr>
            <w:tcW w:type="dxa" w:w="441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شكل ملف تعريف الارتباط في DOC-S03</w:t>
            </w:r>
          </w:p>
        </w:tc>
      </w:tr>
      <w:tr>
        <w:trPr>
          <w:cantSplit/>
        </w:trPr>
        <w:tc>
          <w:tcPr>
            <w:tcW w:type="dxa" w:w="93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SD-05، SD-06</w:t>
            </w:r>
          </w:p>
        </w:tc>
        <w:tc>
          <w:tcPr>
            <w:tcW w:type="dxa" w:w="93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رمز TOTP، ثم النتيجة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‎@Passed‎</w:t>
            </w:r>
          </w:p>
        </w:tc>
        <w:tc>
          <w:tcPr>
            <w:tcW w:type="dxa" w:w="35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القاعدة تسجل النتيجة فقط (db/static/030_session_context.sql:159-162)</w:t>
            </w:r>
          </w:p>
        </w:tc>
        <w:tc>
          <w:tcPr>
            <w:tcW w:type="dxa" w:w="441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التحقق في التطبيق لأن السر مشفّر بمفاتيحه (:11-12). الاتصال غير مربوط قبل MFA (:198)، فلا يرى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‎MfaSecretEnc‎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ولا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‎sec.MfaRecoveryCode‎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تحت RLS (db/static/010_rls.sql:52-57). لا مسار قراءة اليوم (DQ-F02-4)</w:t>
            </w:r>
          </w:p>
        </w:tc>
      </w:tr>
      <w:tr>
        <w:trPr>
          <w:cantSplit/>
        </w:trPr>
        <w:tc>
          <w:tcPr>
            <w:tcW w:type="dxa" w:w="93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SD-07</w:t>
            </w:r>
          </w:p>
        </w:tc>
        <w:tc>
          <w:tcPr>
            <w:tcW w:type="dxa" w:w="93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رمز الجلسة في كل ربط</w:t>
            </w:r>
          </w:p>
        </w:tc>
        <w:tc>
          <w:tcPr>
            <w:tcW w:type="dxa" w:w="35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يُجزَّأ ويُقارن (db/static/030_session_context.sql:195)</w:t>
            </w:r>
          </w:p>
        </w:tc>
        <w:tc>
          <w:tcPr>
            <w:tcW w:type="dxa" w:w="441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يُخزَّن الرمز في سياق الاتصال؛ يُخزَّن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‎BindingToken‎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عشوائي جديد (:177، :218)</w:t>
            </w:r>
          </w:p>
        </w:tc>
      </w:tr>
      <w:tr>
        <w:trPr>
          <w:cantSplit/>
        </w:trPr>
        <w:tc>
          <w:tcPr>
            <w:tcW w:type="dxa" w:w="93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SD-08، SD-09</w:t>
            </w:r>
          </w:p>
        </w:tc>
        <w:tc>
          <w:tcPr>
            <w:tcW w:type="dxa" w:w="93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رمز الدعوة أو الإعادة</w:t>
            </w:r>
          </w:p>
        </w:tc>
        <w:tc>
          <w:tcPr>
            <w:tcW w:type="dxa" w:w="35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التجزئة في القاعدة والأصل في البريد فقط</w:t>
            </w:r>
          </w:p>
        </w:tc>
        <w:tc>
          <w:tcPr>
            <w:tcW w:type="dxa" w:w="441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الرابط لا يحمل بيانات مقيّدة </w:t>
            </w: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(FR-PLT-013)</w:t>
            </w:r>
          </w:p>
        </w:tc>
      </w:tr>
      <w:tr>
        <w:trPr>
          <w:cantSplit/>
        </w:trPr>
        <w:tc>
          <w:tcPr>
            <w:tcW w:type="dxa" w:w="93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SD-10</w:t>
            </w:r>
          </w:p>
        </w:tc>
        <w:tc>
          <w:tcPr>
            <w:tcW w:type="dxa" w:w="93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تجزئة كلمة جديدة</w:t>
            </w:r>
          </w:p>
        </w:tc>
        <w:tc>
          <w:tcPr>
            <w:tcW w:type="dxa" w:w="35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CHECK لصيغة Argon2id (db/model/10-platform.model:154، :264)</w:t>
            </w:r>
          </w:p>
        </w:tc>
        <w:tc>
          <w:tcPr>
            <w:tcW w:type="dxa" w:w="441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‎tp_app‎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يكتب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‎PasswordHash‎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مباشرة (db/generated/tsql/007_table_grants.sql:24) ويقرأ سجل التجزئات (:46)؛ الخطر في O-24 (erd_open_items) وDOC-S01</w:t>
            </w:r>
          </w:p>
        </w:tc>
      </w:tr>
      <w:tr>
        <w:trPr>
          <w:cantSplit/>
        </w:trPr>
        <w:tc>
          <w:tcPr>
            <w:tcW w:type="dxa" w:w="93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SD-11</w:t>
            </w:r>
          </w:p>
        </w:tc>
        <w:tc>
          <w:tcPr>
            <w:tcW w:type="dxa" w:w="93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تجزئة رموز الاسترداد</w:t>
            </w:r>
          </w:p>
        </w:tc>
        <w:tc>
          <w:tcPr>
            <w:tcW w:type="dxa" w:w="35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‎CodeHash‎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من نوع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‎bin(32)‎</w:t>
            </w:r>
          </w:p>
        </w:tc>
        <w:tc>
          <w:tcPr>
            <w:tcW w:type="dxa" w:w="441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المصادر لا تحدد الخوارزمية ولا الملح (DQ-F02-7)</w:t>
            </w:r>
          </w:p>
        </w:tc>
      </w:tr>
    </w:tbl>
    <w:p>
      <w:pPr>
        <w:bidi/>
        <w:spacing w:after="120" w:before="0"/>
      </w:pPr>
    </w:p>
    <w:p>
      <w:pPr>
        <w:pStyle w:val="Heading1"/>
        <w:bidi/>
      </w:pPr>
      <w:bookmarkStart w:name="_sec5" w:id="5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5. DFD-2: أرقام الهويات وصورها (V-08، V-09)</w:t>
      </w:r>
      <w:bookmarkEnd w:id="5"/>
    </w:p>
    <w:p>
      <w:pPr>
        <w:keepNext/>
        <w:bidi/>
        <w:spacing w:after="60" w:before="160"/>
        <w:jc w:val="center"/>
      </w:pPr>
      <w:r>
        <w:drawing>
          <wp:inline distT="0" distB="0" distL="0" distR="0">
            <wp:extent cx="6096000" cy="3886200"/>
            <wp:effectExtent t="0" r="0" b="0" l="0"/>
            <wp:docPr id="1" name="diagram-2.png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3886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5"/>
        <w:gridCol w:w="965"/>
        <w:gridCol w:w="4029"/>
        <w:gridCol w:w="3905"/>
      </w:tblGrid>
      <w:tr>
        <w:trPr>
          <w:cantSplit/>
          <w:tblHeader/>
        </w:trPr>
        <w:tc>
          <w:tcPr>
            <w:tcW w:type="dxa" w:w="96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التدفق</w:t>
            </w:r>
          </w:p>
        </w:tc>
        <w:tc>
          <w:tcPr>
            <w:tcW w:type="dxa" w:w="96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ما يعبر</w:t>
            </w:r>
          </w:p>
        </w:tc>
        <w:tc>
          <w:tcPr>
            <w:tcW w:type="dxa" w:w="402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الحماية</w:t>
            </w:r>
          </w:p>
        </w:tc>
        <w:tc>
          <w:tcPr>
            <w:tcW w:type="dxa" w:w="390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نقطة التقنيع</w:t>
            </w:r>
          </w:p>
        </w:tc>
      </w:tr>
      <w:tr>
        <w:trPr>
          <w:cantSplit/>
        </w:trPr>
        <w:tc>
          <w:tcPr>
            <w:tcW w:type="dxa" w:w="96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SD-12</w:t>
            </w:r>
          </w:p>
        </w:tc>
        <w:tc>
          <w:tcPr>
            <w:tcW w:type="dxa" w:w="96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الرقم نصًا عبر TB-1</w:t>
            </w:r>
          </w:p>
        </w:tc>
        <w:tc>
          <w:tcPr>
            <w:tcW w:type="dxa" w:w="402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TLS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390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يُخزَّن صريحًا </w:t>
            </w: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(docs/20-database-design.md:186)</w:t>
            </w:r>
          </w:p>
        </w:tc>
      </w:tr>
      <w:tr>
        <w:trPr>
          <w:cantSplit/>
        </w:trPr>
        <w:tc>
          <w:tcPr>
            <w:tcW w:type="dxa" w:w="96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SD-13</w:t>
            </w:r>
          </w:p>
        </w:tc>
        <w:tc>
          <w:tcPr>
            <w:tcW w:type="dxa" w:w="96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نص مشفّر وقناع وبصمة HMAC</w:t>
            </w:r>
          </w:p>
        </w:tc>
        <w:tc>
          <w:tcPr>
            <w:tcW w:type="dxa" w:w="402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AES-256-GCM بمفتاح DATA؛ HMAC بمفتاح BLIND_INDEX مستقل (BR-PLT-015، BR-PTY-002)؛ أدنى طول للغلاف 29 بايت (docs/20-database-design.md:198)</w:t>
            </w:r>
          </w:p>
        </w:tc>
        <w:tc>
          <w:tcPr>
            <w:tcW w:type="dxa" w:w="390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القناع يُحسب عند الكتابة (BR-PTY-008)، فالعرض لا يفك التشفير</w:t>
            </w:r>
          </w:p>
        </w:tc>
      </w:tr>
      <w:tr>
        <w:trPr>
          <w:cantSplit/>
        </w:trPr>
        <w:tc>
          <w:tcPr>
            <w:tcW w:type="dxa" w:w="96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SD-14، SD-15</w:t>
            </w:r>
          </w:p>
        </w:tc>
        <w:tc>
          <w:tcPr>
            <w:tcW w:type="dxa" w:w="96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ملف الصورة</w:t>
            </w:r>
          </w:p>
        </w:tc>
        <w:tc>
          <w:tcPr>
            <w:tcW w:type="dxa" w:w="402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تشفير بمفتاح FILE (db/model/10-platform.model:395)؛ بصمة الخادم (:393)؛ لا تنزيل قبل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‎CLEAN‎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(:396)</w:t>
            </w:r>
          </w:p>
        </w:tc>
        <w:tc>
          <w:tcPr>
            <w:tcW w:type="dxa" w:w="390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مصغّرات لغير المخوَّل (FR-PLT-030)</w:t>
            </w:r>
          </w:p>
        </w:tc>
      </w:tr>
      <w:tr>
        <w:trPr>
          <w:cantSplit/>
        </w:trPr>
        <w:tc>
          <w:tcPr>
            <w:tcW w:type="dxa" w:w="96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SD-16</w:t>
            </w:r>
          </w:p>
        </w:tc>
        <w:tc>
          <w:tcPr>
            <w:tcW w:type="dxa" w:w="96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الرقم المفكوك عبر TB-1</w:t>
            </w:r>
          </w:p>
        </w:tc>
        <w:tc>
          <w:tcPr>
            <w:tcW w:type="dxa" w:w="402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صلاحية مقفلة على TM وFO (BR-PLT-019) ونطاق الشركة</w:t>
            </w:r>
          </w:p>
        </w:tc>
        <w:tc>
          <w:tcPr>
            <w:tcW w:type="dxa" w:w="390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يُخفى بعد 60 ثانية ولا يُخزَّن في المتصفح (BR-PTY-009)</w:t>
            </w:r>
          </w:p>
        </w:tc>
      </w:tr>
      <w:tr>
        <w:trPr>
          <w:cantSplit/>
        </w:trPr>
        <w:tc>
          <w:tcPr>
            <w:tcW w:type="dxa" w:w="96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SD-17</w:t>
            </w:r>
          </w:p>
        </w:tc>
        <w:tc>
          <w:tcPr>
            <w:tcW w:type="dxa" w:w="96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حدث الكشف</w:t>
            </w:r>
          </w:p>
        </w:tc>
        <w:tc>
          <w:tcPr>
            <w:tcW w:type="dxa" w:w="402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‎IDENTITY_REVEAL‎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في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‎aud.AuditLog‎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وصف في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‎aud.SensitiveAccessLog‎</w:t>
            </w:r>
          </w:p>
        </w:tc>
        <w:tc>
          <w:tcPr>
            <w:tcW w:type="dxa" w:w="390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القيم في التدقيق مقنَّعة </w:t>
            </w: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(FR-PLT-023، db/model/10-platform.model:315)</w:t>
            </w:r>
          </w:p>
        </w:tc>
      </w:tr>
      <w:tr>
        <w:trPr>
          <w:cantSplit/>
        </w:trPr>
        <w:tc>
          <w:tcPr>
            <w:tcW w:type="dxa" w:w="96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SD-18</w:t>
            </w:r>
          </w:p>
        </w:tc>
        <w:tc>
          <w:tcPr>
            <w:tcW w:type="dxa" w:w="96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حزمة التصدير</w:t>
            </w:r>
          </w:p>
        </w:tc>
        <w:tc>
          <w:tcPr>
            <w:tcW w:type="dxa" w:w="402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مختومة بكلمة لا تُخزَّن (db/model/10-platform.model:514)؛ موافقة إلزامية للمقيّد (:519)</w:t>
            </w:r>
          </w:p>
        </w:tc>
        <w:tc>
          <w:tcPr>
            <w:tcW w:type="dxa" w:w="390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بلا صلاحية الكشف: بلا أرقام كاملة ولا صور (BR-PLT-016)</w:t>
            </w:r>
          </w:p>
        </w:tc>
      </w:tr>
    </w:tbl>
    <w:p>
      <w:pPr>
        <w:bidi/>
        <w:spacing w:after="12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ثغرات هذا المسار: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الموافِق على تصدير مقيّد قد يكون الطالب نفسه، ومستند الحزمة يأخذ الافتراضي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‎CONFIDENTIAL‎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لا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‎RESTRICTED‎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(DR-13؛ db/model/10-platform.model:370).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‎StorageKey‎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فريد داخل المشترك فقط، ومحتوى الإصدار قابل للتعديل من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‎tp_app‎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(DR-11؛ db/generated/tsql/007_table_grants.sql:61).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حساسية المستند نسخة لا تُفرض من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‎cat.DocumentType.IsSensitive‎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(DR-18).</w:t>
      </w:r>
    </w:p>
    <w:p>
      <w:pPr>
        <w:bidi/>
        <w:spacing w:after="60" w:before="0"/>
      </w:pPr>
    </w:p>
    <w:p>
      <w:pPr>
        <w:pStyle w:val="Heading1"/>
        <w:bidi/>
      </w:pPr>
      <w:bookmarkStart w:name="_sec6" w:id="6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6. DFD-3: أرقام الحسابات وIBAN ونسخها (V-10، V-13)</w:t>
      </w:r>
      <w:bookmarkEnd w:id="6"/>
    </w:p>
    <w:p>
      <w:pPr>
        <w:keepNext/>
        <w:bidi/>
        <w:spacing w:after="60" w:before="160"/>
        <w:jc w:val="center"/>
      </w:pPr>
      <w:r>
        <w:drawing>
          <wp:inline distT="0" distB="0" distL="0" distR="0">
            <wp:extent cx="6096000" cy="2562225"/>
            <wp:effectExtent t="0" r="0" b="0" l="0"/>
            <wp:docPr id="1" name="diagram-3.png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25622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الإطار المتقطع يعني نسخة غير محمية اليوم.</w:t>
      </w:r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1"/>
        <w:gridCol w:w="1544"/>
        <w:gridCol w:w="6398"/>
        <w:gridCol w:w="961"/>
      </w:tblGrid>
      <w:tr>
        <w:trPr>
          <w:cantSplit/>
          <w:tblHeader/>
        </w:trPr>
        <w:tc>
          <w:tcPr>
            <w:tcW w:type="dxa" w:w="9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التدفق</w:t>
            </w:r>
          </w:p>
        </w:tc>
        <w:tc>
          <w:tcPr>
            <w:tcW w:type="dxa" w:w="15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ما يعبر</w:t>
            </w:r>
          </w:p>
        </w:tc>
        <w:tc>
          <w:tcPr>
            <w:tcW w:type="dxa" w:w="639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الحماية اليوم</w:t>
            </w:r>
          </w:p>
        </w:tc>
        <w:tc>
          <w:tcPr>
            <w:tcW w:type="dxa" w:w="9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الحالة</w:t>
            </w:r>
          </w:p>
        </w:tc>
      </w:tr>
      <w:tr>
        <w:trPr>
          <w:cantSplit/>
        </w:trPr>
        <w:tc>
          <w:tcPr>
            <w:tcW w:type="dxa" w:w="9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SD-20</w:t>
            </w:r>
          </w:p>
        </w:tc>
        <w:tc>
          <w:tcPr>
            <w:tcW w:type="dxa" w:w="15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رقم الحساب وIBAN</w:t>
            </w:r>
          </w:p>
        </w:tc>
        <w:tc>
          <w:tcPr>
            <w:tcW w:type="dxa" w:w="639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تشفير وقناع وHMAC (db/model/12-institutions-accounts-catalogs.model:386-392؛ db/model/16-letters-of-credit.model:186-188)</w:t>
            </w:r>
          </w:p>
        </w:tc>
        <w:tc>
          <w:tcPr>
            <w:tcW w:type="dxa" w:w="9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محمي</w:t>
            </w:r>
          </w:p>
        </w:tc>
      </w:tr>
      <w:tr>
        <w:trPr>
          <w:cantSplit/>
        </w:trPr>
        <w:tc>
          <w:tcPr>
            <w:tcW w:type="dxa" w:w="9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SD-21</w:t>
            </w:r>
          </w:p>
        </w:tc>
        <w:tc>
          <w:tcPr>
            <w:tcW w:type="dxa" w:w="15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‎BaselineValue‎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و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‎ReceivedValue‎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لكل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‎FieldKey‎</w:t>
            </w:r>
          </w:p>
        </w:tc>
        <w:tc>
          <w:tcPr>
            <w:tcW w:type="dxa" w:w="639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وسم ولا تشفير (db/model/16-letters-of-credit.model:691-692؛ db/generated/tsql/001_tables.sql:6359-6360)؛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‎tp_app‎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يكتبها (db/generated/tsql/007_table_grants.sql:405)</w:t>
            </w:r>
          </w:p>
        </w:tc>
        <w:tc>
          <w:tcPr>
            <w:tcW w:type="dxa" w:w="9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فجوة DR-46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: IBAN المستفيد قد يُنسخ نصًا</w:t>
            </w:r>
          </w:p>
        </w:tc>
      </w:tr>
      <w:tr>
        <w:trPr>
          <w:cantSplit/>
        </w:trPr>
        <w:tc>
          <w:tcPr>
            <w:tcW w:type="dxa" w:w="9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SD-22</w:t>
            </w:r>
          </w:p>
        </w:tc>
        <w:tc>
          <w:tcPr>
            <w:tcW w:type="dxa" w:w="15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الفروق بمفاتيح الحقول</w:t>
            </w:r>
          </w:p>
        </w:tc>
        <w:tc>
          <w:tcPr>
            <w:tcW w:type="dxa" w:w="639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وسم (db/model/16-letters-of-credit.model:493)</w:t>
            </w:r>
          </w:p>
        </w:tc>
        <w:tc>
          <w:tcPr>
            <w:tcW w:type="dxa" w:w="9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فجوة DR-46</w:t>
            </w:r>
          </w:p>
        </w:tc>
      </w:tr>
      <w:tr>
        <w:trPr>
          <w:cantSplit/>
        </w:trPr>
        <w:tc>
          <w:tcPr>
            <w:tcW w:type="dxa" w:w="9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SD-23</w:t>
            </w:r>
          </w:p>
        </w:tc>
        <w:tc>
          <w:tcPr>
            <w:tcW w:type="dxa" w:w="15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النموذج بمفاتيح الحقول</w:t>
            </w:r>
          </w:p>
        </w:tc>
        <w:tc>
          <w:tcPr>
            <w:tcW w:type="dxa" w:w="639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العمود سرّي (db/model/15-workflow-notifications.model:283)، والمقيّد مشفّر داخله بقاعدة تطبيق (BR-REQ-003)</w:t>
            </w:r>
          </w:p>
        </w:tc>
        <w:tc>
          <w:tcPr>
            <w:tcW w:type="dxa" w:w="9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محمي بقاعدة تطبيق فقط</w:t>
            </w:r>
          </w:p>
        </w:tc>
      </w:tr>
      <w:tr>
        <w:trPr>
          <w:cantSplit/>
        </w:trPr>
        <w:tc>
          <w:tcPr>
            <w:tcW w:type="dxa" w:w="9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SD-24</w:t>
            </w:r>
          </w:p>
        </w:tc>
        <w:tc>
          <w:tcPr>
            <w:tcW w:type="dxa" w:w="15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لقطات النموذج</w:t>
            </w:r>
          </w:p>
        </w:tc>
        <w:tc>
          <w:tcPr>
            <w:tcW w:type="dxa" w:w="639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‎SnapshotJson‎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و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‎AvailabilitySnapshotJson‎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سرّيان (db/model/15-workflow-notifications.model:469، :438)</w:t>
            </w:r>
          </w:p>
        </w:tc>
        <w:tc>
          <w:tcPr>
            <w:tcW w:type="dxa" w:w="9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يرث تشفير المقيّد إن نُسخ كما هو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</w:tr>
      <w:tr>
        <w:trPr>
          <w:cantSplit/>
        </w:trPr>
        <w:tc>
          <w:tcPr>
            <w:tcW w:type="dxa" w:w="9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SD-25</w:t>
            </w:r>
          </w:p>
        </w:tc>
        <w:tc>
          <w:tcPr>
            <w:tcW w:type="dxa" w:w="15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نص البند كما في الاتفاقية</w:t>
            </w:r>
          </w:p>
        </w:tc>
        <w:tc>
          <w:tcPr>
            <w:tcW w:type="dxa" w:w="639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‎OriginalText‎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بلا وسم في 11 جدولًا يضيفها المولّد (tools/dbgen/dbgen.py:207-209؛ db/generated/tsql/001_tables.sql:3000، :3051، :3101)، و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‎CandidateAOriginalText‎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و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‎CandidateBOriginalText‎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(db/model/13-facilities-pricing-terms.model:335، :341)</w:t>
            </w:r>
          </w:p>
        </w:tc>
        <w:tc>
          <w:tcPr>
            <w:tcW w:type="dxa" w:w="9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فجوة DR-31</w:t>
            </w:r>
          </w:p>
        </w:tc>
      </w:tr>
      <w:tr>
        <w:trPr>
          <w:cantSplit/>
        </w:trPr>
        <w:tc>
          <w:tcPr>
            <w:tcW w:type="dxa" w:w="9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SD-26</w:t>
            </w:r>
          </w:p>
        </w:tc>
        <w:tc>
          <w:tcPr>
            <w:tcW w:type="dxa" w:w="15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سمات الضمان</w:t>
            </w:r>
          </w:p>
        </w:tc>
        <w:tc>
          <w:tcPr>
            <w:tcW w:type="dxa" w:w="639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موسوم مقيّدًا ومحجوب عن التقارير (db/model/14-collateral-obligations-financials.model:32؛ db/generated/tsql/006_sensitive_columns.sql:32)، لكنه غير مشفّر</w:t>
            </w:r>
          </w:p>
        </w:tc>
        <w:tc>
          <w:tcPr>
            <w:tcW w:type="dxa" w:w="9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جزئي (DR-08 مطبّق)</w:t>
            </w:r>
          </w:p>
        </w:tc>
      </w:tr>
    </w:tbl>
    <w:p>
      <w:pPr>
        <w:bidi/>
        <w:spacing w:after="120" w:before="0"/>
      </w:pPr>
    </w:p>
    <w:p>
      <w:pPr>
        <w:pStyle w:val="Heading1"/>
        <w:bidi/>
      </w:pPr>
      <w:bookmarkStart w:name="_sec7" w:id="7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7. DFD-4: المفاتيح والنسخ الاحتياطية (V-07)</w:t>
      </w:r>
      <w:bookmarkEnd w:id="7"/>
    </w:p>
    <w:p>
      <w:pPr>
        <w:keepNext/>
        <w:bidi/>
        <w:spacing w:after="60" w:before="160"/>
        <w:jc w:val="center"/>
      </w:pPr>
      <w:r>
        <w:drawing>
          <wp:inline distT="0" distB="0" distL="0" distR="0">
            <wp:extent cx="6096000" cy="3695700"/>
            <wp:effectExtent t="0" r="0" b="0" l="0"/>
            <wp:docPr id="1" name="diagram-4.png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3695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SD-31: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المفتاح الرئيسي لا يغادر مخزنه </w:t>
      </w:r>
      <w:r>
        <w:rPr>
          <w:rFonts w:ascii="Arial" w:cs="Arial" w:eastAsia="Arial" w:hAnsi="Arial"/>
          <w:color w:val="E0A800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؛ التطبيق يرسل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‎WrappedKey‎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ويستلم المفتاح المفكوك. مكان المخزن ونوعه غير محسومين (docs/adr/0001-schema-work-on-linux.md:26؛ docs/20-database-design.md:183). يملكه DOC-S02.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SD-32: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كل إنشاء وتدوير وفشل فك يُسجَّل في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‎sec.KeyEvent‎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، وهو للإضافة فقط (db/model/10-platform.model:291-301؛ db/generated/tsql/005_delete_grants.sql:46).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SD-33: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النسخة الاحتياطية تحمل النص المشفّر و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‎WrappedKey‎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معًا، ولا تحمل المفتاح الرئيسي </w:t>
      </w:r>
      <w:r>
        <w:rPr>
          <w:rFonts w:ascii="Arial" w:cs="Arial" w:eastAsia="Arial" w:hAnsi="Arial"/>
          <w:color w:val="2E9E44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(BR-PLT-015). البيانات السرّية غير المقيّدة نص صريح في النسخة ما دام TDE غير منفّذ (لا كائن TDE في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‎db/‎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SD-34: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نسخة مختومة من المفتاح الرئيسي لدى مسؤولَين مستقلين </w:t>
      </w:r>
      <w:r>
        <w:rPr>
          <w:rFonts w:ascii="Arial" w:cs="Arial" w:eastAsia="Arial" w:hAnsi="Arial"/>
          <w:color w:val="2E9E44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(docs/10-detailed-analysis/10-m0-m1-platform-organization.md:624). الإجراء نفسه غير مكتوب (DOC-S02).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‎tp_app‎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يقرأ ويكتب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‎sec.TenantKey‎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(db/generated/tsql/007_table_grants.sql:50). تعديل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‎Status‎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أو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‎WrappedKey‎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يعطّل فك التشفير؛ يعالجه DOC-S01.</w:t>
      </w:r>
    </w:p>
    <w:p>
      <w:pPr>
        <w:bidi/>
        <w:spacing w:after="60" w:before="0"/>
      </w:pPr>
    </w:p>
    <w:p>
      <w:pPr>
        <w:pStyle w:val="Heading1"/>
        <w:bidi/>
      </w:pPr>
      <w:bookmarkStart w:name="_sec8" w:id="8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8. النسخ الجانبية: الإثبات</w:t>
      </w:r>
      <w:bookmarkEnd w:id="8"/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53"/>
        <w:gridCol w:w="2404"/>
        <w:gridCol w:w="853"/>
        <w:gridCol w:w="2775"/>
        <w:gridCol w:w="853"/>
        <w:gridCol w:w="2126"/>
      </w:tblGrid>
      <w:tr>
        <w:trPr>
          <w:cantSplit/>
          <w:tblHeader/>
        </w:trPr>
        <w:tc>
          <w:tcPr>
            <w:tcW w:type="dxa" w:w="85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النسخة</w:t>
            </w:r>
          </w:p>
        </w:tc>
        <w:tc>
          <w:tcPr>
            <w:tcW w:type="dxa" w:w="24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العمود</w:t>
            </w:r>
          </w:p>
        </w:tc>
        <w:tc>
          <w:tcPr>
            <w:tcW w:type="dxa" w:w="85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ما قد تحمله</w:t>
            </w:r>
          </w:p>
        </w:tc>
        <w:tc>
          <w:tcPr>
            <w:tcW w:type="dxa" w:w="277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الحماية اليوم</w:t>
            </w:r>
          </w:p>
        </w:tc>
        <w:tc>
          <w:tcPr>
            <w:tcW w:type="dxa" w:w="85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الحالة</w:t>
            </w:r>
          </w:p>
        </w:tc>
        <w:tc>
          <w:tcPr>
            <w:tcW w:type="dxa" w:w="212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المعالجة</w:t>
            </w:r>
          </w:p>
        </w:tc>
      </w:tr>
      <w:tr>
        <w:trPr>
          <w:cantSplit/>
        </w:trPr>
        <w:tc>
          <w:tcPr>
            <w:tcW w:type="dxa" w:w="85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مقارنة الشروط</w:t>
            </w:r>
          </w:p>
        </w:tc>
        <w:tc>
          <w:tcPr>
            <w:tcW w:type="dxa" w:w="24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‎lc.LcTermsComparisonLine.BaselineValue/ReceivedValue‎</w:t>
            </w:r>
          </w:p>
        </w:tc>
        <w:tc>
          <w:tcPr>
            <w:tcW w:type="dxa" w:w="85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IBAN المستفيد</w:t>
            </w:r>
          </w:p>
        </w:tc>
        <w:tc>
          <w:tcPr>
            <w:tcW w:type="dxa" w:w="277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شيء</w:t>
            </w:r>
          </w:p>
        </w:tc>
        <w:tc>
          <w:tcPr>
            <w:tcW w:type="dxa" w:w="85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فجوة</w:t>
            </w:r>
          </w:p>
        </w:tc>
        <w:tc>
          <w:tcPr>
            <w:tcW w:type="dxa" w:w="212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DQ-F02-1 (DR-46)</w:t>
            </w:r>
          </w:p>
        </w:tc>
      </w:tr>
      <w:tr>
        <w:trPr>
          <w:cantSplit/>
        </w:trPr>
        <w:tc>
          <w:tcPr>
            <w:tcW w:type="dxa" w:w="85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فروق التعديل</w:t>
            </w:r>
          </w:p>
        </w:tc>
        <w:tc>
          <w:tcPr>
            <w:tcW w:type="dxa" w:w="24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‎lc.LcAmendment.ChangedFieldsJson‎</w:t>
            </w:r>
          </w:p>
        </w:tc>
        <w:tc>
          <w:tcPr>
            <w:tcW w:type="dxa" w:w="85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IBAN المستفيد</w:t>
            </w:r>
          </w:p>
        </w:tc>
        <w:tc>
          <w:tcPr>
            <w:tcW w:type="dxa" w:w="277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شيء</w:t>
            </w:r>
          </w:p>
        </w:tc>
        <w:tc>
          <w:tcPr>
            <w:tcW w:type="dxa" w:w="85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فجوة</w:t>
            </w:r>
          </w:p>
        </w:tc>
        <w:tc>
          <w:tcPr>
            <w:tcW w:type="dxa" w:w="212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DQ-F02-1 (DR-46)</w:t>
            </w:r>
          </w:p>
        </w:tc>
      </w:tr>
      <w:tr>
        <w:trPr>
          <w:cantSplit/>
        </w:trPr>
        <w:tc>
          <w:tcPr>
            <w:tcW w:type="dxa" w:w="85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نص الاتفاقية</w:t>
            </w:r>
          </w:p>
        </w:tc>
        <w:tc>
          <w:tcPr>
            <w:tcW w:type="dxa" w:w="24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‎OriginalText‎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و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‎CandidateA/BOriginalText‎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وحقول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‎Reason‎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و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‎Notes‎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الحرة</w:t>
            </w:r>
          </w:p>
        </w:tc>
        <w:tc>
          <w:tcPr>
            <w:tcW w:type="dxa" w:w="85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أرقام حسابات وIBAN</w:t>
            </w:r>
          </w:p>
        </w:tc>
        <w:tc>
          <w:tcPr>
            <w:tcW w:type="dxa" w:w="277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شيء</w:t>
            </w:r>
          </w:p>
        </w:tc>
        <w:tc>
          <w:tcPr>
            <w:tcW w:type="dxa" w:w="85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فجوة</w:t>
            </w:r>
          </w:p>
        </w:tc>
        <w:tc>
          <w:tcPr>
            <w:tcW w:type="dxa" w:w="212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DQ-F02-2 (DR-31)</w:t>
            </w:r>
          </w:p>
        </w:tc>
      </w:tr>
      <w:tr>
        <w:trPr>
          <w:cantSplit/>
        </w:trPr>
        <w:tc>
          <w:tcPr>
            <w:tcW w:type="dxa" w:w="85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الرقم الضريبي للشركة</w:t>
            </w:r>
          </w:p>
        </w:tc>
        <w:tc>
          <w:tcPr>
            <w:tcW w:type="dxa" w:w="24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‎pty.TaxIdentity.TaxNumber‎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وVatNumber عبر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‎org.v_CompanyTaxIdentity‎</w:t>
            </w:r>
          </w:p>
        </w:tc>
        <w:tc>
          <w:tcPr>
            <w:tcW w:type="dxa" w:w="85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رقم ضريبي</w:t>
            </w:r>
          </w:p>
        </w:tc>
        <w:tc>
          <w:tcPr>
            <w:tcW w:type="dxa" w:w="277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سرّي؛ لا نسخة في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‎org.Company‎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(حُذفت)</w:t>
            </w:r>
          </w:p>
        </w:tc>
        <w:tc>
          <w:tcPr>
            <w:tcW w:type="dxa" w:w="85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Segoe UI Emoji" w:cs="Segoe UI Emoji" w:eastAsia="Segoe UI Emoji" w:hAnsi="Segoe UI Emoji"/>
                <w:sz w:val="18"/>
                <w:szCs w:val="18"/>
                <w:rtl/>
              </w:rPr>
              <w:t xml:space="preserve">✅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مغلقة (ADR 0011)</w:t>
            </w:r>
          </w:p>
        </w:tc>
        <w:tc>
          <w:tcPr>
            <w:tcW w:type="dxa" w:w="212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DQ-F02-8 (DR-25)</w:t>
            </w:r>
          </w:p>
        </w:tc>
      </w:tr>
      <w:tr>
        <w:trPr>
          <w:cantSplit/>
        </w:trPr>
        <w:tc>
          <w:tcPr>
            <w:tcW w:type="dxa" w:w="85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الحقل المخصص</w:t>
            </w:r>
          </w:p>
        </w:tc>
        <w:tc>
          <w:tcPr>
            <w:tcW w:type="dxa" w:w="24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‎pty.PartyCustomField.ValueText‎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و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‎ValueMask‎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(db/model/11-organization-party.model:396، :400)</w:t>
            </w:r>
          </w:p>
        </w:tc>
        <w:tc>
          <w:tcPr>
            <w:tcW w:type="dxa" w:w="85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قيمة غير مقيّدة وقناع</w:t>
            </w:r>
          </w:p>
        </w:tc>
        <w:tc>
          <w:tcPr>
            <w:tcW w:type="dxa" w:w="277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القيد يمنع اجتماع النص والمشفّر (:403)</w:t>
            </w:r>
          </w:p>
        </w:tc>
        <w:tc>
          <w:tcPr>
            <w:tcW w:type="dxa" w:w="85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جزئي</w:t>
            </w:r>
          </w:p>
        </w:tc>
        <w:tc>
          <w:tcPr>
            <w:tcW w:type="dxa" w:w="212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التطبيق يختار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‎ValueEnc‎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للحقل المقيّد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</w:tr>
      <w:tr>
        <w:trPr>
          <w:cantSplit/>
        </w:trPr>
        <w:tc>
          <w:tcPr>
            <w:tcW w:type="dxa" w:w="85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النموذج ولقطاته</w:t>
            </w:r>
          </w:p>
        </w:tc>
        <w:tc>
          <w:tcPr>
            <w:tcW w:type="dxa" w:w="24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‎wfl.Request.FormDataJson‎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،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‎SnapshotJson‎</w:t>
            </w:r>
          </w:p>
        </w:tc>
        <w:tc>
          <w:tcPr>
            <w:tcW w:type="dxa" w:w="85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حقول مقيّدة</w:t>
            </w:r>
          </w:p>
        </w:tc>
        <w:tc>
          <w:tcPr>
            <w:tcW w:type="dxa" w:w="277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تشفير داخل JSON بقاعدة تطبيق</w:t>
            </w:r>
          </w:p>
        </w:tc>
        <w:tc>
          <w:tcPr>
            <w:tcW w:type="dxa" w:w="85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جزئي</w:t>
            </w:r>
          </w:p>
        </w:tc>
        <w:tc>
          <w:tcPr>
            <w:tcW w:type="dxa" w:w="212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اختبار يمسح JSON بحثًا عن نمط IBAN ورقم هوية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</w:tr>
      <w:tr>
        <w:trPr>
          <w:cantSplit/>
        </w:trPr>
        <w:tc>
          <w:tcPr>
            <w:tcW w:type="dxa" w:w="85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نص البحث</w:t>
            </w:r>
          </w:p>
        </w:tc>
        <w:tc>
          <w:tcPr>
            <w:tcW w:type="dxa" w:w="24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‎wfl.Request.SearchText‎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(db/model/15-workflow-notifications.model:282)</w:t>
            </w:r>
          </w:p>
        </w:tc>
        <w:tc>
          <w:tcPr>
            <w:tcW w:type="dxa" w:w="85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نص مطبَّع</w:t>
            </w:r>
          </w:p>
        </w:tc>
        <w:tc>
          <w:tcPr>
            <w:tcW w:type="dxa" w:w="277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المقيّد لا يدخله (BR-REQ-003)</w:t>
            </w:r>
          </w:p>
        </w:tc>
        <w:tc>
          <w:tcPr>
            <w:tcW w:type="dxa" w:w="85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جزئي</w:t>
            </w:r>
          </w:p>
        </w:tc>
        <w:tc>
          <w:tcPr>
            <w:tcW w:type="dxa" w:w="212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الاختبار نفسه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</w:tr>
      <w:tr>
        <w:trPr>
          <w:cantSplit/>
        </w:trPr>
        <w:tc>
          <w:tcPr>
            <w:tcW w:type="dxa" w:w="85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التدقيق</w:t>
            </w:r>
          </w:p>
        </w:tc>
        <w:tc>
          <w:tcPr>
            <w:tcW w:type="dxa" w:w="24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‎aud.AuditLog.BeforeJson/AfterJson‎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(db/model/10-platform.model:315-316)</w:t>
            </w:r>
          </w:p>
        </w:tc>
        <w:tc>
          <w:tcPr>
            <w:tcW w:type="dxa" w:w="85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قيم الكيان</w:t>
            </w:r>
          </w:p>
        </w:tc>
        <w:tc>
          <w:tcPr>
            <w:tcW w:type="dxa" w:w="277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التقنيع قاعدة تطبيق (FR-PLT-023)</w:t>
            </w:r>
          </w:p>
        </w:tc>
        <w:tc>
          <w:tcPr>
            <w:tcW w:type="dxa" w:w="85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جزئي</w:t>
            </w:r>
          </w:p>
        </w:tc>
        <w:tc>
          <w:tcPr>
            <w:tcW w:type="dxa" w:w="212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DQ-F02-9</w:t>
            </w:r>
          </w:p>
        </w:tc>
      </w:tr>
      <w:tr>
        <w:trPr>
          <w:cantSplit/>
        </w:trPr>
        <w:tc>
          <w:tcPr>
            <w:tcW w:type="dxa" w:w="85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Outbox</w:t>
            </w:r>
          </w:p>
        </w:tc>
        <w:tc>
          <w:tcPr>
            <w:tcW w:type="dxa" w:w="24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‎cfg.OutboxEvent.PayloadJson‎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(db/model/10-platform.model:537)</w:t>
            </w:r>
          </w:p>
        </w:tc>
        <w:tc>
          <w:tcPr>
            <w:tcW w:type="dxa" w:w="85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معرّفات</w:t>
            </w:r>
          </w:p>
        </w:tc>
        <w:tc>
          <w:tcPr>
            <w:tcW w:type="dxa" w:w="277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قاعدة تطبيق (FR-PLT-042)</w:t>
            </w:r>
          </w:p>
        </w:tc>
        <w:tc>
          <w:tcPr>
            <w:tcW w:type="dxa" w:w="85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جزئي</w:t>
            </w:r>
          </w:p>
        </w:tc>
        <w:tc>
          <w:tcPr>
            <w:tcW w:type="dxa" w:w="212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مخطط حمولة بقائمة سماح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</w:tr>
      <w:tr>
        <w:trPr>
          <w:cantSplit/>
        </w:trPr>
        <w:tc>
          <w:tcPr>
            <w:tcW w:type="dxa" w:w="85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الإشعار</w:t>
            </w:r>
          </w:p>
        </w:tc>
        <w:tc>
          <w:tcPr>
            <w:tcW w:type="dxa" w:w="24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‎ntf.Notification.Body‎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و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‎PayloadJson‎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(db/model/15-workflow-notifications.model:609، :622)</w:t>
            </w:r>
          </w:p>
        </w:tc>
        <w:tc>
          <w:tcPr>
            <w:tcW w:type="dxa" w:w="85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نص الرسالة</w:t>
            </w:r>
          </w:p>
        </w:tc>
        <w:tc>
          <w:tcPr>
            <w:tcW w:type="dxa" w:w="277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بلا مقيّد (FR-NTF-013؛ docs/10-detailed-analysis/13-m6-workflow-engine-notifications.md:690)</w:t>
            </w:r>
          </w:p>
        </w:tc>
        <w:tc>
          <w:tcPr>
            <w:tcW w:type="dxa" w:w="85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جزئي</w:t>
            </w:r>
          </w:p>
        </w:tc>
        <w:tc>
          <w:tcPr>
            <w:tcW w:type="dxa" w:w="212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عناصر نائبة من قائمة بيضاء (db/model/15-workflow-notifications.model:571)</w:t>
            </w:r>
          </w:p>
        </w:tc>
      </w:tr>
      <w:tr>
        <w:trPr>
          <w:cantSplit/>
        </w:trPr>
        <w:tc>
          <w:tcPr>
            <w:tcW w:type="dxa" w:w="85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رسائل الأخطاء</w:t>
            </w:r>
          </w:p>
        </w:tc>
        <w:tc>
          <w:tcPr>
            <w:tcW w:type="dxa" w:w="24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‎cfg.OutboxEvent.LastError‎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،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‎cfg.JobRun.ErrorMessage‎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و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‎DetailJson‎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،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‎sec.UserToken.SendError‎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(db/model/10-platform.model:545، :564-565، :253)</w:t>
            </w:r>
          </w:p>
        </w:tc>
        <w:tc>
          <w:tcPr>
            <w:tcW w:type="dxa" w:w="85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نص استثناء قد يحوي قيمة</w:t>
            </w:r>
          </w:p>
        </w:tc>
        <w:tc>
          <w:tcPr>
            <w:tcW w:type="dxa" w:w="277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شيء</w:t>
            </w:r>
          </w:p>
        </w:tc>
        <w:tc>
          <w:tcPr>
            <w:tcW w:type="dxa" w:w="85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فجوة</w:t>
            </w:r>
          </w:p>
        </w:tc>
        <w:tc>
          <w:tcPr>
            <w:tcW w:type="dxa" w:w="212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منقّح للرسائل قبل الكتابة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</w:tr>
      <w:tr>
        <w:trPr>
          <w:cantSplit/>
        </w:trPr>
        <w:tc>
          <w:tcPr>
            <w:tcW w:type="dxa" w:w="85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سجلات التطبيق</w:t>
            </w:r>
          </w:p>
        </w:tc>
        <w:tc>
          <w:tcPr>
            <w:tcW w:type="dxa" w:w="24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D-04</w:t>
            </w:r>
          </w:p>
        </w:tc>
        <w:tc>
          <w:tcPr>
            <w:tcW w:type="dxa" w:w="85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أي قيمة</w:t>
            </w:r>
          </w:p>
        </w:tc>
        <w:tc>
          <w:tcPr>
            <w:tcW w:type="dxa" w:w="277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قاعدة «بلا أسرار» (docs/10-detailed-analysis/10-m0-m1-platform-organization.md:586)</w:t>
            </w:r>
          </w:p>
        </w:tc>
        <w:tc>
          <w:tcPr>
            <w:tcW w:type="dxa" w:w="85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جزئي</w:t>
            </w:r>
          </w:p>
        </w:tc>
        <w:tc>
          <w:tcPr>
            <w:tcW w:type="dxa" w:w="212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المنقّح نفسه وفحص دوري (DOC-S12)</w:t>
            </w:r>
          </w:p>
        </w:tc>
      </w:tr>
      <w:tr>
        <w:trPr>
          <w:cantSplit/>
        </w:trPr>
        <w:tc>
          <w:tcPr>
            <w:tcW w:type="dxa" w:w="85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الدخول</w:t>
            </w:r>
          </w:p>
        </w:tc>
        <w:tc>
          <w:tcPr>
            <w:tcW w:type="dxa" w:w="24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‎sec.LoginAttempt.LoginName‎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(db/model/10-platform.model:201)</w:t>
            </w:r>
          </w:p>
        </w:tc>
        <w:tc>
          <w:tcPr>
            <w:tcW w:type="dxa" w:w="85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بريد شخص</w:t>
            </w:r>
          </w:p>
        </w:tc>
        <w:tc>
          <w:tcPr>
            <w:tcW w:type="dxa" w:w="277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وسم</w:t>
            </w:r>
          </w:p>
        </w:tc>
        <w:tc>
          <w:tcPr>
            <w:tcW w:type="dxa" w:w="85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فجوة</w:t>
            </w:r>
          </w:p>
        </w:tc>
        <w:tc>
          <w:tcPr>
            <w:tcW w:type="dxa" w:w="212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DQ-F02-6</w:t>
            </w:r>
          </w:p>
        </w:tc>
      </w:tr>
      <w:tr>
        <w:trPr>
          <w:cantSplit/>
        </w:trPr>
        <w:tc>
          <w:tcPr>
            <w:tcW w:type="dxa" w:w="85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النسخ الاحتياطية</w:t>
            </w:r>
          </w:p>
        </w:tc>
        <w:tc>
          <w:tcPr>
            <w:tcW w:type="dxa" w:w="24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D-05</w:t>
            </w:r>
          </w:p>
        </w:tc>
        <w:tc>
          <w:tcPr>
            <w:tcW w:type="dxa" w:w="85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كل ما سبق</w:t>
            </w:r>
          </w:p>
        </w:tc>
        <w:tc>
          <w:tcPr>
            <w:tcW w:type="dxa" w:w="277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المقيّد مشفّر؛ الباقي صريح</w:t>
            </w:r>
          </w:p>
        </w:tc>
        <w:tc>
          <w:tcPr>
            <w:tcW w:type="dxa" w:w="85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فجوة</w:t>
            </w:r>
          </w:p>
        </w:tc>
        <w:tc>
          <w:tcPr>
            <w:tcW w:type="dxa" w:w="212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TDE ونسخ مشفّرة (DOC-S02، DOC-S09)</w:t>
            </w:r>
          </w:p>
        </w:tc>
      </w:tr>
    </w:tbl>
    <w:p>
      <w:pPr>
        <w:bidi/>
        <w:spacing w:after="120" w:before="0"/>
      </w:pPr>
    </w:p>
    <w:p>
      <w:pPr>
        <w:pStyle w:val="Heading1"/>
        <w:bidi/>
      </w:pPr>
      <w:bookmarkStart w:name="_sec9" w:id="9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9. الحذف والاحتفاظ</w:t>
      </w:r>
      <w:bookmarkEnd w:id="9"/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77"/>
        <w:gridCol w:w="3903"/>
        <w:gridCol w:w="4984"/>
      </w:tblGrid>
      <w:tr>
        <w:trPr>
          <w:cantSplit/>
          <w:tblHeader/>
        </w:trPr>
        <w:tc>
          <w:tcPr>
            <w:tcW w:type="dxa" w:w="97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الفئة</w:t>
            </w:r>
          </w:p>
        </w:tc>
        <w:tc>
          <w:tcPr>
            <w:tcW w:type="dxa" w:w="390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الحذف اليوم</w:t>
            </w:r>
          </w:p>
        </w:tc>
        <w:tc>
          <w:tcPr>
            <w:tcW w:type="dxa" w:w="498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الضابط</w:t>
            </w:r>
          </w:p>
        </w:tc>
      </w:tr>
      <w:tr>
        <w:trPr>
          <w:cantSplit/>
        </w:trPr>
        <w:tc>
          <w:tcPr>
            <w:tcW w:type="dxa" w:w="97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التدقيق</w:t>
            </w:r>
          </w:p>
        </w:tc>
        <w:tc>
          <w:tcPr>
            <w:tcW w:type="dxa" w:w="390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حذف ولا تعديل لـ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‎tp_app‎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و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‎tp_platform‎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(db/static/020_roles_and_grants.sql:65؛ الاختبار T15)</w:t>
            </w:r>
          </w:p>
        </w:tc>
        <w:tc>
          <w:tcPr>
            <w:tcW w:type="dxa" w:w="498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الاحتفاظ المقترح 10 سنوات </w:t>
            </w: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(docs/10-detailed-analysis/10-m0-m1-platform-organization.md:616)</w:t>
            </w:r>
          </w:p>
        </w:tc>
      </w:tr>
      <w:tr>
        <w:trPr>
          <w:cantSplit/>
        </w:trPr>
        <w:tc>
          <w:tcPr>
            <w:tcW w:type="dxa" w:w="97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أرقام الهويات وصورها</w:t>
            </w:r>
          </w:p>
        </w:tc>
        <w:tc>
          <w:tcPr>
            <w:tcW w:type="dxa" w:w="390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صلاحية حذف (الجدول ليس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‎deletable‎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)</w:t>
            </w:r>
          </w:p>
        </w:tc>
        <w:tc>
          <w:tcPr>
            <w:tcW w:type="dxa" w:w="498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إخفاء الهوية بعد الاحتفاظ بموافقة (FR-PTY-029)؛ 5 سنوات مقترحة (docs/10-detailed-analysis/10-m0-m1-platform-organization.md:616)</w:t>
            </w:r>
          </w:p>
        </w:tc>
      </w:tr>
      <w:tr>
        <w:trPr>
          <w:cantSplit/>
        </w:trPr>
        <w:tc>
          <w:tcPr>
            <w:tcW w:type="dxa" w:w="97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المستندات</w:t>
            </w:r>
          </w:p>
        </w:tc>
        <w:tc>
          <w:tcPr>
            <w:tcW w:type="dxa" w:w="390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حذف منطقي بسبب وصلاحية (BR-PLT-011)</w:t>
            </w:r>
          </w:p>
        </w:tc>
        <w:tc>
          <w:tcPr>
            <w:tcW w:type="dxa" w:w="498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الإتلاف الفعلي بسير الاحتفاظ (FR-PLT-040)</w:t>
            </w:r>
          </w:p>
        </w:tc>
      </w:tr>
      <w:tr>
        <w:trPr>
          <w:cantSplit/>
        </w:trPr>
        <w:tc>
          <w:tcPr>
            <w:tcW w:type="dxa" w:w="97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الجلسات ومحاولات الدخول ورموز الاسترداد والدعوات وسجل كلمات المرور</w:t>
            </w:r>
          </w:p>
        </w:tc>
        <w:tc>
          <w:tcPr>
            <w:tcW w:type="dxa" w:w="390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‎tp_app‎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يحذف الصف (db/generated/tsql/005_delete_grants.sql:11-15)</w:t>
            </w:r>
          </w:p>
        </w:tc>
        <w:tc>
          <w:tcPr>
            <w:tcW w:type="dxa" w:w="498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مدة محددة؛ الحذف يمحو دليل الدخول (DQ-F02-6؛ DOC-S01)</w:t>
            </w:r>
          </w:p>
        </w:tc>
      </w:tr>
      <w:tr>
        <w:trPr>
          <w:cantSplit/>
        </w:trPr>
        <w:tc>
          <w:tcPr>
            <w:tcW w:type="dxa" w:w="97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Outbox</w:t>
            </w:r>
          </w:p>
        </w:tc>
        <w:tc>
          <w:tcPr>
            <w:tcW w:type="dxa" w:w="390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‎tp_app‎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يحذف (db/generated/tsql/005_delete_grants.sql:17)</w:t>
            </w:r>
          </w:p>
        </w:tc>
        <w:tc>
          <w:tcPr>
            <w:tcW w:type="dxa" w:w="498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الأحداث الميتة تُفقد (DR-14)</w:t>
            </w:r>
          </w:p>
        </w:tc>
      </w:tr>
      <w:tr>
        <w:trPr>
          <w:cantSplit/>
        </w:trPr>
        <w:tc>
          <w:tcPr>
            <w:tcW w:type="dxa" w:w="97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المشترك المغلق</w:t>
            </w:r>
          </w:p>
        </w:tc>
        <w:tc>
          <w:tcPr>
            <w:tcW w:type="dxa" w:w="390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تصدير 30 يومًا ثم قراءة فقط؛ لا إتلاف تلقائي </w:t>
            </w: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(BR-PLT-002)</w:t>
            </w:r>
          </w:p>
        </w:tc>
        <w:tc>
          <w:tcPr>
            <w:tcW w:type="dxa" w:w="498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الإتلاف بموافقة المشترك الخطية (FR-PLT-040)</w:t>
            </w:r>
          </w:p>
        </w:tc>
      </w:tr>
      <w:tr>
        <w:trPr>
          <w:cantSplit/>
        </w:trPr>
        <w:tc>
          <w:tcPr>
            <w:tcW w:type="dxa" w:w="97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المفاتيح</w:t>
            </w:r>
          </w:p>
        </w:tc>
        <w:tc>
          <w:tcPr>
            <w:tcW w:type="dxa" w:w="390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‎RETIRED‎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أو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‎REVOKED‎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، لا حذف</w:t>
            </w:r>
          </w:p>
        </w:tc>
        <w:tc>
          <w:tcPr>
            <w:tcW w:type="dxa" w:w="498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إلغاء مفاتيح مشترك بعد الاحتفاظ يجعل بياناته المشفّرة غير مقروءة حتى في النسخ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(DOC-S02)</w:t>
            </w:r>
          </w:p>
        </w:tc>
      </w:tr>
    </w:tbl>
    <w:p>
      <w:pPr>
        <w:bidi/>
        <w:spacing w:after="120" w:before="0"/>
      </w:pPr>
    </w:p>
    <w:p>
      <w:pPr>
        <w:pStyle w:val="Heading1"/>
        <w:bidi/>
      </w:pPr>
      <w:bookmarkStart w:name="_sec10" w:id="10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10. قواعد ملزمة للتنفيذ</w:t>
      </w:r>
      <w:bookmarkEnd w:id="10"/>
    </w:p>
    <w:p>
      <w:pPr>
        <w:pStyle w:val="ListParagraph"/>
        <w:numPr>
          <w:ilvl w:val="0"/>
          <w:numId w:val="3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لا قيمة مقيّدة تُكتب في عمود غير موسوم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‎sens=restricted‎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. أي عمود ينسخ قيمة حقل يأخذ أعلى تصنيف بين الحقول التي قد يحملها </w:t>
      </w:r>
      <w:r>
        <w:rPr>
          <w:rFonts w:ascii="Arial" w:cs="Arial" w:eastAsia="Arial" w:hAnsi="Arial"/>
          <w:color w:val="E0A800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.</w:t>
      </w:r>
    </w:p>
    <w:p>
      <w:pPr>
        <w:pStyle w:val="ListParagraph"/>
        <w:numPr>
          <w:ilvl w:val="0"/>
          <w:numId w:val="3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نقطة التقنيع واحدة: خدمة التشفير والتقنيع المشتركة (FR-PLT-037). التدقيق والإشعار والتصدير والسجلات تستدعيها ولا تبني القناع بنفسها </w:t>
      </w:r>
      <w:r>
        <w:rPr>
          <w:rFonts w:ascii="Arial" w:cs="Arial" w:eastAsia="Arial" w:hAnsi="Arial"/>
          <w:color w:val="E0A800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.</w:t>
      </w:r>
    </w:p>
    <w:p>
      <w:pPr>
        <w:pStyle w:val="ListParagraph"/>
        <w:numPr>
          <w:ilvl w:val="0"/>
          <w:numId w:val="3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لا قيمة مقيّدة في حمولة Outbox أو الإشعار أو البريد أو رابط </w:t>
      </w:r>
      <w:r>
        <w:rPr>
          <w:rFonts w:ascii="Arial" w:cs="Arial" w:eastAsia="Arial" w:hAnsi="Arial"/>
          <w:color w:val="2E9E44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(FR-PLT-042، FR-NTF-013، FR-PLT-013).</w:t>
      </w:r>
    </w:p>
    <w:p>
      <w:pPr>
        <w:pStyle w:val="ListParagraph"/>
        <w:numPr>
          <w:ilvl w:val="0"/>
          <w:numId w:val="3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كل كشف أو عرض صورة أو تصدير مقيّد يكتب حدثين: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‎aud.AuditLog‎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و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‎aud.SensitiveAccessLog‎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</w:t>
      </w:r>
      <w:r>
        <w:rPr>
          <w:rFonts w:ascii="Arial" w:cs="Arial" w:eastAsia="Arial" w:hAnsi="Arial"/>
          <w:color w:val="2E9E44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(BR-PTY-009؛ db/model/10-platform.model:332).</w:t>
      </w:r>
    </w:p>
    <w:p>
      <w:pPr>
        <w:pStyle w:val="ListParagraph"/>
        <w:numPr>
          <w:ilvl w:val="0"/>
          <w:numId w:val="3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رسالة الاستثناء تمر بمنقّح قبل أي عمود خطأ أو سجل </w:t>
      </w:r>
      <w:r>
        <w:rPr>
          <w:rFonts w:ascii="Arial" w:cs="Arial" w:eastAsia="Arial" w:hAnsi="Arial"/>
          <w:color w:val="E0A800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.</w:t>
      </w:r>
    </w:p>
    <w:p>
      <w:pPr>
        <w:pStyle w:val="ListParagraph"/>
        <w:numPr>
          <w:ilvl w:val="0"/>
          <w:numId w:val="3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اختبار آلي في CI يقارن كل عمود نصي أو JSON في جداول تنسخ قيم حقول بقائمة الأعمدة الموسومة، ويفشل عند نسخة بلا وسم </w:t>
      </w:r>
      <w:r>
        <w:rPr>
          <w:rFonts w:ascii="Arial" w:cs="Arial" w:eastAsia="Arial" w:hAnsi="Arial"/>
          <w:color w:val="E0A800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(DOC-B01).</w:t>
      </w:r>
    </w:p>
    <w:p>
      <w:pPr>
        <w:bidi/>
        <w:spacing w:after="60" w:before="0"/>
      </w:pPr>
    </w:p>
    <w:p>
      <w:pPr>
        <w:pStyle w:val="Heading1"/>
        <w:bidi/>
      </w:pPr>
      <w:bookmarkStart w:name="_sec11" w:id="11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11. القرارات المطلوبة</w:t>
      </w:r>
      <w:bookmarkEnd w:id="11"/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66"/>
        <w:gridCol w:w="2932"/>
        <w:gridCol w:w="3334"/>
        <w:gridCol w:w="1066"/>
        <w:gridCol w:w="1466"/>
      </w:tblGrid>
      <w:tr>
        <w:trPr>
          <w:cantSplit/>
          <w:tblHeader/>
        </w:trPr>
        <w:tc>
          <w:tcPr>
            <w:tcW w:type="dxa" w:w="10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المعرّف</w:t>
            </w:r>
          </w:p>
        </w:tc>
        <w:tc>
          <w:tcPr>
            <w:tcW w:type="dxa" w:w="29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السؤال</w:t>
            </w:r>
          </w:p>
        </w:tc>
        <w:tc>
          <w:tcPr>
            <w:tcW w:type="dxa" w:w="333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الافتراض المقترح</w:t>
            </w:r>
          </w:p>
        </w:tc>
        <w:tc>
          <w:tcPr>
            <w:tcW w:type="dxa" w:w="10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من يقرر</w:t>
            </w:r>
          </w:p>
        </w:tc>
        <w:tc>
          <w:tcPr>
            <w:tcW w:type="dxa" w:w="14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ما يعطّله</w:t>
            </w:r>
          </w:p>
        </w:tc>
      </w:tr>
      <w:tr>
        <w:trPr>
          <w:cantSplit/>
        </w:trPr>
        <w:tc>
          <w:tcPr>
            <w:tcW w:type="dxa" w:w="10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DQ-F02-1</w:t>
            </w:r>
          </w:p>
        </w:tc>
        <w:tc>
          <w:tcPr>
            <w:tcW w:type="dxa" w:w="29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كيف تُعامل القيم المقيّدة في المقارنة وفروق التعديل؟ (DR-46)</w:t>
            </w:r>
          </w:p>
        </w:tc>
        <w:tc>
          <w:tcPr>
            <w:tcW w:type="dxa" w:w="333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Segoe UI Emoji" w:cs="Segoe UI Emoji" w:eastAsia="Segoe UI Emoji" w:hAnsi="Segoe UI Emoji"/>
                <w:sz w:val="18"/>
                <w:szCs w:val="18"/>
                <w:rtl/>
              </w:rPr>
              <w:t xml:space="preserve">✅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منفّذ (ADR 0011، 2026-10-13) بصيغة DQ-F12-11: لا يُنسخ شيء، وقيد وقادح يمنعان قيمة الحقل المقيّد في سطور المقارنة وفروق التعديل (50058)، والأعمدة الثلاثة موسومة سرّية، والحكم من البصمة. المقترح الأصلي: لا تُنسخ القيمة: يُخزَّن القناع وHMAC للحقل المقيّد فقط؛ ويوسم العمودان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‎sens=confidential‎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على الأقل. بديل في DOC-F12 §8.3 (DQ-F12-11): لا نسخ للقناع ولا للبصمة لأنهما مقيّدان، والحكم من بصمة المصدر؛ يُحسمان معًا</w:t>
            </w:r>
          </w:p>
        </w:tc>
        <w:tc>
          <w:tcPr>
            <w:tcW w:type="dxa" w:w="10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معماري قاعدة البيانات مع مالك M7 وM8</w:t>
            </w:r>
          </w:p>
        </w:tc>
        <w:tc>
          <w:tcPr>
            <w:tcW w:type="dxa" w:w="14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FR-LCT-031 (S4)، DOC-S06</w:t>
            </w:r>
          </w:p>
        </w:tc>
      </w:tr>
      <w:tr>
        <w:trPr>
          <w:cantSplit/>
        </w:trPr>
        <w:tc>
          <w:tcPr>
            <w:tcW w:type="dxa" w:w="10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DQ-F02-2</w:t>
            </w:r>
          </w:p>
        </w:tc>
        <w:tc>
          <w:tcPr>
            <w:tcW w:type="dxa" w:w="29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كيف يُحمى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‎OriginalText‎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والنص الحر في جداول المصدر؟ (DR-31)</w:t>
            </w:r>
          </w:p>
        </w:tc>
        <w:tc>
          <w:tcPr>
            <w:tcW w:type="dxa" w:w="333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Segoe UI Emoji" w:cs="Segoe UI Emoji" w:eastAsia="Segoe UI Emoji" w:hAnsi="Segoe UI Emoji"/>
                <w:sz w:val="18"/>
                <w:szCs w:val="18"/>
                <w:rtl/>
              </w:rPr>
              <w:t xml:space="preserve">✅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منفّذ (ADR 0011): الوسم السرّي ومنع القراءة عن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‎tp_readonly‎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على النص الأصلي ونصي التعارض و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‎ClauseText‎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؛ والحجب عند الإدخال، وقيد يرفض IBAN أو رقم حساب غير مقنَّع (2026-10-13، DQ-S06-7). المقترح: وسم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‎sens=confidential‎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وDENY لـ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‎tp_readonly‎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؛ حجب نمط IBAN ورقم الحساب عند الإدخال؛ الأصل يبقى في مخزن المستندات</w:t>
            </w:r>
          </w:p>
        </w:tc>
        <w:tc>
          <w:tcPr>
            <w:tcW w:type="dxa" w:w="10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معماري قاعدة البيانات مع مالك M5</w:t>
            </w:r>
          </w:p>
        </w:tc>
        <w:tc>
          <w:tcPr>
            <w:tcW w:type="dxa" w:w="14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S2 (إدخال الاتفاقيات)</w:t>
            </w:r>
          </w:p>
        </w:tc>
      </w:tr>
      <w:tr>
        <w:trPr>
          <w:cantSplit/>
        </w:trPr>
        <w:tc>
          <w:tcPr>
            <w:tcW w:type="dxa" w:w="10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DQ-F02-3</w:t>
            </w:r>
          </w:p>
        </w:tc>
        <w:tc>
          <w:tcPr>
            <w:tcW w:type="dxa" w:w="29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هل يُحجب السرّي عن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‎tp_readonly‎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كالمقيّد؟</w:t>
            </w:r>
          </w:p>
        </w:tc>
        <w:tc>
          <w:tcPr>
            <w:tcW w:type="dxa" w:w="333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نعم للبيانات الشخصية السرّية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؛ التقارير تقرأها عبر عروض مقنَّعة</w:t>
            </w:r>
          </w:p>
        </w:tc>
        <w:tc>
          <w:tcPr>
            <w:tcW w:type="dxa" w:w="10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مسؤول الأمن مع معماري البيانات</w:t>
            </w:r>
          </w:p>
        </w:tc>
        <w:tc>
          <w:tcPr>
            <w:tcW w:type="dxa" w:w="14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DOC-S06، DQ-F01-5</w:t>
            </w:r>
          </w:p>
        </w:tc>
      </w:tr>
      <w:tr>
        <w:trPr>
          <w:cantSplit/>
        </w:trPr>
        <w:tc>
          <w:tcPr>
            <w:tcW w:type="dxa" w:w="10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DQ-F02-4</w:t>
            </w:r>
          </w:p>
        </w:tc>
        <w:tc>
          <w:tcPr>
            <w:tcW w:type="dxa" w:w="29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كيف يقرأ التطبيق سر TOTP ورموز الاسترداد قبل الربط؟</w:t>
            </w:r>
          </w:p>
        </w:tc>
        <w:tc>
          <w:tcPr>
            <w:tcW w:type="dxa" w:w="333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إجراء بصفة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‎tp_auth_exec‎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يعيد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‎MfaSecretEnc‎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و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‎MfaLastUsedStep‎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لجلسة صالحة غير مكتملة MFA فقط، وإجراء يستهلك رمز استرداد بتجزئته</w:t>
            </w:r>
          </w:p>
        </w:tc>
        <w:tc>
          <w:tcPr>
            <w:tcW w:type="dxa" w:w="10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مسؤول الهوية والأمن</w:t>
            </w:r>
          </w:p>
        </w:tc>
        <w:tc>
          <w:tcPr>
            <w:tcW w:type="dxa" w:w="14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DOC-F03، FR-PLT-011</w:t>
            </w:r>
          </w:p>
        </w:tc>
      </w:tr>
      <w:tr>
        <w:trPr>
          <w:cantSplit/>
        </w:trPr>
        <w:tc>
          <w:tcPr>
            <w:tcW w:type="dxa" w:w="10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DQ-F02-5</w:t>
            </w:r>
          </w:p>
        </w:tc>
        <w:tc>
          <w:tcPr>
            <w:tcW w:type="dxa" w:w="29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من يحذف ملف حزمة التصدير بعد انتهائها؟</w:t>
            </w:r>
          </w:p>
        </w:tc>
        <w:tc>
          <w:tcPr>
            <w:tcW w:type="dxa" w:w="333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مهمة يومية تتلف الملف عند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‎EXPIRED‎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وتسجّل الحدث؛ الحزمة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‎RESTRICTED‎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إن شملت المقيّد</w:t>
            </w:r>
          </w:p>
        </w:tc>
        <w:tc>
          <w:tcPr>
            <w:tcW w:type="dxa" w:w="10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مهندس الخلفية مع مسؤول الأمن</w:t>
            </w:r>
          </w:p>
        </w:tc>
        <w:tc>
          <w:tcPr>
            <w:tcW w:type="dxa" w:w="14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FR-PLT-039 (S5)</w:t>
            </w:r>
          </w:p>
        </w:tc>
      </w:tr>
      <w:tr>
        <w:trPr>
          <w:cantSplit/>
        </w:trPr>
        <w:tc>
          <w:tcPr>
            <w:tcW w:type="dxa" w:w="10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DQ-F02-6</w:t>
            </w:r>
          </w:p>
        </w:tc>
        <w:tc>
          <w:tcPr>
            <w:tcW w:type="dxa" w:w="29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ما مدة الاحتفاظ ببيانات التتبع (IP، وكيل المستخدم، البريد المكتوب) وبمحاولات الدخول؟</w:t>
            </w:r>
          </w:p>
        </w:tc>
        <w:tc>
          <w:tcPr>
            <w:tcW w:type="dxa" w:w="333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90 يومًا لمحاولات الدخول والجلسات المنتهية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، بحذف بمهمة لا بـ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‎tp_app‎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؛ الأثر الدائم في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‎aud.AuditLog‎</w:t>
            </w:r>
          </w:p>
        </w:tc>
        <w:tc>
          <w:tcPr>
            <w:tcW w:type="dxa" w:w="10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مسؤول حماية البيانات</w:t>
            </w:r>
          </w:p>
        </w:tc>
        <w:tc>
          <w:tcPr>
            <w:tcW w:type="dxa" w:w="14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DOC-S07، DOC-S12</w:t>
            </w:r>
          </w:p>
        </w:tc>
      </w:tr>
      <w:tr>
        <w:trPr>
          <w:cantSplit/>
        </w:trPr>
        <w:tc>
          <w:tcPr>
            <w:tcW w:type="dxa" w:w="10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DQ-F02-7</w:t>
            </w:r>
          </w:p>
        </w:tc>
        <w:tc>
          <w:tcPr>
            <w:tcW w:type="dxa" w:w="29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ما خوارزمية تجزئة رموز الاسترداد؟</w:t>
            </w:r>
          </w:p>
        </w:tc>
        <w:tc>
          <w:tcPr>
            <w:tcW w:type="dxa" w:w="333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HMAC-SHA-256 بمفتاح منصة سري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، أو Argon2id إن كان الرمز قصيرًا</w:t>
            </w:r>
          </w:p>
        </w:tc>
        <w:tc>
          <w:tcPr>
            <w:tcW w:type="dxa" w:w="10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مسؤول الهوية والأمن</w:t>
            </w:r>
          </w:p>
        </w:tc>
        <w:tc>
          <w:tcPr>
            <w:tcW w:type="dxa" w:w="14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DOC-S04</w:t>
            </w:r>
          </w:p>
        </w:tc>
      </w:tr>
      <w:tr>
        <w:trPr>
          <w:cantSplit/>
        </w:trPr>
        <w:tc>
          <w:tcPr>
            <w:tcW w:type="dxa" w:w="10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DQ-F02-8</w:t>
            </w:r>
          </w:p>
        </w:tc>
        <w:tc>
          <w:tcPr>
            <w:tcW w:type="dxa" w:w="29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هل يبقى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‎org.Company.TaxNumber‎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؟ (DR-25)</w:t>
            </w:r>
          </w:p>
        </w:tc>
        <w:tc>
          <w:tcPr>
            <w:tcW w:type="dxa" w:w="333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Segoe UI Emoji" w:cs="Segoe UI Emoji" w:eastAsia="Segoe UI Emoji" w:hAnsi="Segoe UI Emoji"/>
                <w:sz w:val="18"/>
                <w:szCs w:val="18"/>
                <w:rtl/>
              </w:rPr>
              <w:t xml:space="preserve">✅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منفّذ (ADR 0011، 2026-10-13): حُذف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‎org.Company.TaxNumber‎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، ويُقرأ الرقمان من الهوية الضريبية الحالية للمرآة في دولة التأسيس عبر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‎org.v_CompanyTaxIdentity‎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. المقترح: يُحذف ويُقرأ من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‎pty.TaxIdentity‎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عبر عرض؛ وإن بقي يوسم سرّيًا</w:t>
            </w:r>
          </w:p>
        </w:tc>
        <w:tc>
          <w:tcPr>
            <w:tcW w:type="dxa" w:w="10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معماري قاعدة البيانات</w:t>
            </w:r>
          </w:p>
        </w:tc>
        <w:tc>
          <w:tcPr>
            <w:tcW w:type="dxa" w:w="14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S1</w:t>
            </w:r>
          </w:p>
        </w:tc>
      </w:tr>
      <w:tr>
        <w:trPr>
          <w:cantSplit/>
        </w:trPr>
        <w:tc>
          <w:tcPr>
            <w:tcW w:type="dxa" w:w="10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DQ-F02-9</w:t>
            </w:r>
          </w:p>
        </w:tc>
        <w:tc>
          <w:tcPr>
            <w:tcW w:type="dxa" w:w="29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هل يُفرض تقنيع التدقيق في مكان واحد؟</w:t>
            </w:r>
          </w:p>
        </w:tc>
        <w:tc>
          <w:tcPr>
            <w:tcW w:type="dxa" w:w="333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مُسلسِل واحد للتدقيق يستبدل كل عمود موسوم مقيّدًا بقناعه، تولّد قائمته من النموذج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10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مهندس الخلفية</w:t>
            </w:r>
          </w:p>
        </w:tc>
        <w:tc>
          <w:tcPr>
            <w:tcW w:type="dxa" w:w="14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FR-PLT-023، DOC-B01</w:t>
            </w:r>
          </w:p>
        </w:tc>
      </w:tr>
    </w:tbl>
    <w:p>
      <w:pPr>
        <w:bidi/>
        <w:spacing w:after="120" w:before="0"/>
      </w:pPr>
    </w:p>
    <w:p>
      <w:pPr>
        <w:pStyle w:val="Heading1"/>
        <w:bidi/>
      </w:pPr>
      <w:bookmarkStart w:name="_sec12" w:id="12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12. تعارضات وفجوات في المصادر</w:t>
      </w:r>
      <w:bookmarkEnd w:id="12"/>
    </w:p>
    <w:p>
      <w:pPr>
        <w:pStyle w:val="ListParagraph"/>
        <w:numPr>
          <w:ilvl w:val="0"/>
          <w:numId w:val="4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docs/20-database-design.md:166 يجعل السبب إلزاميًا لكل كشف وتصدير، وQ-PTY-05 (docs/10-detailed-analysis/10-m0-m1-platform-organization.md:639) لا يطلبه، والعمود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‎Reason‎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اختياري (db/model/10-platform.model:344). سجلته DR-12.</w:t>
      </w:r>
    </w:p>
    <w:p>
      <w:pPr>
        <w:pStyle w:val="ListParagraph"/>
        <w:numPr>
          <w:ilvl w:val="0"/>
          <w:numId w:val="4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docs/20-database-design.md:218 يقول إن الأرقام الكاملة لمدير الخزينة و«موظف التسهيلات»، وBR-PLT-019 (docs/10-detailed-analysis/10-m0-m1-platform-organization.md:245) يقفلها على TM و«مسؤول التسهيلات (FO)».</w:t>
      </w:r>
    </w:p>
    <w:p>
      <w:pPr>
        <w:pStyle w:val="ListParagraph"/>
        <w:numPr>
          <w:ilvl w:val="0"/>
          <w:numId w:val="4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مراجعة التصميم تشير إلى db/model/16 السطور 686-687 و490 (docs/review/design-review-2026-10-11.json، DR-46)؛ الأعمدة اليوم في db/model/16-letters-of-credit.model:691-692 و:493.</w:t>
      </w:r>
    </w:p>
    <w:p>
      <w:pPr>
        <w:pStyle w:val="ListParagraph"/>
        <w:numPr>
          <w:ilvl w:val="0"/>
          <w:numId w:val="4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db/model/10-platform.model:199 يقول إن الأثر الدائم للدخول في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‎aud.AuditLog‎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، لكن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‎sec.usp_StartSession‎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يكتب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‎sec.LoginAttempt‎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فقط (db/static/030_session_context.sql:124-129)، و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‎tp_app‎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يحذف منه (db/generated/tsql/005_delete_grants.sql:11). سجّلته O-24 (tools/dbgen/erd_open_items.py:153).</w:t>
      </w:r>
    </w:p>
    <w:p>
      <w:pPr>
        <w:pStyle w:val="ListParagraph"/>
        <w:numPr>
          <w:ilvl w:val="0"/>
          <w:numId w:val="4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docs/10-detailed-analysis/10-m0-m1-platform-organization.md:582 يذكر TDE للقاعدة، ولا كائن TDE في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‎db/‎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. ليس تعارضًا في القرار، لكنه غير منفّذ قبل البيانات الحقيقية (docs/adr/0001-schema-work-on-linux.md:26).</w:t>
      </w:r>
    </w:p>
    <w:p>
      <w:pPr>
        <w:bidi/>
        <w:spacing w:after="60" w:before="0"/>
      </w:pPr>
    </w:p>
    <w:p>
      <w:pPr>
        <w:pStyle w:val="Heading1"/>
        <w:bidi/>
      </w:pPr>
      <w:bookmarkStart w:name="_sec13" w:id="13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13. التتبع</w:t>
      </w:r>
      <w:bookmarkEnd w:id="13"/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44"/>
        <w:gridCol w:w="1856"/>
        <w:gridCol w:w="6964"/>
      </w:tblGrid>
      <w:tr>
        <w:trPr>
          <w:cantSplit/>
          <w:tblHeader/>
        </w:trPr>
        <w:tc>
          <w:tcPr>
            <w:tcW w:type="dxa" w:w="10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البند في هذه الوثيقة</w:t>
            </w:r>
          </w:p>
        </w:tc>
        <w:tc>
          <w:tcPr>
            <w:tcW w:type="dxa" w:w="185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المتطلب أو القاعدة أو القرار</w:t>
            </w:r>
          </w:p>
        </w:tc>
        <w:tc>
          <w:tcPr>
            <w:tcW w:type="dxa" w:w="696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المصدر</w:t>
            </w:r>
          </w:p>
        </w:tc>
      </w:tr>
      <w:tr>
        <w:trPr>
          <w:cantSplit/>
        </w:trPr>
        <w:tc>
          <w:tcPr>
            <w:tcW w:type="dxa" w:w="10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V-01 إلى V-03، SD-01 إلى SD-04، SD-07</w:t>
            </w:r>
          </w:p>
        </w:tc>
        <w:tc>
          <w:tcPr>
            <w:tcW w:type="dxa" w:w="185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FR-PLT-010، FR-PLT-014، ADR 0002</w:t>
            </w:r>
          </w:p>
        </w:tc>
        <w:tc>
          <w:tcPr>
            <w:tcW w:type="dxa" w:w="696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db/static/030_session_context.sql:23-227</w:t>
            </w:r>
          </w:p>
        </w:tc>
      </w:tr>
      <w:tr>
        <w:trPr>
          <w:cantSplit/>
        </w:trPr>
        <w:tc>
          <w:tcPr>
            <w:tcW w:type="dxa" w:w="10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V-04، V-05، SD-05، SD-06، DQ-F02-4، DQ-F02-7</w:t>
            </w:r>
          </w:p>
        </w:tc>
        <w:tc>
          <w:tcPr>
            <w:tcW w:type="dxa" w:w="185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FR-PLT-011، BR-PLT-006، O-24 (erd_open_items)</w:t>
            </w:r>
          </w:p>
        </w:tc>
        <w:tc>
          <w:tcPr>
            <w:tcW w:type="dxa" w:w="696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tools/dbgen/erd_open_items.py:151-156</w:t>
            </w:r>
          </w:p>
        </w:tc>
      </w:tr>
      <w:tr>
        <w:trPr>
          <w:cantSplit/>
        </w:trPr>
        <w:tc>
          <w:tcPr>
            <w:tcW w:type="dxa" w:w="10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V-06، SD-08، SD-09</w:t>
            </w:r>
          </w:p>
        </w:tc>
        <w:tc>
          <w:tcPr>
            <w:tcW w:type="dxa" w:w="185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FR-PLT-013</w:t>
            </w:r>
          </w:p>
        </w:tc>
        <w:tc>
          <w:tcPr>
            <w:tcW w:type="dxa" w:w="696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db/model/10-platform.model:244-258</w:t>
            </w:r>
          </w:p>
        </w:tc>
      </w:tr>
      <w:tr>
        <w:trPr>
          <w:cantSplit/>
        </w:trPr>
        <w:tc>
          <w:tcPr>
            <w:tcW w:type="dxa" w:w="10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V-07، §7</w:t>
            </w:r>
          </w:p>
        </w:tc>
        <w:tc>
          <w:tcPr>
            <w:tcW w:type="dxa" w:w="185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FR-PLT-037، BR-PLT-015، Q-PLT-12</w:t>
            </w:r>
          </w:p>
        </w:tc>
        <w:tc>
          <w:tcPr>
            <w:tcW w:type="dxa" w:w="696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db/model/10-platform.model:276-301</w:t>
            </w:r>
          </w:p>
        </w:tc>
      </w:tr>
      <w:tr>
        <w:trPr>
          <w:cantSplit/>
        </w:trPr>
        <w:tc>
          <w:tcPr>
            <w:tcW w:type="dxa" w:w="10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V-08، V-09، §5</w:t>
            </w:r>
          </w:p>
        </w:tc>
        <w:tc>
          <w:tcPr>
            <w:tcW w:type="dxa" w:w="185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FR-PTY-006 إلى FR-PTY-009، BR-PTY-002، BR-PTY-008، BR-PTY-009، FR-PLT-030</w:t>
            </w:r>
          </w:p>
        </w:tc>
        <w:tc>
          <w:tcPr>
            <w:tcW w:type="dxa" w:w="696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db/model/11-organization-party.model:288-305</w:t>
            </w:r>
          </w:p>
        </w:tc>
      </w:tr>
      <w:tr>
        <w:trPr>
          <w:cantSplit/>
        </w:trPr>
        <w:tc>
          <w:tcPr>
            <w:tcW w:type="dxa" w:w="10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V-10، §6، DQ-F02-1</w:t>
            </w:r>
          </w:p>
        </w:tc>
        <w:tc>
          <w:tcPr>
            <w:tcW w:type="dxa" w:w="185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FR-REQ-024، FR-LCT-031، DR-46</w:t>
            </w:r>
          </w:p>
        </w:tc>
        <w:tc>
          <w:tcPr>
            <w:tcW w:type="dxa" w:w="696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db/model/16-letters-of-credit.model:186-188، :688-697</w:t>
            </w:r>
          </w:p>
        </w:tc>
      </w:tr>
      <w:tr>
        <w:trPr>
          <w:cantSplit/>
        </w:trPr>
        <w:tc>
          <w:tcPr>
            <w:tcW w:type="dxa" w:w="10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SD-25، DQ-F02-2</w:t>
            </w:r>
          </w:p>
        </w:tc>
        <w:tc>
          <w:tcPr>
            <w:tcW w:type="dxa" w:w="185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DR-31</w:t>
            </w:r>
          </w:p>
        </w:tc>
        <w:tc>
          <w:tcPr>
            <w:tcW w:type="dxa" w:w="696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tools/dbgen/dbgen.py:207-209</w:t>
            </w:r>
          </w:p>
        </w:tc>
      </w:tr>
      <w:tr>
        <w:trPr>
          <w:cantSplit/>
        </w:trPr>
        <w:tc>
          <w:tcPr>
            <w:tcW w:type="dxa" w:w="10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SD-26</w:t>
            </w:r>
          </w:p>
        </w:tc>
        <w:tc>
          <w:tcPr>
            <w:tcW w:type="dxa" w:w="185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DR-08</w:t>
            </w:r>
          </w:p>
        </w:tc>
        <w:tc>
          <w:tcPr>
            <w:tcW w:type="dxa" w:w="696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db/model/14-collateral-obligations-financials.model:32</w:t>
            </w:r>
          </w:p>
        </w:tc>
      </w:tr>
      <w:tr>
        <w:trPr>
          <w:cantSplit/>
        </w:trPr>
        <w:tc>
          <w:tcPr>
            <w:tcW w:type="dxa" w:w="10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§3</w:t>
            </w:r>
          </w:p>
        </w:tc>
        <w:tc>
          <w:tcPr>
            <w:tcW w:type="dxa" w:w="185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R7، T21، T35</w:t>
            </w:r>
          </w:p>
        </w:tc>
        <w:tc>
          <w:tcPr>
            <w:tcW w:type="dxa" w:w="696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db/generated/tsql/006_sensitive_columns.sql:7-35</w:t>
            </w:r>
          </w:p>
        </w:tc>
      </w:tr>
      <w:tr>
        <w:trPr>
          <w:cantSplit/>
        </w:trPr>
        <w:tc>
          <w:tcPr>
            <w:tcW w:type="dxa" w:w="10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V-15، §8 التدقيق</w:t>
            </w:r>
          </w:p>
        </w:tc>
        <w:tc>
          <w:tcPr>
            <w:tcW w:type="dxa" w:w="185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FR-PLT-022، FR-PLT-023، BR-PLT-009</w:t>
            </w:r>
          </w:p>
        </w:tc>
        <w:tc>
          <w:tcPr>
            <w:tcW w:type="dxa" w:w="696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db/model/10-platform.model:304-355</w:t>
            </w:r>
          </w:p>
        </w:tc>
      </w:tr>
      <w:tr>
        <w:trPr>
          <w:cantSplit/>
        </w:trPr>
        <w:tc>
          <w:tcPr>
            <w:tcW w:type="dxa" w:w="10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V-17، DQ-F02-5</w:t>
            </w:r>
          </w:p>
        </w:tc>
        <w:tc>
          <w:tcPr>
            <w:tcW w:type="dxa" w:w="185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FR-PLT-039، BR-PLT-016، DR-13، DR-18</w:t>
            </w:r>
          </w:p>
        </w:tc>
        <w:tc>
          <w:tcPr>
            <w:tcW w:type="dxa" w:w="696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db/model/10-platform.model:502-521</w:t>
            </w:r>
          </w:p>
        </w:tc>
      </w:tr>
      <w:tr>
        <w:trPr>
          <w:cantSplit/>
        </w:trPr>
        <w:tc>
          <w:tcPr>
            <w:tcW w:type="dxa" w:w="10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§8 Outbox والإشعار</w:t>
            </w:r>
          </w:p>
        </w:tc>
        <w:tc>
          <w:tcPr>
            <w:tcW w:type="dxa" w:w="185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FR-PLT-042، FR-NTF-013</w:t>
            </w:r>
          </w:p>
        </w:tc>
        <w:tc>
          <w:tcPr>
            <w:tcW w:type="dxa" w:w="696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db/model/10-platform.model:532-552</w:t>
            </w:r>
          </w:p>
        </w:tc>
      </w:tr>
      <w:tr>
        <w:trPr>
          <w:cantSplit/>
        </w:trPr>
        <w:tc>
          <w:tcPr>
            <w:tcW w:type="dxa" w:w="10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§9</w:t>
            </w:r>
          </w:p>
        </w:tc>
        <w:tc>
          <w:tcPr>
            <w:tcW w:type="dxa" w:w="185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FR-PLT-040، FR-PTY-029، BR-PLT-002، Q-PLT-04</w:t>
            </w:r>
          </w:p>
        </w:tc>
        <w:tc>
          <w:tcPr>
            <w:tcW w:type="dxa" w:w="696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docs/10-detailed-analysis/10-m0-m1-platform-organization.md:616</w:t>
            </w:r>
          </w:p>
        </w:tc>
      </w:tr>
      <w:tr>
        <w:trPr>
          <w:cantSplit/>
        </w:trPr>
        <w:tc>
          <w:tcPr>
            <w:tcW w:type="dxa" w:w="10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DQ-F02-8</w:t>
            </w:r>
          </w:p>
        </w:tc>
        <w:tc>
          <w:tcPr>
            <w:tcW w:type="dxa" w:w="185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DR-25</w:t>
            </w:r>
          </w:p>
        </w:tc>
        <w:tc>
          <w:tcPr>
            <w:tcW w:type="dxa" w:w="696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db/model/11-organization-party.model:26</w:t>
            </w:r>
          </w:p>
        </w:tc>
      </w:tr>
    </w:tbl>
    <w:p>
      <w:pPr>
        <w:bidi/>
        <w:spacing w:after="120" w:before="0"/>
      </w:pPr>
    </w:p>
    <w:sectPr>
      <w:headerReference w:type="default" r:id="rId7"/>
      <w:footerReference w:type="default" r:id="rId8"/>
      <w:pgSz w:w="11906" w:h="16838" w:orient="portrait"/>
      <w:pgMar w:top="1134" w:right="1021" w:bottom="1134" w:left="1021" w:header="500" w:footer="500" w:gutter="0"/>
      <w:pgNumType/>
      <w:bidi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bidi/>
      <w:jc w:val="center"/>
    </w:pPr>
    <w:r>
      <w:rPr>
        <w:rFonts w:ascii="Arial" w:cs="Arial" w:eastAsia="Arial" w:hAnsi="Arial"/>
        <w:color w:val="5B6670"/>
        <w:sz w:val="17"/>
        <w:szCs w:val="17"/>
        <w:rtl/>
      </w:rPr>
      <w:t xml:space="preserve">صفحة </w:t>
    </w:r>
    <w:r>
      <w:rPr>
        <w:rFonts w:ascii="Arial" w:cs="Arial" w:eastAsia="Arial" w:hAnsi="Arial"/>
        <w:color w:val="5B6670"/>
        <w:sz w:val="17"/>
        <w:szCs w:val="17"/>
        <w:rtl/>
      </w:rPr>
      <w:fldChar w:fldCharType="begin"/>
      <w:instrText xml:space="preserve">PAGE</w:instrText>
      <w:fldChar w:fldCharType="separate"/>
      <w:fldChar w:fldCharType="end"/>
    </w:r>
    <w:r>
      <w:rPr>
        <w:rFonts w:ascii="Arial" w:cs="Arial" w:eastAsia="Arial" w:hAnsi="Arial"/>
        <w:color w:val="5B6670"/>
        <w:sz w:val="17"/>
        <w:szCs w:val="17"/>
        <w:rtl/>
      </w:rPr>
      <w:t xml:space="preserve"> من </w:t>
    </w:r>
    <w:r>
      <w:rPr>
        <w:rFonts w:ascii="Arial" w:cs="Arial" w:eastAsia="Arial" w:hAnsi="Arial"/>
        <w:color w:val="5B6670"/>
        <w:sz w:val="17"/>
        <w:szCs w:val="17"/>
        <w:rtl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BFC9D6" w:sz="4" w:space="4"/>
      </w:pBdr>
      <w:bidi/>
      <w:spacing w:after="0"/>
    </w:pPr>
    <w:r>
      <w:rPr>
        <w:rFonts w:ascii="Arial" w:cs="Arial" w:eastAsia="Arial" w:hAnsi="Arial"/>
        <w:color w:val="5B6670"/>
        <w:sz w:val="17"/>
        <w:szCs w:val="17"/>
        <w:rtl/>
      </w:rPr>
      <w:t xml:space="preserve">DOC-F02 · BankFas · مستندات الجاهزية P0 · 0.1 مسودة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74" w:hanging="284"/>
      </w:pPr>
    </w:lvl>
    <w:lvl w:ilvl="1" w15:tentative="1">
      <w:start w:val="1"/>
      <w:numFmt w:val="bullet"/>
      <w:lvlText w:val="–"/>
      <w:lvlJc w:val="left"/>
      <w:pPr>
        <w:ind w:left="1028" w:hanging="284"/>
      </w:pPr>
    </w:lvl>
    <w:lvl w:ilvl="2" w15:tentative="1">
      <w:start w:val="1"/>
      <w:numFmt w:val="bullet"/>
      <w:lvlText w:val="·"/>
      <w:lvlJc w:val="left"/>
      <w:pPr>
        <w:ind w:left="1482" w:hanging="284"/>
      </w:pPr>
    </w:lvl>
    <w:lvl w:ilvl="3" w15:tentative="1">
      <w:start w:val="1"/>
      <w:numFmt w:val="bullet"/>
      <w:lvlText w:val="·"/>
      <w:lvlJc w:val="left"/>
      <w:pPr>
        <w:ind w:left="1936" w:hanging="284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4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  <w:num w:numId="4">
    <w:abstractNumId w:val="4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1"/>
        <w:szCs w:val="21"/>
        <w:rtl/>
        <w:lang w:val="ar-SA" w:bidi="ar-SA"/>
      </w:rPr>
    </w:rPrDefault>
    <w:pPrDefault>
      <w:pPr>
        <w:bidi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next w:val="Normal"/>
    <w:qFormat/>
    <w:pPr>
      <w:bidi/>
      <w:spacing w:after="160" w:before="0"/>
    </w:pPr>
    <w:rPr>
      <w:b/>
      <w:bCs/>
      <w:color w:val="1F3A5F"/>
      <w:sz w:val="48"/>
      <w:szCs w:val="48"/>
    </w:rPr>
  </w:style>
  <w:style w:type="paragraph" w:styleId="Heading1">
    <w:name w:val="heading 1"/>
    <w:basedOn w:val="Normal"/>
    <w:next w:val="Normal"/>
    <w:qFormat/>
    <w:pPr>
      <w:keepNext/>
      <w:pBdr>
        <w:bottom w:val="single" w:color="1F3A5F" w:sz="8" w:space="3"/>
      </w:pBdr>
      <w:bidi/>
      <w:spacing w:after="140" w:before="380"/>
      <w:outlineLvl w:val="0"/>
    </w:pPr>
    <w:rPr>
      <w:b/>
      <w:bCs/>
      <w:color w:val="1F3A5F"/>
      <w:sz w:val="32"/>
      <w:szCs w:val="32"/>
    </w:rPr>
  </w:style>
  <w:style w:type="paragraph" w:styleId="Heading2">
    <w:name w:val="heading 2"/>
    <w:basedOn w:val="Normal"/>
    <w:next w:val="Normal"/>
    <w:qFormat/>
    <w:pPr>
      <w:keepNext/>
      <w:bidi/>
      <w:spacing w:after="100" w:before="260"/>
      <w:outlineLvl w:val="1"/>
    </w:pPr>
    <w:rPr>
      <w:b/>
      <w:bCs/>
      <w:color w:val="2B5C8A"/>
      <w:sz w:val="26"/>
      <w:szCs w:val="26"/>
    </w:rPr>
  </w:style>
  <w:style w:type="paragraph" w:styleId="Heading3">
    <w:name w:val="heading 3"/>
    <w:basedOn w:val="Normal"/>
    <w:next w:val="Normal"/>
    <w:qFormat/>
    <w:pPr>
      <w:keepNext/>
      <w:bidi/>
      <w:spacing w:after="80" w:before="200"/>
      <w:outlineLvl w:val="2"/>
    </w:pPr>
    <w:rPr>
      <w:b/>
      <w:bCs/>
      <w:color w:val="2B5C8A"/>
      <w:sz w:val="23"/>
      <w:szCs w:val="23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4aacc15180b60545c1f08c38716e3d8c0225de17.png"/><Relationship Id="rId10" Type="http://schemas.openxmlformats.org/officeDocument/2006/relationships/image" Target="media/77781265c6f36d73134e8ddd5c553c5e6abbe968.png"/><Relationship Id="rId11" Type="http://schemas.openxmlformats.org/officeDocument/2006/relationships/image" Target="media/423d6859a0059665896a99b19d3c03b583d843e6.png"/><Relationship Id="rId12" Type="http://schemas.openxmlformats.org/officeDocument/2006/relationships/image" Target="media/4dd61323a7c790a6fbb6a5ee822072ac0d27f09a.png"/><Relationship Id="rId13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DOC-F02 — تدفقات البيانات الحساسة (DFD المستوى 1)</dc:title>
  <dc:creator>Claude</dc:creator>
  <dc:description>BankFas database design document</dc:description>
  <cp:lastModifiedBy>Un-named</cp:lastModifiedBy>
  <cp:revision>1</cp:revision>
  <dcterms:created xsi:type="dcterms:W3CDTF">2026-10-20T18:25:31.730Z</dcterms:created>
  <dcterms:modified xsi:type="dcterms:W3CDTF">2026-10-20T18:25:31.730Z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