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DOC-F03 — تسلسل الدخول وMFA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والمكوّنات</w:t>
        </w:r>
      </w:hyperlink>
    </w:p>
    <w:p>
      <w:pPr>
        <w:bidi/>
        <w:spacing w:after="50" w:before="0"/>
        <w:ind w:left="0"/>
      </w:pPr>
      <w:hyperlink w:history="1" w:anchor="_sec3">
        <w:r>
          <w:rPr>
            <w:rFonts w:ascii="Arial" w:cs="Arial" w:eastAsia="Arial" w:hAnsi="Arial"/>
            <w:b/>
            <w:bCs/>
            <w:color w:val="1F3A5F"/>
            <w:sz w:val="20"/>
            <w:szCs w:val="20"/>
            <w:rtl/>
          </w:rPr>
          <w:t xml:space="preserve">3. ما هو موجود وما هو مقترح</w:t>
        </w:r>
      </w:hyperlink>
    </w:p>
    <w:p>
      <w:pPr>
        <w:bidi/>
        <w:spacing w:after="50" w:before="0"/>
        <w:ind w:left="0"/>
      </w:pPr>
      <w:hyperlink w:history="1" w:anchor="_sec4">
        <w:r>
          <w:rPr>
            <w:rFonts w:ascii="Arial" w:cs="Arial" w:eastAsia="Arial" w:hAnsi="Arial"/>
            <w:b/>
            <w:bCs/>
            <w:color w:val="1F3A5F"/>
            <w:sz w:val="20"/>
            <w:szCs w:val="20"/>
            <w:rtl/>
          </w:rPr>
          <w:t xml:space="preserve">4. حل التعارض مع O-9 (20-database-design)</w:t>
        </w:r>
      </w:hyperlink>
    </w:p>
    <w:p>
      <w:pPr>
        <w:bidi/>
        <w:spacing w:after="50" w:before="0"/>
        <w:ind w:left="0"/>
      </w:pPr>
      <w:hyperlink w:history="1" w:anchor="_sec5">
        <w:r>
          <w:rPr>
            <w:rFonts w:ascii="Arial" w:cs="Arial" w:eastAsia="Arial" w:hAnsi="Arial"/>
            <w:b/>
            <w:bCs/>
            <w:color w:val="1F3A5F"/>
            <w:sz w:val="20"/>
            <w:szCs w:val="20"/>
            <w:rtl/>
          </w:rPr>
          <w:t xml:space="preserve">5. تحديد المشترك والدخول بكلمة المرور</w:t>
        </w:r>
      </w:hyperlink>
    </w:p>
    <w:p>
      <w:pPr>
        <w:bidi/>
        <w:spacing w:after="50" w:before="0"/>
        <w:ind w:left="0"/>
      </w:pPr>
      <w:hyperlink w:history="1" w:anchor="_sec9">
        <w:r>
          <w:rPr>
            <w:rFonts w:ascii="Arial" w:cs="Arial" w:eastAsia="Arial" w:hAnsi="Arial"/>
            <w:b/>
            <w:bCs/>
            <w:color w:val="1F3A5F"/>
            <w:sz w:val="20"/>
            <w:szCs w:val="20"/>
            <w:rtl/>
          </w:rPr>
          <w:t xml:space="preserve">6. خطوة MFA وإصدار الجلسة</w:t>
        </w:r>
      </w:hyperlink>
    </w:p>
    <w:p>
      <w:pPr>
        <w:bidi/>
        <w:spacing w:after="50" w:before="0"/>
        <w:ind w:left="0"/>
      </w:pPr>
      <w:hyperlink w:history="1" w:anchor="_sec13">
        <w:r>
          <w:rPr>
            <w:rFonts w:ascii="Arial" w:cs="Arial" w:eastAsia="Arial" w:hAnsi="Arial"/>
            <w:b/>
            <w:bCs/>
            <w:color w:val="1F3A5F"/>
            <w:sz w:val="20"/>
            <w:szCs w:val="20"/>
            <w:rtl/>
          </w:rPr>
          <w:t xml:space="preserve">7. الخروج وانتهاء الجلسة</w:t>
        </w:r>
      </w:hyperlink>
    </w:p>
    <w:p>
      <w:pPr>
        <w:bidi/>
        <w:spacing w:after="50" w:before="0"/>
        <w:ind w:left="0"/>
      </w:pPr>
      <w:hyperlink w:history="1" w:anchor="_sec14">
        <w:r>
          <w:rPr>
            <w:rFonts w:ascii="Arial" w:cs="Arial" w:eastAsia="Arial" w:hAnsi="Arial"/>
            <w:b/>
            <w:bCs/>
            <w:color w:val="1F3A5F"/>
            <w:sz w:val="20"/>
            <w:szCs w:val="20"/>
            <w:rtl/>
          </w:rPr>
          <w:t xml:space="preserve">8. الدعوة (48 ساعة)</w:t>
        </w:r>
      </w:hyperlink>
    </w:p>
    <w:p>
      <w:pPr>
        <w:bidi/>
        <w:spacing w:after="50" w:before="0"/>
        <w:ind w:left="0"/>
      </w:pPr>
      <w:hyperlink w:history="1" w:anchor="_sec15">
        <w:r>
          <w:rPr>
            <w:rFonts w:ascii="Arial" w:cs="Arial" w:eastAsia="Arial" w:hAnsi="Arial"/>
            <w:b/>
            <w:bCs/>
            <w:color w:val="1F3A5F"/>
            <w:sz w:val="20"/>
            <w:szCs w:val="20"/>
            <w:rtl/>
          </w:rPr>
          <w:t xml:space="preserve">9. إعادة تعيين كلمة المرور (30 دقيقة)</w:t>
        </w:r>
      </w:hyperlink>
    </w:p>
    <w:p>
      <w:pPr>
        <w:bidi/>
        <w:spacing w:after="50" w:before="0"/>
        <w:ind w:left="0"/>
      </w:pPr>
      <w:hyperlink w:history="1" w:anchor="_sec16">
        <w:r>
          <w:rPr>
            <w:rFonts w:ascii="Arial" w:cs="Arial" w:eastAsia="Arial" w:hAnsi="Arial"/>
            <w:b/>
            <w:bCs/>
            <w:color w:val="1F3A5F"/>
            <w:sz w:val="20"/>
            <w:szCs w:val="20"/>
            <w:rtl/>
          </w:rPr>
          <w:t xml:space="preserve">10. فقدان جهاز MFA وإعادة التسجيل</w:t>
        </w:r>
      </w:hyperlink>
    </w:p>
    <w:p>
      <w:pPr>
        <w:bidi/>
        <w:spacing w:after="50" w:before="0"/>
        <w:ind w:left="0"/>
      </w:pPr>
      <w:hyperlink w:history="1" w:anchor="_sec17">
        <w:r>
          <w:rPr>
            <w:rFonts w:ascii="Arial" w:cs="Arial" w:eastAsia="Arial" w:hAnsi="Arial"/>
            <w:b/>
            <w:bCs/>
            <w:color w:val="1F3A5F"/>
            <w:sz w:val="20"/>
            <w:szCs w:val="20"/>
            <w:rtl/>
          </w:rPr>
          <w:t xml:space="preserve">11. إعادة المصادقة قبل التصدير الحساس</w:t>
        </w:r>
      </w:hyperlink>
    </w:p>
    <w:p>
      <w:pPr>
        <w:bidi/>
        <w:spacing w:after="50" w:before="0"/>
        <w:ind w:left="0"/>
      </w:pPr>
      <w:hyperlink w:history="1" w:anchor="_sec18">
        <w:r>
          <w:rPr>
            <w:rFonts w:ascii="Arial" w:cs="Arial" w:eastAsia="Arial" w:hAnsi="Arial"/>
            <w:b/>
            <w:bCs/>
            <w:color w:val="1F3A5F"/>
            <w:sz w:val="20"/>
            <w:szCs w:val="20"/>
            <w:rtl/>
          </w:rPr>
          <w:t xml:space="preserve">12. ما يُسمح به قبل المصادقة</w:t>
        </w:r>
      </w:hyperlink>
    </w:p>
    <w:p>
      <w:pPr>
        <w:bidi/>
        <w:spacing w:after="50" w:before="0"/>
        <w:ind w:left="0"/>
      </w:pPr>
      <w:hyperlink w:history="1" w:anchor="_sec19">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1"/>
        <w:bidi/>
      </w:pPr>
      <w:bookmarkStart w:name="_sec2" w:id="2"/>
      <w:r>
        <w:rPr>
          <w:rFonts w:ascii="Arial" w:cs="Arial" w:eastAsia="Arial" w:hAnsi="Arial"/>
          <w:b/>
          <w:bCs/>
          <w:color w:val="1F3A5F"/>
          <w:sz w:val="32"/>
          <w:szCs w:val="32"/>
          <w:rtl/>
        </w:rPr>
        <w:t xml:space="preserve">2. الفاعلون والمكوّنات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1"/>
        <w:bidi/>
      </w:pPr>
      <w:bookmarkStart w:name="_sec3" w:id="3"/>
      <w:r>
        <w:rPr>
          <w:rFonts w:ascii="Arial" w:cs="Arial" w:eastAsia="Arial" w:hAnsi="Arial"/>
          <w:b/>
          <w:bCs/>
          <w:color w:val="1F3A5F"/>
          <w:sz w:val="32"/>
          <w:szCs w:val="32"/>
          <w:rtl/>
        </w:rPr>
        <w:t xml:space="preserve">3. ما هو موجود وما هو مقترح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حل التعارض مع O-9 (20-database-design)</w:t>
      </w:r>
      <w:bookmarkEnd w:id="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3"/>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3"/>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1"/>
        <w:bidi/>
      </w:pPr>
      <w:bookmarkStart w:name="_sec5" w:id="5"/>
      <w:r>
        <w:rPr>
          <w:rFonts w:ascii="Arial" w:cs="Arial" w:eastAsia="Arial" w:hAnsi="Arial"/>
          <w:b/>
          <w:bCs/>
          <w:color w:val="1F3A5F"/>
          <w:sz w:val="32"/>
          <w:szCs w:val="32"/>
          <w:rtl/>
        </w:rPr>
        <w:t xml:space="preserve">5. تحديد المشترك والدخول بكلمة المرور</w:t>
      </w:r>
      <w:bookmarkEnd w:id="5"/>
    </w:p>
    <w:p>
      <w:pPr>
        <w:pStyle w:val="Heading2"/>
        <w:bidi/>
      </w:pPr>
      <w:bookmarkStart w:name="_sec6" w:id="6"/>
      <w:r>
        <w:rPr>
          <w:rFonts w:ascii="Arial" w:cs="Arial" w:eastAsia="Arial" w:hAnsi="Arial"/>
          <w:b/>
          <w:bCs/>
          <w:color w:val="2B5C8A"/>
          <w:sz w:val="26"/>
          <w:szCs w:val="26"/>
          <w:rtl/>
        </w:rPr>
        <w:t xml:space="preserve">5.1 التسلسل</w:t>
      </w:r>
      <w:bookmarkEnd w:id="6"/>
    </w:p>
    <w:p>
      <w:pPr>
        <w:keepNext/>
        <w:bidi/>
        <w:spacing w:after="60" w:before="160"/>
        <w:jc w:val="center"/>
      </w:pPr>
      <w:r>
        <w:drawing>
          <wp:inline distT="0" distB="0" distL="0" distR="0">
            <wp:extent cx="6096000" cy="58674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867400"/>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5.2 قواعد الخطوات</w:t>
      </w:r>
      <w:bookmarkEnd w:id="7"/>
    </w:p>
    <w:p>
      <w:pPr>
        <w:pStyle w:val="ListParagraph"/>
        <w:numPr>
          <w:ilvl w:val="0"/>
          <w:numId w:val="4"/>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4"/>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4"/>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4"/>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4"/>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4"/>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4"/>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2"/>
        <w:bidi/>
      </w:pPr>
      <w:bookmarkStart w:name="_sec8" w:id="8"/>
      <w:r>
        <w:rPr>
          <w:rFonts w:ascii="Arial" w:cs="Arial" w:eastAsia="Arial" w:hAnsi="Arial"/>
          <w:b/>
          <w:bCs/>
          <w:color w:val="2B5C8A"/>
          <w:sz w:val="26"/>
          <w:szCs w:val="26"/>
          <w:rtl/>
        </w:rPr>
        <w:t xml:space="preserve">5.3 منطق sec.usp_StartSession كما هو منفّذ</w:t>
      </w:r>
      <w:bookmarkEnd w:id="8"/>
    </w:p>
    <w:p>
      <w:pPr>
        <w:keepNext/>
        <w:bidi/>
        <w:spacing w:after="60" w:before="160"/>
        <w:jc w:val="center"/>
      </w:pPr>
      <w:r>
        <w:drawing>
          <wp:inline distT="0" distB="0" distL="0" distR="0">
            <wp:extent cx="46005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1"/>
        <w:bidi/>
      </w:pPr>
      <w:bookmarkStart w:name="_sec9" w:id="9"/>
      <w:r>
        <w:rPr>
          <w:rFonts w:ascii="Arial" w:cs="Arial" w:eastAsia="Arial" w:hAnsi="Arial"/>
          <w:b/>
          <w:bCs/>
          <w:color w:val="1F3A5F"/>
          <w:sz w:val="32"/>
          <w:szCs w:val="32"/>
          <w:rtl/>
        </w:rPr>
        <w:t xml:space="preserve">6. خطوة MFA وإصدار الجلسة</w:t>
      </w:r>
      <w:bookmarkEnd w:id="9"/>
    </w:p>
    <w:p>
      <w:pPr>
        <w:pStyle w:val="Heading2"/>
        <w:bidi/>
      </w:pPr>
      <w:bookmarkStart w:name="_sec10" w:id="10"/>
      <w:r>
        <w:rPr>
          <w:rFonts w:ascii="Arial" w:cs="Arial" w:eastAsia="Arial" w:hAnsi="Arial"/>
          <w:b/>
          <w:bCs/>
          <w:color w:val="2B5C8A"/>
          <w:sz w:val="26"/>
          <w:szCs w:val="26"/>
          <w:rtl/>
        </w:rPr>
        <w:t xml:space="preserve">6.1 التسلسل</w:t>
      </w:r>
      <w:bookmarkEnd w:id="10"/>
    </w:p>
    <w:p>
      <w:pPr>
        <w:keepNext/>
        <w:bidi/>
        <w:spacing w:after="60" w:before="160"/>
        <w:jc w:val="center"/>
      </w:pPr>
      <w:r>
        <w:drawing>
          <wp:inline distT="0" distB="0" distL="0" distR="0">
            <wp:extent cx="6096000" cy="59340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934075"/>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6.2 قواعد الخطوة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2"/>
        <w:bidi/>
      </w:pPr>
      <w:bookmarkStart w:name="_sec12" w:id="12"/>
      <w:r>
        <w:rPr>
          <w:rFonts w:ascii="Arial" w:cs="Arial" w:eastAsia="Arial" w:hAnsi="Arial"/>
          <w:b/>
          <w:bCs/>
          <w:color w:val="2B5C8A"/>
          <w:sz w:val="26"/>
          <w:szCs w:val="26"/>
          <w:rtl/>
        </w:rPr>
        <w:t xml:space="preserve">6.3 الجلسة المصدرة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7. الخروج وانتهاء الجلسة</w:t>
      </w:r>
      <w:bookmarkEnd w:id="13"/>
    </w:p>
    <w:p>
      <w:pPr>
        <w:keepNext/>
        <w:bidi/>
        <w:spacing w:after="60" w:before="160"/>
        <w:jc w:val="center"/>
      </w:pPr>
      <w:r>
        <w:drawing>
          <wp:inline distT="0" distB="0" distL="0" distR="0">
            <wp:extent cx="6096000" cy="28194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1"/>
        <w:bidi/>
      </w:pPr>
      <w:bookmarkStart w:name="_sec14" w:id="14"/>
      <w:r>
        <w:rPr>
          <w:rFonts w:ascii="Arial" w:cs="Arial" w:eastAsia="Arial" w:hAnsi="Arial"/>
          <w:b/>
          <w:bCs/>
          <w:color w:val="1F3A5F"/>
          <w:sz w:val="32"/>
          <w:szCs w:val="32"/>
          <w:rtl/>
        </w:rPr>
        <w:t xml:space="preserve">8. الدعوة (48 ساعة)</w:t>
      </w:r>
      <w:bookmarkEnd w:id="14"/>
    </w:p>
    <w:p>
      <w:pPr>
        <w:keepNext/>
        <w:bidi/>
        <w:spacing w:after="60" w:before="160"/>
        <w:jc w:val="center"/>
      </w:pPr>
      <w:r>
        <w:drawing>
          <wp:inline distT="0" distB="0" distL="0" distR="0">
            <wp:extent cx="6096000" cy="379095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9. إعادة تعيين كلمة المرور (30 دقيقة)</w:t>
      </w:r>
      <w:bookmarkEnd w:id="15"/>
    </w:p>
    <w:p>
      <w:pPr>
        <w:keepNext/>
        <w:bidi/>
        <w:spacing w:after="60" w:before="160"/>
        <w:jc w:val="center"/>
      </w:pPr>
      <w:r>
        <w:drawing>
          <wp:inline distT="0" distB="0" distL="0" distR="0">
            <wp:extent cx="6096000" cy="429577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1"/>
        <w:bidi/>
      </w:pPr>
      <w:bookmarkStart w:name="_sec16" w:id="16"/>
      <w:r>
        <w:rPr>
          <w:rFonts w:ascii="Arial" w:cs="Arial" w:eastAsia="Arial" w:hAnsi="Arial"/>
          <w:b/>
          <w:bCs/>
          <w:color w:val="1F3A5F"/>
          <w:sz w:val="32"/>
          <w:szCs w:val="32"/>
          <w:rtl/>
        </w:rPr>
        <w:t xml:space="preserve">10. فقدان جهاز MFA وإعادة التسجيل</w:t>
      </w:r>
      <w:bookmarkEnd w:id="16"/>
    </w:p>
    <w:p>
      <w:pPr>
        <w:keepNext/>
        <w:bidi/>
        <w:spacing w:after="60" w:before="160"/>
        <w:jc w:val="center"/>
      </w:pPr>
      <w:r>
        <w:drawing>
          <wp:inline distT="0" distB="0" distL="0" distR="0">
            <wp:extent cx="6096000" cy="32766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1"/>
        <w:bidi/>
      </w:pPr>
      <w:bookmarkStart w:name="_sec17" w:id="17"/>
      <w:r>
        <w:rPr>
          <w:rFonts w:ascii="Arial" w:cs="Arial" w:eastAsia="Arial" w:hAnsi="Arial"/>
          <w:b/>
          <w:bCs/>
          <w:color w:val="1F3A5F"/>
          <w:sz w:val="32"/>
          <w:szCs w:val="32"/>
          <w:rtl/>
        </w:rPr>
        <w:t xml:space="preserve">11. إعادة المصادقة قبل التصدير الحساس</w:t>
      </w:r>
      <w:bookmarkEnd w:id="17"/>
    </w:p>
    <w:p>
      <w:pPr>
        <w:keepNext/>
        <w:bidi/>
        <w:spacing w:after="60" w:before="160"/>
        <w:jc w:val="center"/>
      </w:pPr>
      <w:r>
        <w:drawing>
          <wp:inline distT="0" distB="0" distL="0" distR="0">
            <wp:extent cx="6096000" cy="4467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1"/>
        <w:bidi/>
      </w:pPr>
      <w:bookmarkStart w:name="_sec18" w:id="18"/>
      <w:r>
        <w:rPr>
          <w:rFonts w:ascii="Arial" w:cs="Arial" w:eastAsia="Arial" w:hAnsi="Arial"/>
          <w:b/>
          <w:bCs/>
          <w:color w:val="1F3A5F"/>
          <w:sz w:val="32"/>
          <w:szCs w:val="32"/>
          <w:rtl/>
        </w:rPr>
        <w:t xml:space="preserve">12. ما يُسمح به قبل المصادقة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1"/>
        <w:bidi/>
      </w:pPr>
      <w:bookmarkStart w:name="_sec19" w:id="19"/>
      <w:r>
        <w:rPr>
          <w:rFonts w:ascii="Arial" w:cs="Arial" w:eastAsia="Arial" w:hAnsi="Arial"/>
          <w:b/>
          <w:bCs/>
          <w:color w:val="1F3A5F"/>
          <w:sz w:val="32"/>
          <w:szCs w:val="32"/>
          <w:rtl/>
        </w:rPr>
        <w:t xml:space="preserve">13.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14. تعارضات وفجوات في المصادر</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15.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3c1caf93d070e983bd59bf77d01462873372b1.png"/><Relationship Id="rId10" Type="http://schemas.openxmlformats.org/officeDocument/2006/relationships/image" Target="media/f39c206e397256e54a7bf7b8c82cd2dda262758c.png"/><Relationship Id="rId11" Type="http://schemas.openxmlformats.org/officeDocument/2006/relationships/image" Target="media/06df04cd7edcfbda579873b664f7a22e30251b11.png"/><Relationship Id="rId12" Type="http://schemas.openxmlformats.org/officeDocument/2006/relationships/image" Target="media/5e99eaefe25c11a560fc71578c63f8712cd6affb.png"/><Relationship Id="rId13" Type="http://schemas.openxmlformats.org/officeDocument/2006/relationships/image" Target="media/16d201c245a872733cf5a89f2845fbd1fe2d953a.png"/><Relationship Id="rId14" Type="http://schemas.openxmlformats.org/officeDocument/2006/relationships/image" Target="media/11d09e95fdd8ce8519f181dbb5c9734c31f18999.png"/><Relationship Id="rId15" Type="http://schemas.openxmlformats.org/officeDocument/2006/relationships/image" Target="media/ebb9614d653596e01fff1923bfac79926e5e8021.png"/><Relationship Id="rId16" Type="http://schemas.openxmlformats.org/officeDocument/2006/relationships/image" Target="media/3769af6462153a0ab7b9a11a0d0210bb75a9135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DOC-F03 — تسلسل الدخول وMFA والاسترداد</dc:title>
  <dc:creator>Claude</dc:creator>
  <dc:description>BankFas database design document</dc:description>
  <cp:lastModifiedBy>Un-named</cp:lastModifiedBy>
  <cp:revision>1</cp:revision>
  <dcterms:created xsi:type="dcterms:W3CDTF">2026-10-20T18:25:54.448Z</dcterms:created>
  <dcterms:modified xsi:type="dcterms:W3CDTF">2026-10-20T18:25:54.448Z</dcterms:modified>
</cp:coreProperties>
</file>

<file path=docProps/custom.xml><?xml version="1.0" encoding="utf-8"?>
<Properties xmlns="http://schemas.openxmlformats.org/officeDocument/2006/custom-properties" xmlns:vt="http://schemas.openxmlformats.org/officeDocument/2006/docPropsVTypes"/>
</file>