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pPr>
      <w:r>
        <w:rPr>
          <w:rFonts w:ascii="Arial" w:cs="Arial" w:eastAsia="Arial" w:hAnsi="Arial"/>
          <w:b/>
          <w:bCs/>
          <w:color w:val="1F3A5F"/>
          <w:sz w:val="48"/>
          <w:szCs w:val="48"/>
          <w:rtl/>
        </w:rPr>
        <w:t xml:space="preserve">DOC-S15 — إجراء الاستجابة للحوادث الأمنية وإخطار خرق البيانات</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8704"/>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DOC-S15 (docs/30-readiness-documents.md)</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الأمن (SEC في DOC-B09) مع المستشار القانوني ومسؤول حماية البيانات (LEG)</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P2 قبل الإطلاق</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R4 وR5 (01)، X-AUD-4، صف الخصوصية في 10-m0-m1 §12، BR-PLT-009، BR-PLT-015، O-18 وO-24 (erd_open_items)، O-12 (20-database-design)، DOC-S07 §11، DQ-S07-7، DQ-S07-10</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DOC-S12 (الكشف والسجلات)، DOC-S09 (التعافي)، DOC-S02 (المفاتيح)، DOC-S08 (الوصول الطارئ)، DOC-S07 (الأدوار والإخطار)، DOC-S10 (الخادم)، DOC-S01 (التهديدات)، DOC-B09 (الأدوار)</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docs/01-preliminary-analysis.md، docs/10-detailed-analysis/10-m0-m1-platform-organization.md، docs/10-detailed-analysis/00-overview-and-cross-cutting.md، docs/04-facility-agreements-analysis.md، docs/adr/0002-login-and-session-bound-context.md، db/static/030_session_context.sql، db/model/10-platform.model، tools/dbgen/erd_open_items.py، docs/20-database-design.md، docs/30-readiness/DOC-S01، DOC-S02، DOC-S07، DOC-S08، DOC-S09، DOC-S12</w:t>
            </w:r>
          </w:p>
        </w:tc>
      </w:tr>
    </w:tbl>
    <w:p>
      <w:pPr>
        <w:bidi/>
        <w:spacing w:after="120" w:before="0"/>
      </w:pPr>
    </w:p>
    <w:p>
      <w:pPr>
        <w:pBdr>
          <w:bottom w:val="single" w:color="1F3A5F" w:sz="8" w:space="4"/>
        </w:pBdr>
        <w:bidi/>
        <w:spacing w:after="100" w:before="280"/>
      </w:pPr>
      <w:r>
        <w:rPr>
          <w:rFonts w:ascii="Arial" w:cs="Arial" w:eastAsia="Arial" w:hAnsi="Arial"/>
          <w:b/>
          <w:bCs/>
          <w:color w:val="1F3A5F"/>
          <w:sz w:val="32"/>
          <w:szCs w:val="32"/>
          <w:rtl/>
        </w:rPr>
        <w:t xml:space="preserve">المحتويات</w:t>
      </w:r>
    </w:p>
    <w:p>
      <w:pPr>
        <w:bidi/>
        <w:spacing w:after="50" w:before="0"/>
        <w:ind w:left="0"/>
      </w:pPr>
      <w:hyperlink w:history="1" w:anchor="_sec1">
        <w:r>
          <w:rPr>
            <w:rFonts w:ascii="Arial" w:cs="Arial" w:eastAsia="Arial" w:hAnsi="Arial"/>
            <w:b/>
            <w:bCs/>
            <w:color w:val="1F3A5F"/>
            <w:sz w:val="20"/>
            <w:szCs w:val="20"/>
            <w:rtl/>
          </w:rPr>
          <w:t xml:space="preserve">1. الغرض والنطاق</w:t>
        </w:r>
      </w:hyperlink>
    </w:p>
    <w:p>
      <w:pPr>
        <w:bidi/>
        <w:spacing w:after="50" w:before="0"/>
        <w:ind w:left="0"/>
      </w:pPr>
      <w:hyperlink w:history="1" w:anchor="_sec2">
        <w:r>
          <w:rPr>
            <w:rFonts w:ascii="Arial" w:cs="Arial" w:eastAsia="Arial" w:hAnsi="Arial"/>
            <w:b/>
            <w:bCs/>
            <w:color w:val="1F3A5F"/>
            <w:sz w:val="20"/>
            <w:szCs w:val="20"/>
            <w:rtl/>
          </w:rPr>
          <w:t xml:space="preserve">2. الوضع اليوم</w:t>
        </w:r>
      </w:hyperlink>
    </w:p>
    <w:p>
      <w:pPr>
        <w:bidi/>
        <w:spacing w:after="50" w:before="0"/>
        <w:ind w:left="0"/>
      </w:pPr>
      <w:hyperlink w:history="1" w:anchor="_sec3">
        <w:r>
          <w:rPr>
            <w:rFonts w:ascii="Arial" w:cs="Arial" w:eastAsia="Arial" w:hAnsi="Arial"/>
            <w:b/>
            <w:bCs/>
            <w:color w:val="1F3A5F"/>
            <w:sz w:val="20"/>
            <w:szCs w:val="20"/>
            <w:rtl/>
          </w:rPr>
          <w:t xml:space="preserve">3. فئات الحوادث</w:t>
        </w:r>
      </w:hyperlink>
    </w:p>
    <w:p>
      <w:pPr>
        <w:bidi/>
        <w:spacing w:after="50" w:before="0"/>
        <w:ind w:left="0"/>
      </w:pPr>
      <w:hyperlink w:history="1" w:anchor="_sec4">
        <w:r>
          <w:rPr>
            <w:rFonts w:ascii="Arial" w:cs="Arial" w:eastAsia="Arial" w:hAnsi="Arial"/>
            <w:b/>
            <w:bCs/>
            <w:color w:val="1F3A5F"/>
            <w:sz w:val="20"/>
            <w:szCs w:val="20"/>
            <w:rtl/>
          </w:rPr>
          <w:t xml:space="preserve">4. مستويات الشدة</w:t>
        </w:r>
      </w:hyperlink>
    </w:p>
    <w:p>
      <w:pPr>
        <w:bidi/>
        <w:spacing w:after="50" w:before="0"/>
        <w:ind w:left="0"/>
      </w:pPr>
      <w:hyperlink w:history="1" w:anchor="_sec5">
        <w:r>
          <w:rPr>
            <w:rFonts w:ascii="Arial" w:cs="Arial" w:eastAsia="Arial" w:hAnsi="Arial"/>
            <w:b/>
            <w:bCs/>
            <w:color w:val="1F3A5F"/>
            <w:sz w:val="20"/>
            <w:szCs w:val="20"/>
            <w:rtl/>
          </w:rPr>
          <w:t xml:space="preserve">5. الأدوار</w:t>
        </w:r>
      </w:hyperlink>
    </w:p>
    <w:p>
      <w:pPr>
        <w:bidi/>
        <w:spacing w:after="50" w:before="0"/>
        <w:ind w:left="0"/>
      </w:pPr>
      <w:hyperlink w:history="1" w:anchor="_sec6">
        <w:r>
          <w:rPr>
            <w:rFonts w:ascii="Arial" w:cs="Arial" w:eastAsia="Arial" w:hAnsi="Arial"/>
            <w:b/>
            <w:bCs/>
            <w:color w:val="1F3A5F"/>
            <w:sz w:val="20"/>
            <w:szCs w:val="20"/>
            <w:rtl/>
          </w:rPr>
          <w:t xml:space="preserve">6. مصادر الكشف</w:t>
        </w:r>
      </w:hyperlink>
    </w:p>
    <w:p>
      <w:pPr>
        <w:bidi/>
        <w:spacing w:after="50" w:before="0"/>
        <w:ind w:left="0"/>
      </w:pPr>
      <w:hyperlink w:history="1" w:anchor="_sec7">
        <w:r>
          <w:rPr>
            <w:rFonts w:ascii="Arial" w:cs="Arial" w:eastAsia="Arial" w:hAnsi="Arial"/>
            <w:b/>
            <w:bCs/>
            <w:color w:val="1F3A5F"/>
            <w:sz w:val="20"/>
            <w:szCs w:val="20"/>
            <w:rtl/>
          </w:rPr>
          <w:t xml:space="preserve">7. دورة الاستجابة</w:t>
        </w:r>
      </w:hyperlink>
    </w:p>
    <w:p>
      <w:pPr>
        <w:bidi/>
        <w:spacing w:after="50" w:before="0"/>
        <w:ind w:left="0"/>
      </w:pPr>
      <w:hyperlink w:history="1" w:anchor="_sec8">
        <w:r>
          <w:rPr>
            <w:rFonts w:ascii="Arial" w:cs="Arial" w:eastAsia="Arial" w:hAnsi="Arial"/>
            <w:b/>
            <w:bCs/>
            <w:color w:val="1F3A5F"/>
            <w:sz w:val="20"/>
            <w:szCs w:val="20"/>
            <w:rtl/>
          </w:rPr>
          <w:t xml:space="preserve">8. الاحتواء للسيناريوهات الرئيسية</w:t>
        </w:r>
      </w:hyperlink>
    </w:p>
    <w:p>
      <w:pPr>
        <w:bidi/>
        <w:spacing w:after="50" w:before="0"/>
        <w:ind w:left="0"/>
      </w:pPr>
      <w:hyperlink w:history="1" w:anchor="_sec14">
        <w:r>
          <w:rPr>
            <w:rFonts w:ascii="Arial" w:cs="Arial" w:eastAsia="Arial" w:hAnsi="Arial"/>
            <w:b/>
            <w:bCs/>
            <w:color w:val="1F3A5F"/>
            <w:sz w:val="20"/>
            <w:szCs w:val="20"/>
            <w:rtl/>
          </w:rPr>
          <w:t xml:space="preserve">9. حفظ الأدلة</w:t>
        </w:r>
      </w:hyperlink>
    </w:p>
    <w:p>
      <w:pPr>
        <w:bidi/>
        <w:spacing w:after="50" w:before="0"/>
        <w:ind w:left="0"/>
      </w:pPr>
      <w:hyperlink w:history="1" w:anchor="_sec15">
        <w:r>
          <w:rPr>
            <w:rFonts w:ascii="Arial" w:cs="Arial" w:eastAsia="Arial" w:hAnsi="Arial"/>
            <w:b/>
            <w:bCs/>
            <w:color w:val="1F3A5F"/>
            <w:sz w:val="20"/>
            <w:szCs w:val="20"/>
            <w:rtl/>
          </w:rPr>
          <w:t xml:space="preserve">10. الإخطار</w:t>
        </w:r>
      </w:hyperlink>
    </w:p>
    <w:p>
      <w:pPr>
        <w:bidi/>
        <w:spacing w:after="50" w:before="0"/>
        <w:ind w:left="0"/>
      </w:pPr>
      <w:hyperlink w:history="1" w:anchor="_sec21">
        <w:r>
          <w:rPr>
            <w:rFonts w:ascii="Arial" w:cs="Arial" w:eastAsia="Arial" w:hAnsi="Arial"/>
            <w:b/>
            <w:bCs/>
            <w:color w:val="1F3A5F"/>
            <w:sz w:val="20"/>
            <w:szCs w:val="20"/>
            <w:rtl/>
          </w:rPr>
          <w:t xml:space="preserve">11. التواصل أثناء الحادث</w:t>
        </w:r>
      </w:hyperlink>
    </w:p>
    <w:p>
      <w:pPr>
        <w:bidi/>
        <w:spacing w:after="50" w:before="0"/>
        <w:ind w:left="0"/>
      </w:pPr>
      <w:hyperlink w:history="1" w:anchor="_sec22">
        <w:r>
          <w:rPr>
            <w:rFonts w:ascii="Arial" w:cs="Arial" w:eastAsia="Arial" w:hAnsi="Arial"/>
            <w:b/>
            <w:bCs/>
            <w:color w:val="1F3A5F"/>
            <w:sz w:val="20"/>
            <w:szCs w:val="20"/>
            <w:rtl/>
          </w:rPr>
          <w:t xml:space="preserve">12. ما بعد الحادث</w:t>
        </w:r>
      </w:hyperlink>
    </w:p>
    <w:p>
      <w:pPr>
        <w:bidi/>
        <w:spacing w:after="50" w:before="0"/>
        <w:ind w:left="0"/>
      </w:pPr>
      <w:hyperlink w:history="1" w:anchor="_sec23">
        <w:r>
          <w:rPr>
            <w:rFonts w:ascii="Arial" w:cs="Arial" w:eastAsia="Arial" w:hAnsi="Arial"/>
            <w:b/>
            <w:bCs/>
            <w:color w:val="1F3A5F"/>
            <w:sz w:val="20"/>
            <w:szCs w:val="20"/>
            <w:rtl/>
          </w:rPr>
          <w:t xml:space="preserve">13. التمارين</w:t>
        </w:r>
      </w:hyperlink>
    </w:p>
    <w:p>
      <w:pPr>
        <w:bidi/>
        <w:spacing w:after="50" w:before="0"/>
        <w:ind w:left="0"/>
      </w:pPr>
      <w:hyperlink w:history="1" w:anchor="_sec24">
        <w:r>
          <w:rPr>
            <w:rFonts w:ascii="Arial" w:cs="Arial" w:eastAsia="Arial" w:hAnsi="Arial"/>
            <w:b/>
            <w:bCs/>
            <w:color w:val="1F3A5F"/>
            <w:sz w:val="20"/>
            <w:szCs w:val="20"/>
            <w:rtl/>
          </w:rPr>
          <w:t xml:space="preserve">14. القرارات المطلوبة</w:t>
        </w:r>
      </w:hyperlink>
    </w:p>
    <w:p>
      <w:pPr>
        <w:bidi/>
        <w:spacing w:after="50" w:before="0"/>
        <w:ind w:left="0"/>
      </w:pPr>
      <w:hyperlink w:history="1" w:anchor="_sec25">
        <w:r>
          <w:rPr>
            <w:rFonts w:ascii="Arial" w:cs="Arial" w:eastAsia="Arial" w:hAnsi="Arial"/>
            <w:b/>
            <w:bCs/>
            <w:color w:val="1F3A5F"/>
            <w:sz w:val="20"/>
            <w:szCs w:val="20"/>
            <w:rtl/>
          </w:rPr>
          <w:t xml:space="preserve">15. تعارضات وفجوات في المصادر</w:t>
        </w:r>
      </w:hyperlink>
    </w:p>
    <w:p>
      <w:pPr>
        <w:bidi/>
        <w:spacing w:after="50" w:before="0"/>
        <w:ind w:left="0"/>
      </w:pPr>
      <w:hyperlink w:history="1" w:anchor="_sec26">
        <w:r>
          <w:rPr>
            <w:rFonts w:ascii="Arial" w:cs="Arial" w:eastAsia="Arial" w:hAnsi="Arial"/>
            <w:b/>
            <w:bCs/>
            <w:color w:val="1F3A5F"/>
            <w:sz w:val="20"/>
            <w:szCs w:val="20"/>
            <w:rtl/>
          </w:rPr>
          <w:t xml:space="preserve">16. التتبع</w:t>
        </w:r>
      </w:hyperlink>
    </w:p>
    <w:p>
      <w:r>
        <w:br w:type="page"/>
      </w:r>
    </w:p>
    <w:p>
      <w:pPr>
        <w:bidi/>
        <w:spacing w:after="110" w:before="0" w:line="312"/>
      </w:pPr>
      <w:r>
        <w:rPr>
          <w:rFonts w:ascii="Arial" w:cs="Arial" w:eastAsia="Arial" w:hAnsi="Arial"/>
          <w:b/>
          <w:bCs/>
          <w:sz w:val="21"/>
          <w:szCs w:val="21"/>
          <w:rtl/>
        </w:rPr>
        <w:t xml:space="preserve">الوسوم:</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قائم في المستودع أو مقرَّر ·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مقترح ينتظر القرار.</w:t>
      </w:r>
    </w:p>
    <w:p>
      <w:pPr>
        <w:bidi/>
        <w:spacing w:after="110" w:before="0" w:line="312"/>
      </w:pPr>
      <w:r>
        <w:rPr>
          <w:rFonts w:ascii="Arial" w:cs="Arial" w:eastAsia="Arial" w:hAnsi="Arial"/>
          <w:b/>
          <w:bCs/>
          <w:sz w:val="21"/>
          <w:szCs w:val="21"/>
          <w:rtl/>
        </w:rPr>
        <w:t xml:space="preserve">المصطلح.</w:t>
      </w:r>
      <w:r>
        <w:rPr>
          <w:rFonts w:ascii="Arial" w:cs="Arial" w:eastAsia="Arial" w:hAnsi="Arial"/>
          <w:b w:val="false"/>
          <w:bCs w:val="false"/>
          <w:sz w:val="21"/>
          <w:szCs w:val="21"/>
          <w:rtl/>
        </w:rPr>
        <w:t xml:space="preserve"> «خرق البيانات» هنا وصول أو كشف أو فقد أو تعديل غير مأذون لبيانات شخصية أو مقيّدة. وهو غير «خرق التعهد» في الالتزامات المالية (</w:t>
      </w:r>
      <w:r>
        <w:rPr>
          <w:rFonts w:ascii="Courier New" w:cs="Courier New" w:eastAsia="Courier New" w:hAnsi="Courier New"/>
          <w:b w:val="false"/>
          <w:bCs w:val="false"/>
          <w:color w:val="1F2937"/>
          <w:sz w:val="18"/>
          <w:szCs w:val="18"/>
          <w:shd w:fill="F1F3F5" w:color="auto" w:val="clear"/>
          <w:rtl/>
        </w:rPr>
        <w:t xml:space="preserve">‎obl.ObligationBreach‎</w:t>
      </w:r>
      <w:r>
        <w:rPr>
          <w:rFonts w:ascii="Arial" w:cs="Arial" w:eastAsia="Arial" w:hAnsi="Arial"/>
          <w:b w:val="false"/>
          <w:bCs w:val="false"/>
          <w:sz w:val="21"/>
          <w:szCs w:val="21"/>
          <w:rtl/>
        </w:rPr>
        <w:t xml:space="preserve"> في db/model/14-collateral-obligations-financials.model:344، ورمز الإشعار </w:t>
      </w:r>
      <w:r>
        <w:rPr>
          <w:rFonts w:ascii="Courier New" w:cs="Courier New" w:eastAsia="Courier New" w:hAnsi="Courier New"/>
          <w:b w:val="false"/>
          <w:bCs w:val="false"/>
          <w:color w:val="1F2937"/>
          <w:sz w:val="18"/>
          <w:szCs w:val="18"/>
          <w:shd w:fill="F1F3F5" w:color="auto" w:val="clear"/>
          <w:rtl/>
        </w:rPr>
        <w:t xml:space="preserve">‎CMP.BREACH‎</w:t>
      </w:r>
      <w:r>
        <w:rPr>
          <w:rFonts w:ascii="Arial" w:cs="Arial" w:eastAsia="Arial" w:hAnsi="Arial"/>
          <w:b w:val="false"/>
          <w:bCs w:val="false"/>
          <w:sz w:val="21"/>
          <w:szCs w:val="21"/>
          <w:rtl/>
        </w:rPr>
        <w:t xml:space="preserve">).</w:t>
      </w:r>
    </w:p>
    <w:p>
      <w:pPr>
        <w:pStyle w:val="Heading1"/>
        <w:bidi/>
      </w:pPr>
      <w:bookmarkStart w:name="_sec1" w:id="1"/>
      <w:r>
        <w:rPr>
          <w:rFonts w:ascii="Arial" w:cs="Arial" w:eastAsia="Arial" w:hAnsi="Arial"/>
          <w:b/>
          <w:bCs/>
          <w:color w:val="1F3A5F"/>
          <w:sz w:val="32"/>
          <w:szCs w:val="32"/>
          <w:rtl/>
        </w:rPr>
        <w:t xml:space="preserve">1. الغرض والنطاق</w:t>
      </w:r>
      <w:bookmarkEnd w:id="1"/>
    </w:p>
    <w:p>
      <w:pPr>
        <w:bidi/>
        <w:spacing w:after="110" w:before="0" w:line="312"/>
      </w:pPr>
      <w:r>
        <w:rPr>
          <w:rFonts w:ascii="Arial" w:cs="Arial" w:eastAsia="Arial" w:hAnsi="Arial"/>
          <w:b/>
          <w:bCs/>
          <w:sz w:val="21"/>
          <w:szCs w:val="21"/>
          <w:rtl/>
        </w:rPr>
        <w:t xml:space="preserve">الغرض.</w:t>
      </w:r>
      <w:r>
        <w:rPr>
          <w:rFonts w:ascii="Arial" w:cs="Arial" w:eastAsia="Arial" w:hAnsi="Arial"/>
          <w:b w:val="false"/>
          <w:bCs w:val="false"/>
          <w:sz w:val="21"/>
          <w:szCs w:val="21"/>
          <w:rtl/>
        </w:rPr>
        <w:t xml:space="preserve"> إجراء واحد للحوادث الأمنية: تصنيفها وشدتها، والأدوار، ومصادر الكشف، والاحتواء للسيناريوهات الرئيسية، وحفظ الأدلة، وإخطار المشترك والجهات المختصة، ومراجعة ما بعد الحادث. المشترك مسؤول بيانات ويحتاج هذا الإجراء قبل الإطلاق (docs/10-detailed-analysis/10-m0-m1-platform-organization.md:588).</w:t>
      </w:r>
    </w:p>
    <w:p>
      <w:pPr>
        <w:bidi/>
        <w:spacing w:after="110" w:before="0" w:line="312"/>
      </w:pPr>
      <w:r>
        <w:rPr>
          <w:rFonts w:ascii="Arial" w:cs="Arial" w:eastAsia="Arial" w:hAnsi="Arial"/>
          <w:b/>
          <w:bCs/>
          <w:sz w:val="21"/>
          <w:szCs w:val="21"/>
          <w:rtl/>
        </w:rPr>
        <w:t xml:space="preserve">داخل النطاق:</w:t>
      </w:r>
      <w:r>
        <w:rPr>
          <w:rFonts w:ascii="Arial" w:cs="Arial" w:eastAsia="Arial" w:hAnsi="Arial"/>
          <w:b w:val="false"/>
          <w:bCs w:val="false"/>
          <w:sz w:val="21"/>
          <w:szCs w:val="21"/>
          <w:rtl/>
        </w:rPr>
        <w:t xml:space="preserve"> كل حادث يمس سرية بيانات المشتركين أو سلامتها أو توفرها، أو حسابات المنصة ومفاتيحها وخوادمها، أو المعالجين الفرعيين.</w:t>
      </w:r>
    </w:p>
    <w:p>
      <w:pPr>
        <w:bidi/>
        <w:spacing w:after="110" w:before="0" w:line="312"/>
      </w:pPr>
      <w:r>
        <w:rPr>
          <w:rFonts w:ascii="Arial" w:cs="Arial" w:eastAsia="Arial" w:hAnsi="Arial"/>
          <w:b/>
          <w:bCs/>
          <w:sz w:val="21"/>
          <w:szCs w:val="21"/>
          <w:rtl/>
        </w:rPr>
        <w:t xml:space="preserve">خارج النطاق:</w:t>
      </w:r>
      <w:r>
        <w:rPr>
          <w:rFonts w:ascii="Arial" w:cs="Arial" w:eastAsia="Arial" w:hAnsi="Arial"/>
          <w:b w:val="false"/>
          <w:bCs w:val="false"/>
          <w:sz w:val="21"/>
          <w:szCs w:val="21"/>
          <w:rtl/>
        </w:rPr>
        <w:t xml:space="preserve"> خطوات الاستعادة نفسها (DOC-S09 §8)، وتدوير المفاتيح بالتفصيل (DOC-S02 §10-§12)، وحدود التنبيه (DOC-S12 §6)، وتحديد القانون الواجب التطبيق ومهله، وهو قرار المالك مع المستشار (DOC-S07، DQ-S07-10).</w:t>
      </w:r>
    </w:p>
    <w:p>
      <w:pPr>
        <w:pStyle w:val="Heading1"/>
        <w:bidi/>
      </w:pPr>
      <w:bookmarkStart w:name="_sec2" w:id="2"/>
      <w:r>
        <w:rPr>
          <w:rFonts w:ascii="Arial" w:cs="Arial" w:eastAsia="Arial" w:hAnsi="Arial"/>
          <w:b/>
          <w:bCs/>
          <w:color w:val="1F3A5F"/>
          <w:sz w:val="32"/>
          <w:szCs w:val="32"/>
          <w:rtl/>
        </w:rPr>
        <w:t xml:space="preserve">2. الوضع اليوم </w:t>
      </w:r>
      <w:r>
        <w:rPr>
          <w:rFonts w:ascii="Arial" w:cs="Arial" w:eastAsia="Arial" w:hAnsi="Arial"/>
          <w:color w:val="2E9E44"/>
          <w:sz w:val="32"/>
          <w:szCs w:val="32"/>
          <w:rtl/>
        </w:rPr>
        <w:t xml:space="preserve">●</w:t>
      </w:r>
      <w:bookmarkEnd w:id="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98"/>
        <w:gridCol w:w="1508"/>
        <w:gridCol w:w="7358"/>
      </w:tblGrid>
      <w:tr>
        <w:trPr>
          <w:cantSplit/>
          <w:tblHeader/>
        </w:trPr>
        <w:tc>
          <w:tcPr>
            <w:tcW w:type="dxa" w:w="99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150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735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الخطر</w:t>
            </w:r>
          </w:p>
        </w:tc>
        <w:tc>
          <w:tcPr>
            <w:tcW w:type="dxa" w:w="15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تسريب البيانات بين المشتركين (R4) والبيانات الحساسة (R5) خطران رئيسيان</w:t>
            </w:r>
          </w:p>
        </w:tc>
        <w:tc>
          <w:tcPr>
            <w:tcW w:type="dxa" w:w="73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docs/01-preliminary-analysis.md:359-360</w:t>
            </w:r>
          </w:p>
        </w:tc>
      </w:tr>
      <w:tr>
        <w:trPr>
          <w:cantSplit/>
        </w:trPr>
        <w:tc>
          <w:tcPr>
            <w:tcW w:type="dxa" w:w="9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الأدوار</w:t>
            </w:r>
          </w:p>
        </w:tc>
        <w:tc>
          <w:tcPr>
            <w:tcW w:type="dxa" w:w="15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افتراض: المشترك مسؤول بيانات والمنصة معالج </w:t>
            </w:r>
            <w:r>
              <w:rPr>
                <w:rFonts w:ascii="Arial" w:cs="Arial" w:eastAsia="Arial" w:hAnsi="Arial"/>
                <w:color w:val="E0A800"/>
                <w:sz w:val="18"/>
                <w:szCs w:val="18"/>
                <w:rtl/>
              </w:rPr>
              <w:t xml:space="preserve">●</w:t>
            </w:r>
          </w:p>
        </w:tc>
        <w:tc>
          <w:tcPr>
            <w:tcW w:type="dxa" w:w="73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docs/10-detailed-analysis/10-m0-m1-platform-organization.md:588</w:t>
            </w:r>
          </w:p>
        </w:tc>
      </w:tr>
      <w:tr>
        <w:trPr>
          <w:cantSplit/>
        </w:trPr>
        <w:tc>
          <w:tcPr>
            <w:tcW w:type="dxa" w:w="9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الامتثال</w:t>
            </w:r>
          </w:p>
        </w:tc>
        <w:tc>
          <w:tcPr>
            <w:tcW w:type="dxa" w:w="15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D62828"/>
                <w:sz w:val="18"/>
                <w:szCs w:val="18"/>
                <w:rtl/>
              </w:rPr>
              <w:t xml:space="preserve">●</w:t>
            </w:r>
            <w:r>
              <w:rPr>
                <w:rFonts w:ascii="Arial" w:cs="Arial" w:eastAsia="Arial" w:hAnsi="Arial"/>
                <w:b w:val="false"/>
                <w:bCs w:val="false"/>
                <w:sz w:val="18"/>
                <w:szCs w:val="18"/>
                <w:rtl/>
              </w:rPr>
              <w:t xml:space="preserve"> مراجعة قانونية لكل دولة لم تُجرَ</w:t>
            </w:r>
          </w:p>
        </w:tc>
        <w:tc>
          <w:tcPr>
            <w:tcW w:type="dxa" w:w="73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docs/10-detailed-analysis/00-overview-and-cross-cutting.md:150؛ docs/04-facility-agreements-analysis.md:253</w:t>
            </w:r>
          </w:p>
        </w:tc>
      </w:tr>
      <w:tr>
        <w:trPr>
          <w:cantSplit/>
        </w:trPr>
        <w:tc>
          <w:tcPr>
            <w:tcW w:type="dxa" w:w="9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يطلبه DOC-S07</w:t>
            </w:r>
          </w:p>
        </w:tc>
        <w:tc>
          <w:tcPr>
            <w:tcW w:type="dxa" w:w="15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إبلاغ المشترك بلا تأخير بهدف داخلي 24 ساعة بعد التأكيد، والمهلة النظامية يحددها المستشار، والمشترك هو المبلِّغ</w:t>
            </w:r>
          </w:p>
        </w:tc>
        <w:tc>
          <w:tcPr>
            <w:tcW w:type="dxa" w:w="73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docs/30-readiness/DOC-S07-privacy-impact-assessment.md:172-174</w:t>
            </w:r>
          </w:p>
        </w:tc>
      </w:tr>
      <w:tr>
        <w:trPr>
          <w:cantSplit/>
        </w:trPr>
        <w:tc>
          <w:tcPr>
            <w:tcW w:type="dxa" w:w="9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أدوات الاحتواء في القاعدة</w:t>
            </w:r>
          </w:p>
        </w:tc>
        <w:tc>
          <w:tcPr>
            <w:tcW w:type="dxa" w:w="15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تعطيل المستخدم أو حذفه، وإنهاء الجلسة، وتغيير حالة المشترك، تسحب الربط فورًا بقوادح</w:t>
            </w:r>
          </w:p>
        </w:tc>
        <w:tc>
          <w:tcPr>
            <w:tcW w:type="dxa" w:w="73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db/static/030_session_context.sql:245-296؛ docs/adr/0002-login-and-session-bound-context.md:26</w:t>
            </w:r>
          </w:p>
        </w:tc>
      </w:tr>
      <w:tr>
        <w:trPr>
          <w:cantSplit/>
        </w:trPr>
        <w:tc>
          <w:tcPr>
            <w:tcW w:type="dxa" w:w="9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 التعليق</w:t>
            </w:r>
          </w:p>
        </w:tc>
        <w:tc>
          <w:tcPr>
            <w:tcW w:type="dxa" w:w="15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w:t>
            </w:r>
            <w:r>
              <w:rPr>
                <w:rFonts w:ascii="Courier New" w:cs="Courier New" w:eastAsia="Courier New" w:hAnsi="Courier New"/>
                <w:b w:val="false"/>
                <w:bCs w:val="false"/>
                <w:color w:val="1F2937"/>
                <w:sz w:val="16"/>
                <w:szCs w:val="16"/>
                <w:shd w:fill="F1F3F5" w:color="auto" w:val="clear"/>
                <w:rtl/>
              </w:rPr>
              <w:t xml:space="preserve">‎SUSPENDED‎</w:t>
            </w:r>
            <w:r>
              <w:rPr>
                <w:rFonts w:ascii="Arial" w:cs="Arial" w:eastAsia="Arial" w:hAnsi="Arial"/>
                <w:b w:val="false"/>
                <w:bCs w:val="false"/>
                <w:sz w:val="18"/>
                <w:szCs w:val="18"/>
                <w:rtl/>
              </w:rPr>
              <w:t xml:space="preserve"> يقبل ربطًا جديدًا يقرأ (O-18 مفتوح)</w:t>
            </w:r>
          </w:p>
        </w:tc>
        <w:tc>
          <w:tcPr>
            <w:tcW w:type="dxa" w:w="73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tools/dbgen/erd_open_items.py:117-118؛ db/static/030_session_context.sql:186-188</w:t>
            </w:r>
          </w:p>
        </w:tc>
      </w:tr>
      <w:tr>
        <w:trPr>
          <w:cantSplit/>
        </w:trPr>
        <w:tc>
          <w:tcPr>
            <w:tcW w:type="dxa" w:w="9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المنصة وبيانات المشترك</w:t>
            </w:r>
          </w:p>
        </w:tc>
        <w:tc>
          <w:tcPr>
            <w:tcW w:type="dxa" w:w="15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‎tp_platform‎</w:t>
            </w:r>
            <w:r>
              <w:rPr>
                <w:rFonts w:ascii="Arial" w:cs="Arial" w:eastAsia="Arial" w:hAnsi="Arial"/>
                <w:b w:val="false"/>
                <w:bCs w:val="false"/>
                <w:sz w:val="18"/>
                <w:szCs w:val="18"/>
                <w:rtl/>
              </w:rPr>
              <w:t xml:space="preserve"> بلا وصول إلى جداول المشترك، والإجراءات المراجَعة للمنصة لم تُكتب</w:t>
            </w:r>
          </w:p>
        </w:tc>
        <w:tc>
          <w:tcPr>
            <w:tcW w:type="dxa" w:w="73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docs/20-database-design.md:117، :540</w:t>
            </w:r>
          </w:p>
        </w:tc>
      </w:tr>
      <w:tr>
        <w:trPr>
          <w:cantSplit/>
        </w:trPr>
        <w:tc>
          <w:tcPr>
            <w:tcW w:type="dxa" w:w="9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آثار قابلة للمحو</w:t>
            </w:r>
          </w:p>
        </w:tc>
        <w:tc>
          <w:tcPr>
            <w:tcW w:type="dxa" w:w="150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يحذف محاولات الدخول (O-24)</w:t>
            </w:r>
          </w:p>
        </w:tc>
        <w:tc>
          <w:tcPr>
            <w:tcW w:type="dxa" w:w="73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db/generated/tsql/005_delete_grants.sql:11؛ tools/dbgen/erd_open_items.py:153</w:t>
            </w:r>
          </w:p>
        </w:tc>
      </w:tr>
      <w:tr>
        <w:trPr>
          <w:cantSplit/>
        </w:trPr>
        <w:tc>
          <w:tcPr>
            <w:tcW w:type="dxa" w:w="9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الإجراء نفسه</w:t>
            </w:r>
          </w:p>
        </w:tc>
        <w:tc>
          <w:tcPr>
            <w:tcW w:type="dxa" w:w="150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يوجد قبل هذه الوثيقة؛ DOC-S02 §11.3 وDOC-S09 §8 يحيلان إليه</w:t>
            </w:r>
          </w:p>
        </w:tc>
        <w:tc>
          <w:tcPr>
            <w:tcW w:type="dxa" w:w="73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Heading1"/>
        <w:bidi/>
      </w:pPr>
      <w:bookmarkStart w:name="_sec3" w:id="3"/>
      <w:r>
        <w:rPr>
          <w:rFonts w:ascii="Arial" w:cs="Arial" w:eastAsia="Arial" w:hAnsi="Arial"/>
          <w:b/>
          <w:bCs/>
          <w:color w:val="1F3A5F"/>
          <w:sz w:val="32"/>
          <w:szCs w:val="32"/>
          <w:rtl/>
        </w:rPr>
        <w:t xml:space="preserve">3. فئات الحوادث</w:t>
      </w:r>
      <w:bookmarkEnd w:id="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523"/>
        <w:gridCol w:w="2741"/>
        <w:gridCol w:w="2859"/>
        <w:gridCol w:w="2741"/>
      </w:tblGrid>
      <w:tr>
        <w:trPr>
          <w:cantSplit/>
          <w:tblHeader/>
        </w:trPr>
        <w:tc>
          <w:tcPr>
            <w:tcW w:type="dxa" w:w="15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w:t>
            </w:r>
          </w:p>
        </w:tc>
        <w:tc>
          <w:tcPr>
            <w:tcW w:type="dxa" w:w="274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الفئة</w:t>
            </w:r>
          </w:p>
        </w:tc>
        <w:tc>
          <w:tcPr>
            <w:tcW w:type="dxa" w:w="28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أمثلة</w:t>
            </w:r>
          </w:p>
        </w:tc>
        <w:tc>
          <w:tcPr>
            <w:tcW w:type="dxa" w:w="274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التهديدات (DOC-S01)</w:t>
            </w:r>
          </w:p>
        </w:tc>
      </w:tr>
      <w:tr>
        <w:trPr>
          <w:cantSplit/>
        </w:trPr>
        <w:tc>
          <w:tcPr>
            <w:tcW w:type="dxa" w:w="15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IC-1</w:t>
            </w:r>
          </w:p>
        </w:tc>
        <w:tc>
          <w:tcPr>
            <w:tcW w:type="dxa" w:w="2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تعرّض بين المشتركين</w:t>
            </w:r>
          </w:p>
        </w:tc>
        <w:tc>
          <w:tcPr>
            <w:tcW w:type="dxa" w:w="2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 أو ملف أو تصدير لمشترك يصل مستخدم مشترك آخر</w:t>
            </w:r>
          </w:p>
        </w:tc>
        <w:tc>
          <w:tcPr>
            <w:tcW w:type="dxa" w:w="2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THR-07، THR-25 إلى THR-27، THR-46</w:t>
            </w:r>
          </w:p>
        </w:tc>
      </w:tr>
      <w:tr>
        <w:trPr>
          <w:cantSplit/>
        </w:trPr>
        <w:tc>
          <w:tcPr>
            <w:tcW w:type="dxa" w:w="15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IC-2</w:t>
            </w:r>
          </w:p>
        </w:tc>
        <w:tc>
          <w:tcPr>
            <w:tcW w:type="dxa" w:w="2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اختراق بيانات اعتماد</w:t>
            </w:r>
          </w:p>
        </w:tc>
        <w:tc>
          <w:tcPr>
            <w:tcW w:type="dxa" w:w="2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مستخدم أو مدير حساب أو مشغّل، أو مفتاح SSH لمسؤول، أو حساب قاعدة</w:t>
            </w:r>
          </w:p>
        </w:tc>
        <w:tc>
          <w:tcPr>
            <w:tcW w:type="dxa" w:w="2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THR-01، THR-03، THR-13، THR-19، THR-44، THR-56</w:t>
            </w:r>
          </w:p>
        </w:tc>
      </w:tr>
      <w:tr>
        <w:trPr>
          <w:cantSplit/>
        </w:trPr>
        <w:tc>
          <w:tcPr>
            <w:tcW w:type="dxa" w:w="15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IC-3</w:t>
            </w:r>
          </w:p>
        </w:tc>
        <w:tc>
          <w:tcPr>
            <w:tcW w:type="dxa" w:w="2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اختراق مفتاح</w:t>
            </w:r>
          </w:p>
        </w:tc>
        <w:tc>
          <w:tcPr>
            <w:tcW w:type="dxa" w:w="2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المفتاح الرئيسي K-05، أو مفتاح مشترك، أو شهادة TDE، أو مفتاح TLS الخاص</w:t>
            </w:r>
          </w:p>
        </w:tc>
        <w:tc>
          <w:tcPr>
            <w:tcW w:type="dxa" w:w="2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THR-31، THR-49، THR-50</w:t>
            </w:r>
          </w:p>
        </w:tc>
      </w:tr>
      <w:tr>
        <w:trPr>
          <w:cantSplit/>
        </w:trPr>
        <w:tc>
          <w:tcPr>
            <w:tcW w:type="dxa" w:w="15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IC-4</w:t>
            </w:r>
          </w:p>
        </w:tc>
        <w:tc>
          <w:tcPr>
            <w:tcW w:type="dxa" w:w="2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برمجية فدية أو فقد الخادم أو اختراقه</w:t>
            </w:r>
          </w:p>
        </w:tc>
        <w:tc>
          <w:tcPr>
            <w:tcW w:type="dxa" w:w="2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تشفير الأقراص، أو حذف، أو سيطرة على VPS</w:t>
            </w:r>
          </w:p>
        </w:tc>
        <w:tc>
          <w:tcPr>
            <w:tcW w:type="dxa" w:w="2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THR-56، THR-58، THR-59</w:t>
            </w:r>
          </w:p>
        </w:tc>
      </w:tr>
      <w:tr>
        <w:trPr>
          <w:cantSplit/>
        </w:trPr>
        <w:tc>
          <w:tcPr>
            <w:tcW w:type="dxa" w:w="15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IC-5</w:t>
            </w:r>
          </w:p>
        </w:tc>
        <w:tc>
          <w:tcPr>
            <w:tcW w:type="dxa" w:w="2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فشل سلامة التدقيق أو الملفات</w:t>
            </w:r>
          </w:p>
        </w:tc>
        <w:tc>
          <w:tcPr>
            <w:tcW w:type="dxa" w:w="2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فشل السلسلة، أو تعديل جداول التدقيق، أو </w:t>
            </w:r>
            <w:r>
              <w:rPr>
                <w:rFonts w:ascii="Courier New" w:cs="Courier New" w:eastAsia="Courier New" w:hAnsi="Courier New"/>
                <w:b w:val="false"/>
                <w:bCs w:val="false"/>
                <w:color w:val="1F2937"/>
                <w:sz w:val="16"/>
                <w:szCs w:val="16"/>
                <w:shd w:fill="F1F3F5" w:color="auto" w:val="clear"/>
                <w:rtl/>
              </w:rPr>
              <w:t xml:space="preserve">‎MISMATCH‎</w:t>
            </w:r>
          </w:p>
        </w:tc>
        <w:tc>
          <w:tcPr>
            <w:tcW w:type="dxa" w:w="2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THR-29، THR-47، THR-57</w:t>
            </w:r>
          </w:p>
        </w:tc>
      </w:tr>
      <w:tr>
        <w:trPr>
          <w:cantSplit/>
        </w:trPr>
        <w:tc>
          <w:tcPr>
            <w:tcW w:type="dxa" w:w="15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IC-6</w:t>
            </w:r>
          </w:p>
        </w:tc>
        <w:tc>
          <w:tcPr>
            <w:tcW w:type="dxa" w:w="2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تسرّب مقيّد عبر قناة جانبية</w:t>
            </w:r>
          </w:p>
        </w:tc>
        <w:tc>
          <w:tcPr>
            <w:tcW w:type="dxa" w:w="2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قيمة مقيّدة في سجل أو بريد أو حمولة Outbox</w:t>
            </w:r>
          </w:p>
        </w:tc>
        <w:tc>
          <w:tcPr>
            <w:tcW w:type="dxa" w:w="2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THR-55؛ DOC-F02 §8</w:t>
            </w:r>
          </w:p>
        </w:tc>
      </w:tr>
      <w:tr>
        <w:trPr>
          <w:cantSplit/>
        </w:trPr>
        <w:tc>
          <w:tcPr>
            <w:tcW w:type="dxa" w:w="15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IC-7</w:t>
            </w:r>
          </w:p>
        </w:tc>
        <w:tc>
          <w:tcPr>
            <w:tcW w:type="dxa" w:w="2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إساءة من مستخدم مخوَّل</w:t>
            </w:r>
          </w:p>
        </w:tc>
        <w:tc>
          <w:tcPr>
            <w:tcW w:type="dxa" w:w="2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شذوذ كشف أو تصدير بلا سبب</w:t>
            </w:r>
          </w:p>
        </w:tc>
        <w:tc>
          <w:tcPr>
            <w:tcW w:type="dxa" w:w="2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THR-12</w:t>
            </w:r>
          </w:p>
        </w:tc>
      </w:tr>
      <w:tr>
        <w:trPr>
          <w:cantSplit/>
        </w:trPr>
        <w:tc>
          <w:tcPr>
            <w:tcW w:type="dxa" w:w="15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IC-8</w:t>
            </w:r>
          </w:p>
        </w:tc>
        <w:tc>
          <w:tcPr>
            <w:tcW w:type="dxa" w:w="2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هجوم على التوفر</w:t>
            </w:r>
          </w:p>
        </w:tc>
        <w:tc>
          <w:tcPr>
            <w:tcW w:type="dxa" w:w="28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حشو بيانات اعتماد يقفل الحسابات، أو استنزاف Argon2id</w:t>
            </w:r>
          </w:p>
        </w:tc>
        <w:tc>
          <w:tcPr>
            <w:tcW w:type="dxa" w:w="27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THR-11</w:t>
            </w:r>
          </w:p>
        </w:tc>
      </w:tr>
      <w:tr>
        <w:trPr>
          <w:cantSplit/>
        </w:trPr>
        <w:tc>
          <w:tcPr>
            <w:tcW w:type="dxa" w:w="15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IC-9</w:t>
            </w:r>
          </w:p>
        </w:tc>
        <w:tc>
          <w:tcPr>
            <w:tcW w:type="dxa" w:w="2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حادث لدى معالج فرعي</w:t>
            </w:r>
          </w:p>
        </w:tc>
        <w:tc>
          <w:tcPr>
            <w:tcW w:type="dxa" w:w="28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المزوّد، أو مرحّل البريد، أو مخزن المفاتيح، أو الموقع المنفصل</w:t>
            </w:r>
          </w:p>
        </w:tc>
        <w:tc>
          <w:tcPr>
            <w:tcW w:type="dxa" w:w="27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THR-58؛ DOC-S07 §9</w:t>
            </w:r>
          </w:p>
        </w:tc>
      </w:tr>
    </w:tbl>
    <w:p>
      <w:pPr>
        <w:bidi/>
        <w:spacing w:after="120" w:before="0"/>
      </w:pPr>
    </w:p>
    <w:p>
      <w:pPr>
        <w:bidi/>
        <w:spacing w:after="110" w:before="0" w:line="312"/>
      </w:pPr>
      <w:r>
        <w:rPr>
          <w:rFonts w:ascii="Arial" w:cs="Arial" w:eastAsia="Arial" w:hAnsi="Arial"/>
          <w:b w:val="false"/>
          <w:bCs w:val="false"/>
          <w:sz w:val="21"/>
          <w:szCs w:val="21"/>
          <w:rtl/>
        </w:rPr>
        <w:t xml:space="preserve">كل حادث فيه وصول أو كشف أو فقد أو تعديل مؤكد أو مرجَّح لبيانات شخصية يمر بتقييم الخرق في §10.</w:t>
      </w:r>
    </w:p>
    <w:p>
      <w:pPr>
        <w:pStyle w:val="Heading1"/>
        <w:bidi/>
      </w:pPr>
      <w:bookmarkStart w:name="_sec4" w:id="4"/>
      <w:r>
        <w:rPr>
          <w:rFonts w:ascii="Arial" w:cs="Arial" w:eastAsia="Arial" w:hAnsi="Arial"/>
          <w:b/>
          <w:bCs/>
          <w:color w:val="1F3A5F"/>
          <w:sz w:val="32"/>
          <w:szCs w:val="32"/>
          <w:rtl/>
        </w:rPr>
        <w:t xml:space="preserve">4. مستويات الشدة </w:t>
      </w:r>
      <w:r>
        <w:rPr>
          <w:rFonts w:ascii="Arial" w:cs="Arial" w:eastAsia="Arial" w:hAnsi="Arial"/>
          <w:color w:val="E0A800"/>
          <w:sz w:val="32"/>
          <w:szCs w:val="32"/>
          <w:rtl/>
        </w:rPr>
        <w:t xml:space="preserve">●</w:t>
      </w:r>
      <w:bookmarkEnd w:id="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056"/>
        <w:gridCol w:w="3394"/>
        <w:gridCol w:w="2358"/>
        <w:gridCol w:w="2056"/>
      </w:tblGrid>
      <w:tr>
        <w:trPr>
          <w:cantSplit/>
          <w:tblHeader/>
        </w:trPr>
        <w:tc>
          <w:tcPr>
            <w:tcW w:type="dxa" w:w="20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المستوى</w:t>
            </w:r>
          </w:p>
        </w:tc>
        <w:tc>
          <w:tcPr>
            <w:tcW w:type="dxa" w:w="339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المعيار</w:t>
            </w:r>
          </w:p>
        </w:tc>
        <w:tc>
          <w:tcPr>
            <w:tcW w:type="dxa" w:w="235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زمن البدء</w:t>
            </w:r>
          </w:p>
        </w:tc>
        <w:tc>
          <w:tcPr>
            <w:tcW w:type="dxa" w:w="20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التصعيد</w:t>
            </w:r>
          </w:p>
        </w:tc>
      </w:tr>
      <w:tr>
        <w:trPr>
          <w:cantSplit/>
        </w:trPr>
        <w:tc>
          <w:tcPr>
            <w:tcW w:type="dxa" w:w="20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IS-1 حرج</w:t>
            </w:r>
          </w:p>
        </w:tc>
        <w:tc>
          <w:tcPr>
            <w:tcW w:type="dxa" w:w="33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تعرّض مؤكد بين المشتركين، أو مقيّد مكشوف، أو اختراق K-05 أو شهادة TDE، أو برمجية فدية، أو توقف كامل</w:t>
            </w:r>
          </w:p>
        </w:tc>
        <w:tc>
          <w:tcPr>
            <w:tcW w:type="dxa" w:w="23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فرز خلال 15 دقيقة وقائد خلال 30 دقيقة، على مدار الساعة</w:t>
            </w:r>
          </w:p>
        </w:tc>
        <w:tc>
          <w:tcPr>
            <w:tcW w:type="dxa" w:w="20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 وLEG فورًا</w:t>
            </w:r>
          </w:p>
        </w:tc>
      </w:tr>
      <w:tr>
        <w:trPr>
          <w:cantSplit/>
        </w:trPr>
        <w:tc>
          <w:tcPr>
            <w:tcW w:type="dxa" w:w="20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IS-2 عالٍ</w:t>
            </w:r>
          </w:p>
        </w:tc>
        <w:tc>
          <w:tcPr>
            <w:tcW w:type="dxa" w:w="33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اشتباه جدي بما سبق، أو اختراق مدير حساب أو مشغّل أو حساب قاعدة، أو فشل سلامة</w:t>
            </w:r>
          </w:p>
        </w:tc>
        <w:tc>
          <w:tcPr>
            <w:tcW w:type="dxa" w:w="23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خلال ساعة</w:t>
            </w:r>
          </w:p>
        </w:tc>
        <w:tc>
          <w:tcPr>
            <w:tcW w:type="dxa" w:w="20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 خلال 4 ساعات</w:t>
            </w:r>
          </w:p>
        </w:tc>
      </w:tr>
      <w:tr>
        <w:trPr>
          <w:cantSplit/>
        </w:trPr>
        <w:tc>
          <w:tcPr>
            <w:tcW w:type="dxa" w:w="20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IS-3 متوسط</w:t>
            </w:r>
          </w:p>
        </w:tc>
        <w:tc>
          <w:tcPr>
            <w:tcW w:type="dxa" w:w="33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اختراق مستخدم واحد بلا كشف، أو هجوم احتوته الضوابط، أو مفتاح TLS</w:t>
            </w:r>
          </w:p>
        </w:tc>
        <w:tc>
          <w:tcPr>
            <w:tcW w:type="dxa" w:w="235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يوم العمل نفسه</w:t>
            </w:r>
          </w:p>
        </w:tc>
        <w:tc>
          <w:tcPr>
            <w:tcW w:type="dxa" w:w="20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r>
      <w:tr>
        <w:trPr>
          <w:cantSplit/>
        </w:trPr>
        <w:tc>
          <w:tcPr>
            <w:tcW w:type="dxa" w:w="20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IS-4 منخفض</w:t>
            </w:r>
          </w:p>
        </w:tc>
        <w:tc>
          <w:tcPr>
            <w:tcW w:type="dxa" w:w="33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محاولة فاشلة أو مخالفة سياسة بلا أثر</w:t>
            </w:r>
          </w:p>
        </w:tc>
        <w:tc>
          <w:tcPr>
            <w:tcW w:type="dxa" w:w="235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التقرير الأسبوعي</w:t>
            </w:r>
          </w:p>
        </w:tc>
        <w:tc>
          <w:tcPr>
            <w:tcW w:type="dxa" w:w="20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ListParagraph"/>
        <w:numPr>
          <w:ilvl w:val="0"/>
          <w:numId w:val="2"/>
        </w:numPr>
        <w:bidi/>
        <w:spacing w:after="70" w:before="0" w:line="300"/>
      </w:pPr>
      <w:r>
        <w:rPr>
          <w:rFonts w:ascii="Arial" w:cs="Arial" w:eastAsia="Arial" w:hAnsi="Arial"/>
          <w:b w:val="false"/>
          <w:bCs w:val="false"/>
          <w:sz w:val="21"/>
          <w:szCs w:val="21"/>
          <w:rtl/>
        </w:rPr>
        <w:t xml:space="preserve">هذه المستويات غير شدة العيوب Sev1 إلى Sev4 في docs/30-readiness/DOC-B01-test-strategy-and-plan.md:182-185. عيب Sev1 في الإنتاج يكسر العزل يُعامل IS-2 على الأقل حتى يُقيَّم.</w:t>
      </w:r>
    </w:p>
    <w:p>
      <w:pPr>
        <w:pStyle w:val="ListParagraph"/>
        <w:numPr>
          <w:ilvl w:val="0"/>
          <w:numId w:val="2"/>
        </w:numPr>
        <w:bidi/>
        <w:spacing w:after="70" w:before="0" w:line="300"/>
      </w:pPr>
      <w:r>
        <w:rPr>
          <w:rFonts w:ascii="Arial" w:cs="Arial" w:eastAsia="Arial" w:hAnsi="Arial"/>
          <w:b w:val="false"/>
          <w:bCs w:val="false"/>
          <w:sz w:val="21"/>
          <w:szCs w:val="21"/>
          <w:rtl/>
        </w:rPr>
        <w:t xml:space="preserve">يرفع أي عضو المستوى في أي وقت. يخفضه قائد الحادث مع SEC فقط، ويُسجَّل السبب.</w:t>
      </w:r>
    </w:p>
    <w:p>
      <w:pPr>
        <w:bidi/>
        <w:spacing w:after="60" w:before="0"/>
      </w:pPr>
    </w:p>
    <w:p>
      <w:pPr>
        <w:pStyle w:val="Heading1"/>
        <w:bidi/>
      </w:pPr>
      <w:bookmarkStart w:name="_sec5" w:id="5"/>
      <w:r>
        <w:rPr>
          <w:rFonts w:ascii="Arial" w:cs="Arial" w:eastAsia="Arial" w:hAnsi="Arial"/>
          <w:b/>
          <w:bCs/>
          <w:color w:val="1F3A5F"/>
          <w:sz w:val="32"/>
          <w:szCs w:val="32"/>
          <w:rtl/>
        </w:rPr>
        <w:t xml:space="preserve">5. الأدوار </w:t>
      </w:r>
      <w:r>
        <w:rPr>
          <w:rFonts w:ascii="Arial" w:cs="Arial" w:eastAsia="Arial" w:hAnsi="Arial"/>
          <w:color w:val="E0A800"/>
          <w:sz w:val="32"/>
          <w:szCs w:val="32"/>
          <w:rtl/>
        </w:rPr>
        <w:t xml:space="preserve">●</w:t>
      </w:r>
      <w:bookmarkEnd w:id="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391"/>
        <w:gridCol w:w="2092"/>
        <w:gridCol w:w="2691"/>
        <w:gridCol w:w="2690"/>
      </w:tblGrid>
      <w:tr>
        <w:trPr>
          <w:cantSplit/>
          <w:tblHeader/>
        </w:trPr>
        <w:tc>
          <w:tcPr>
            <w:tcW w:type="dxa" w:w="239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الدور</w:t>
            </w:r>
          </w:p>
        </w:tc>
        <w:tc>
          <w:tcPr>
            <w:tcW w:type="dxa" w:w="20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w:t>
            </w:r>
          </w:p>
        </w:tc>
        <w:tc>
          <w:tcPr>
            <w:tcW w:type="dxa" w:w="269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المسؤولية</w:t>
            </w:r>
          </w:p>
        </w:tc>
        <w:tc>
          <w:tcPr>
            <w:tcW w:type="dxa" w:w="269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يقرر</w:t>
            </w:r>
          </w:p>
        </w:tc>
      </w:tr>
      <w:tr>
        <w:trPr>
          <w:cantSplit/>
        </w:trPr>
        <w:tc>
          <w:tcPr>
            <w:tcW w:type="dxa" w:w="2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الحادث</w:t>
            </w:r>
          </w:p>
        </w:tc>
        <w:tc>
          <w:tcPr>
            <w:tcW w:type="dxa" w:w="20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 ونائبه OPS</w:t>
            </w:r>
          </w:p>
        </w:tc>
        <w:tc>
          <w:tcPr>
            <w:tcW w:type="dxa" w:w="26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الإعلان والتصنيف وخطة الاحتواء والسجل</w:t>
            </w:r>
          </w:p>
        </w:tc>
        <w:tc>
          <w:tcPr>
            <w:tcW w:type="dxa" w:w="26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الاحتواء الجزئي وتعطيل الحسابات</w:t>
            </w:r>
          </w:p>
        </w:tc>
      </w:tr>
      <w:tr>
        <w:trPr>
          <w:cantSplit/>
        </w:trPr>
        <w:tc>
          <w:tcPr>
            <w:tcW w:type="dxa" w:w="2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المنفّذ التقني</w:t>
            </w:r>
          </w:p>
        </w:tc>
        <w:tc>
          <w:tcPr>
            <w:tcW w:type="dxa" w:w="20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OPS وDBA</w:t>
            </w:r>
          </w:p>
        </w:tc>
        <w:tc>
          <w:tcPr>
            <w:tcW w:type="dxa" w:w="26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الاحتواء والأدلة والتعافي</w:t>
            </w:r>
          </w:p>
        </w:tc>
        <w:tc>
          <w:tcPr>
            <w:tcW w:type="dxa" w:w="26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الإخطار</w:t>
            </w:r>
          </w:p>
        </w:tc>
        <w:tc>
          <w:tcPr>
            <w:tcW w:type="dxa" w:w="20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w:t>
            </w:r>
          </w:p>
        </w:tc>
        <w:tc>
          <w:tcPr>
            <w:tcW w:type="dxa" w:w="26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تقييم الخرق ونص الإخطار وتوقيته</w:t>
            </w:r>
          </w:p>
        </w:tc>
        <w:tc>
          <w:tcPr>
            <w:tcW w:type="dxa" w:w="26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توصية للمالك</w:t>
            </w:r>
          </w:p>
        </w:tc>
      </w:tr>
      <w:tr>
        <w:trPr>
          <w:cantSplit/>
        </w:trPr>
        <w:tc>
          <w:tcPr>
            <w:tcW w:type="dxa" w:w="2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صاحب القرار</w:t>
            </w:r>
          </w:p>
        </w:tc>
        <w:tc>
          <w:tcPr>
            <w:tcW w:type="dxa" w:w="20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26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6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الإيقاف الكامل، وإخطار المشتركين والجهات، والكلفة</w:t>
            </w:r>
          </w:p>
        </w:tc>
      </w:tr>
      <w:tr>
        <w:trPr>
          <w:cantSplit/>
        </w:trPr>
        <w:tc>
          <w:tcPr>
            <w:tcW w:type="dxa" w:w="23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الحافظان KC-1 وKC-2</w:t>
            </w:r>
          </w:p>
        </w:tc>
        <w:tc>
          <w:tcPr>
            <w:tcW w:type="dxa" w:w="20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DOC-S02 §9</w:t>
            </w:r>
          </w:p>
        </w:tc>
        <w:tc>
          <w:tcPr>
            <w:tcW w:type="dxa" w:w="269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عمليات الضمان وتدوير المفاتيح</w:t>
            </w:r>
          </w:p>
        </w:tc>
        <w:tc>
          <w:tcPr>
            <w:tcW w:type="dxa" w:w="26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23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الكاتب</w:t>
            </w:r>
          </w:p>
        </w:tc>
        <w:tc>
          <w:tcPr>
            <w:tcW w:type="dxa" w:w="20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عضو يسمّيه القائد</w:t>
            </w:r>
          </w:p>
        </w:tc>
        <w:tc>
          <w:tcPr>
            <w:tcW w:type="dxa" w:w="269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زمني بتوقيت UTC لكل فعل وقرار</w:t>
            </w:r>
          </w:p>
        </w:tc>
        <w:tc>
          <w:tcPr>
            <w:tcW w:type="dxa" w:w="26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pStyle w:val="ListParagraph"/>
        <w:numPr>
          <w:ilvl w:val="0"/>
          <w:numId w:val="2"/>
        </w:numPr>
        <w:bidi/>
        <w:spacing w:after="70" w:before="0" w:line="300"/>
      </w:pPr>
      <w:r>
        <w:rPr>
          <w:rFonts w:ascii="Arial" w:cs="Arial" w:eastAsia="Arial" w:hAnsi="Arial"/>
          <w:b w:val="false"/>
          <w:bCs w:val="false"/>
          <w:sz w:val="21"/>
          <w:szCs w:val="21"/>
          <w:rtl/>
        </w:rPr>
        <w:t xml:space="preserve">قائمة الاتصال (الأدوار، ودعم المزوّد، والمستشار) تُحفظ خارج المنصة وتُراجع ربع سنويًا (DQ-S15-2).</w:t>
      </w:r>
    </w:p>
    <w:p>
      <w:pPr>
        <w:pStyle w:val="ListParagraph"/>
        <w:numPr>
          <w:ilvl w:val="0"/>
          <w:numId w:val="2"/>
        </w:numPr>
        <w:bidi/>
        <w:spacing w:after="70" w:before="0" w:line="300"/>
      </w:pPr>
      <w:r>
        <w:rPr>
          <w:rFonts w:ascii="Arial" w:cs="Arial" w:eastAsia="Arial" w:hAnsi="Arial"/>
          <w:b w:val="false"/>
          <w:bCs w:val="false"/>
          <w:sz w:val="21"/>
          <w:szCs w:val="21"/>
          <w:rtl/>
        </w:rPr>
        <w:t xml:space="preserve">القائد لا يعتمد إغلاق حادث هو منفّذه الوحيد؛ يعتمده SEC أو OWN (قاعدة المُعِدّ والمعتمِد في DOC-B09 §3).</w:t>
      </w:r>
    </w:p>
    <w:p>
      <w:pPr>
        <w:bidi/>
        <w:spacing w:after="60" w:before="0"/>
      </w:pPr>
    </w:p>
    <w:p>
      <w:pPr>
        <w:pStyle w:val="Heading1"/>
        <w:bidi/>
      </w:pPr>
      <w:bookmarkStart w:name="_sec6" w:id="6"/>
      <w:r>
        <w:rPr>
          <w:rFonts w:ascii="Arial" w:cs="Arial" w:eastAsia="Arial" w:hAnsi="Arial"/>
          <w:b/>
          <w:bCs/>
          <w:color w:val="1F3A5F"/>
          <w:sz w:val="32"/>
          <w:szCs w:val="32"/>
          <w:rtl/>
        </w:rPr>
        <w:t xml:space="preserve">6. مصادر الكشف</w:t>
      </w:r>
      <w:bookmarkEnd w:id="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7175"/>
        <w:gridCol w:w="1120"/>
        <w:gridCol w:w="1569"/>
      </w:tblGrid>
      <w:tr>
        <w:trPr>
          <w:cantSplit/>
          <w:tblHeader/>
        </w:trPr>
        <w:tc>
          <w:tcPr>
            <w:tcW w:type="dxa" w:w="717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c>
          <w:tcPr>
            <w:tcW w:type="dxa" w:w="11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الفئة</w:t>
            </w:r>
          </w:p>
        </w:tc>
        <w:tc>
          <w:tcPr>
            <w:tcW w:type="dxa" w:w="15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الشدة الأولية</w:t>
            </w:r>
          </w:p>
        </w:tc>
      </w:tr>
      <w:tr>
        <w:trPr>
          <w:cantSplit/>
        </w:trPr>
        <w:tc>
          <w:tcPr>
            <w:tcW w:type="dxa" w:w="71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بلاغ من مستخدم أو مشترك يرى بيانات غيره</w:t>
            </w:r>
          </w:p>
        </w:tc>
        <w:tc>
          <w:tcPr>
            <w:tcW w:type="dxa" w:w="11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IC-1</w:t>
            </w:r>
          </w:p>
        </w:tc>
        <w:tc>
          <w:tcPr>
            <w:tcW w:type="dxa" w:w="15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IS-1 حتى يُنفى</w:t>
            </w:r>
          </w:p>
        </w:tc>
      </w:tr>
      <w:tr>
        <w:trPr>
          <w:cantSplit/>
        </w:trPr>
        <w:tc>
          <w:tcPr>
            <w:tcW w:type="dxa" w:w="71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AL-09: خطأ محمول المنع 33504 (DOC-S12 §6)</w:t>
            </w:r>
          </w:p>
        </w:tc>
        <w:tc>
          <w:tcPr>
            <w:tcW w:type="dxa" w:w="11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IC-1</w:t>
            </w:r>
          </w:p>
        </w:tc>
        <w:tc>
          <w:tcPr>
            <w:tcW w:type="dxa" w:w="15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IS-2</w:t>
            </w:r>
          </w:p>
        </w:tc>
      </w:tr>
      <w:tr>
        <w:trPr>
          <w:cantSplit/>
        </w:trPr>
        <w:tc>
          <w:tcPr>
            <w:tcW w:type="dxa" w:w="71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فشل اختبار عزل على وسم منشور (O-09)</w:t>
            </w:r>
          </w:p>
        </w:tc>
        <w:tc>
          <w:tcPr>
            <w:tcW w:type="dxa" w:w="11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IC-1</w:t>
            </w:r>
          </w:p>
        </w:tc>
        <w:tc>
          <w:tcPr>
            <w:tcW w:type="dxa" w:w="15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IS-2</w:t>
            </w:r>
          </w:p>
        </w:tc>
      </w:tr>
      <w:tr>
        <w:trPr>
          <w:cantSplit/>
        </w:trPr>
        <w:tc>
          <w:tcPr>
            <w:tcW w:type="dxa" w:w="71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AL-04 إلى AL-07: فشل الدخول والقفل وMFA</w:t>
            </w:r>
          </w:p>
        </w:tc>
        <w:tc>
          <w:tcPr>
            <w:tcW w:type="dxa" w:w="11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IC-2 أو IC-8</w:t>
            </w:r>
          </w:p>
        </w:tc>
        <w:tc>
          <w:tcPr>
            <w:tcW w:type="dxa" w:w="15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IS-3</w:t>
            </w:r>
          </w:p>
        </w:tc>
      </w:tr>
      <w:tr>
        <w:trPr>
          <w:cantSplit/>
        </w:trPr>
        <w:tc>
          <w:tcPr>
            <w:tcW w:type="dxa" w:w="71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AL-18: </w:t>
            </w:r>
            <w:r>
              <w:rPr>
                <w:rFonts w:ascii="Courier New" w:cs="Courier New" w:eastAsia="Courier New" w:hAnsi="Courier New"/>
                <w:b w:val="false"/>
                <w:bCs w:val="false"/>
                <w:color w:val="1F2937"/>
                <w:sz w:val="16"/>
                <w:szCs w:val="16"/>
                <w:shd w:fill="F1F3F5" w:color="auto" w:val="clear"/>
                <w:rtl/>
              </w:rPr>
              <w:t xml:space="preserve">‎breakglass‎</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‎sa‎</w:t>
            </w:r>
            <w:r>
              <w:rPr>
                <w:rFonts w:ascii="Arial" w:cs="Arial" w:eastAsia="Arial" w:hAnsi="Arial"/>
                <w:b w:val="false"/>
                <w:bCs w:val="false"/>
                <w:sz w:val="18"/>
                <w:szCs w:val="18"/>
                <w:rtl/>
              </w:rPr>
              <w:t xml:space="preserve"> أو تغيير منحة خارج النافذة</w:t>
            </w:r>
          </w:p>
        </w:tc>
        <w:tc>
          <w:tcPr>
            <w:tcW w:type="dxa" w:w="11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IC-2</w:t>
            </w:r>
          </w:p>
        </w:tc>
        <w:tc>
          <w:tcPr>
            <w:tcW w:type="dxa" w:w="15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IS-2</w:t>
            </w:r>
          </w:p>
        </w:tc>
      </w:tr>
      <w:tr>
        <w:trPr>
          <w:cantSplit/>
        </w:trPr>
        <w:tc>
          <w:tcPr>
            <w:tcW w:type="dxa" w:w="71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AL-19: SSH بمفتاح غير مسجّل أو sudo من غير عضو</w:t>
            </w:r>
          </w:p>
        </w:tc>
        <w:tc>
          <w:tcPr>
            <w:tcW w:type="dxa" w:w="11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IC-2 أو IC-4</w:t>
            </w:r>
          </w:p>
        </w:tc>
        <w:tc>
          <w:tcPr>
            <w:tcW w:type="dxa" w:w="15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IS-2</w:t>
            </w:r>
          </w:p>
        </w:tc>
      </w:tr>
      <w:tr>
        <w:trPr>
          <w:cantSplit/>
        </w:trPr>
        <w:tc>
          <w:tcPr>
            <w:tcW w:type="dxa" w:w="71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AL-10: </w:t>
            </w:r>
            <w:r>
              <w:rPr>
                <w:rFonts w:ascii="Courier New" w:cs="Courier New" w:eastAsia="Courier New" w:hAnsi="Courier New"/>
                <w:b w:val="false"/>
                <w:bCs w:val="false"/>
                <w:color w:val="1F2937"/>
                <w:sz w:val="16"/>
                <w:szCs w:val="16"/>
                <w:shd w:fill="F1F3F5" w:color="auto" w:val="clear"/>
                <w:rtl/>
              </w:rPr>
              <w:t xml:space="preserve">‎UNWRAP_FAILED‎</w:t>
            </w:r>
            <w:r>
              <w:rPr>
                <w:rFonts w:ascii="Arial" w:cs="Arial" w:eastAsia="Arial" w:hAnsi="Arial"/>
                <w:b w:val="false"/>
                <w:bCs w:val="false"/>
                <w:sz w:val="18"/>
                <w:szCs w:val="18"/>
                <w:rtl/>
              </w:rPr>
              <w:t xml:space="preserve"> (db/model/10-platform.model:293)</w:t>
            </w:r>
          </w:p>
        </w:tc>
        <w:tc>
          <w:tcPr>
            <w:tcW w:type="dxa" w:w="11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IC-3</w:t>
            </w:r>
          </w:p>
        </w:tc>
        <w:tc>
          <w:tcPr>
            <w:tcW w:type="dxa" w:w="15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IS-2</w:t>
            </w:r>
          </w:p>
        </w:tc>
      </w:tr>
      <w:tr>
        <w:trPr>
          <w:cantSplit/>
        </w:trPr>
        <w:tc>
          <w:tcPr>
            <w:tcW w:type="dxa" w:w="71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AL-12: فشل السلسلة أو </w:t>
            </w:r>
            <w:r>
              <w:rPr>
                <w:rFonts w:ascii="Courier New" w:cs="Courier New" w:eastAsia="Courier New" w:hAnsi="Courier New"/>
                <w:b w:val="false"/>
                <w:bCs w:val="false"/>
                <w:color w:val="1F2937"/>
                <w:sz w:val="16"/>
                <w:szCs w:val="16"/>
                <w:shd w:fill="F1F3F5" w:color="auto" w:val="clear"/>
                <w:rtl/>
              </w:rPr>
              <w:t xml:space="preserve">‎MISMATCH‎</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‎MISSING‎</w:t>
            </w:r>
            <w:r>
              <w:rPr>
                <w:rFonts w:ascii="Arial" w:cs="Arial" w:eastAsia="Arial" w:hAnsi="Arial"/>
                <w:b w:val="false"/>
                <w:bCs w:val="false"/>
                <w:sz w:val="18"/>
                <w:szCs w:val="18"/>
                <w:rtl/>
              </w:rPr>
              <w:t xml:space="preserve"> (db/model/10-platform.model:399)</w:t>
            </w:r>
          </w:p>
        </w:tc>
        <w:tc>
          <w:tcPr>
            <w:tcW w:type="dxa" w:w="11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IC-5</w:t>
            </w:r>
          </w:p>
        </w:tc>
        <w:tc>
          <w:tcPr>
            <w:tcW w:type="dxa" w:w="15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IS-2</w:t>
            </w:r>
          </w:p>
        </w:tc>
      </w:tr>
      <w:tr>
        <w:trPr>
          <w:cantSplit/>
        </w:trPr>
        <w:tc>
          <w:tcPr>
            <w:tcW w:type="dxa" w:w="71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AL-20: أكثر من 20 كشفًا في ساعة (BR-PTY-009)</w:t>
            </w:r>
          </w:p>
        </w:tc>
        <w:tc>
          <w:tcPr>
            <w:tcW w:type="dxa" w:w="11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IC-7</w:t>
            </w:r>
          </w:p>
        </w:tc>
        <w:tc>
          <w:tcPr>
            <w:tcW w:type="dxa" w:w="15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IS-3</w:t>
            </w:r>
          </w:p>
        </w:tc>
      </w:tr>
      <w:tr>
        <w:trPr>
          <w:cantSplit/>
        </w:trPr>
        <w:tc>
          <w:tcPr>
            <w:tcW w:type="dxa" w:w="71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مسح السجلات يجد قيمة مقيّدة (NFR-SEC-14)</w:t>
            </w:r>
          </w:p>
        </w:tc>
        <w:tc>
          <w:tcPr>
            <w:tcW w:type="dxa" w:w="11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IC-6</w:t>
            </w:r>
          </w:p>
        </w:tc>
        <w:tc>
          <w:tcPr>
            <w:tcW w:type="dxa" w:w="15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IS-2</w:t>
            </w:r>
          </w:p>
        </w:tc>
      </w:tr>
      <w:tr>
        <w:trPr>
          <w:cantSplit/>
        </w:trPr>
        <w:tc>
          <w:tcPr>
            <w:tcW w:type="dxa" w:w="71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AL-01 مع ملفات مشفّرة أو رسالة فدية</w:t>
            </w:r>
          </w:p>
        </w:tc>
        <w:tc>
          <w:tcPr>
            <w:tcW w:type="dxa" w:w="11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IC-4</w:t>
            </w:r>
          </w:p>
        </w:tc>
        <w:tc>
          <w:tcPr>
            <w:tcW w:type="dxa" w:w="15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IS-1</w:t>
            </w:r>
          </w:p>
        </w:tc>
      </w:tr>
      <w:tr>
        <w:trPr>
          <w:cantSplit/>
        </w:trPr>
        <w:tc>
          <w:tcPr>
            <w:tcW w:type="dxa" w:w="71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إشعار من معالج فرعي (DOC-S07 §9)</w:t>
            </w:r>
          </w:p>
        </w:tc>
        <w:tc>
          <w:tcPr>
            <w:tcW w:type="dxa" w:w="11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IC-9</w:t>
            </w:r>
          </w:p>
        </w:tc>
        <w:tc>
          <w:tcPr>
            <w:tcW w:type="dxa" w:w="15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بحسب المحتوى</w:t>
            </w:r>
          </w:p>
        </w:tc>
      </w:tr>
      <w:tr>
        <w:trPr>
          <w:cantSplit/>
        </w:trPr>
        <w:tc>
          <w:tcPr>
            <w:tcW w:type="dxa" w:w="71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بلاغ خارجي على قناة الأمن المنشورة</w:t>
            </w:r>
          </w:p>
        </w:tc>
        <w:tc>
          <w:tcPr>
            <w:tcW w:type="dxa" w:w="11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فئة</w:t>
            </w:r>
          </w:p>
        </w:tc>
        <w:tc>
          <w:tcPr>
            <w:tcW w:type="dxa" w:w="15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الفرز</w:t>
            </w:r>
          </w:p>
        </w:tc>
      </w:tr>
    </w:tbl>
    <w:p>
      <w:pPr>
        <w:bidi/>
        <w:spacing w:after="120" w:before="0"/>
      </w:pPr>
    </w:p>
    <w:p>
      <w:pPr>
        <w:bidi/>
        <w:spacing w:after="110" w:before="0" w:line="312"/>
      </w:pPr>
      <w:r>
        <w:rPr>
          <w:rFonts w:ascii="Arial" w:cs="Arial" w:eastAsia="Arial" w:hAnsi="Arial"/>
          <w:b w:val="false"/>
          <w:bCs w:val="false"/>
          <w:sz w:val="21"/>
          <w:szCs w:val="21"/>
          <w:rtl/>
        </w:rPr>
        <w:t xml:space="preserve">قناة البلاغ المقترحة: </w:t>
      </w:r>
      <w:r>
        <w:rPr>
          <w:rFonts w:ascii="Courier New" w:cs="Courier New" w:eastAsia="Courier New" w:hAnsi="Courier New"/>
          <w:b w:val="false"/>
          <w:bCs w:val="false"/>
          <w:color w:val="1F2937"/>
          <w:sz w:val="18"/>
          <w:szCs w:val="18"/>
          <w:shd w:fill="F1F3F5" w:color="auto" w:val="clear"/>
          <w:rtl/>
        </w:rPr>
        <w:t xml:space="preserve">‎security@bankfas.com‎</w:t>
      </w:r>
      <w:r>
        <w:rPr>
          <w:rFonts w:ascii="Arial" w:cs="Arial" w:eastAsia="Arial" w:hAnsi="Arial"/>
          <w:b w:val="false"/>
          <w:bCs w:val="false"/>
          <w:sz w:val="21"/>
          <w:szCs w:val="21"/>
          <w:rtl/>
        </w:rPr>
        <w:t xml:space="preserve"> منشورة على الموقع (DQ-S15-2).</w:t>
      </w:r>
    </w:p>
    <w:p>
      <w:pPr>
        <w:pStyle w:val="Heading1"/>
        <w:bidi/>
      </w:pPr>
      <w:bookmarkStart w:name="_sec7" w:id="7"/>
      <w:r>
        <w:rPr>
          <w:rFonts w:ascii="Arial" w:cs="Arial" w:eastAsia="Arial" w:hAnsi="Arial"/>
          <w:b/>
          <w:bCs/>
          <w:color w:val="1F3A5F"/>
          <w:sz w:val="32"/>
          <w:szCs w:val="32"/>
          <w:rtl/>
        </w:rPr>
        <w:t xml:space="preserve">7. دورة الاستجابة</w:t>
      </w:r>
      <w:bookmarkEnd w:id="7"/>
    </w:p>
    <w:p>
      <w:pPr>
        <w:keepNext/>
        <w:bidi/>
        <w:spacing w:after="60" w:before="160"/>
        <w:jc w:val="center"/>
      </w:pPr>
      <w:r>
        <w:drawing>
          <wp:inline distT="0" distB="0" distL="0" distR="0">
            <wp:extent cx="5410200" cy="8191500"/>
            <wp:effectExtent t="0" r="0" b="0" l="0"/>
            <wp:docPr id="1" name="diagram-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10200" cy="8191500"/>
                    </a:xfrm>
                    <a:prstGeom prst="rect">
                      <a:avLst/>
                    </a:prstGeom>
                  </pic:spPr>
                </pic:pic>
              </a:graphicData>
            </a:graphic>
          </wp:inline>
        </w:drawing>
      </w:r>
    </w:p>
    <w:p>
      <w:pPr>
        <w:pStyle w:val="ListParagraph"/>
        <w:numPr>
          <w:ilvl w:val="0"/>
          <w:numId w:val="2"/>
        </w:numPr>
        <w:bidi/>
        <w:spacing w:after="70" w:before="0" w:line="300"/>
      </w:pPr>
      <w:r>
        <w:rPr>
          <w:rFonts w:ascii="Arial" w:cs="Arial" w:eastAsia="Arial" w:hAnsi="Arial"/>
          <w:b w:val="false"/>
          <w:bCs w:val="false"/>
          <w:sz w:val="21"/>
          <w:szCs w:val="21"/>
          <w:rtl/>
        </w:rPr>
        <w:t xml:space="preserve">الاحتواء وحفظ الأدلة متوازيان، والأولوية لوقف الضرر. ما يمكن حفظه قبل التغيير يُحفظ أولًا (§9).</w:t>
      </w:r>
    </w:p>
    <w:p>
      <w:pPr>
        <w:pStyle w:val="ListParagraph"/>
        <w:numPr>
          <w:ilvl w:val="0"/>
          <w:numId w:val="2"/>
        </w:numPr>
        <w:bidi/>
        <w:spacing w:after="70" w:before="0" w:line="300"/>
      </w:pPr>
      <w:r>
        <w:rPr>
          <w:rFonts w:ascii="Arial" w:cs="Arial" w:eastAsia="Arial" w:hAnsi="Arial"/>
          <w:b w:val="false"/>
          <w:bCs w:val="false"/>
          <w:sz w:val="21"/>
          <w:szCs w:val="21"/>
          <w:rtl/>
        </w:rPr>
        <w:t xml:space="preserve">تقييم الخرق يبدأ مع الإعلان، لا بعد التعافي، لأن مهلة إبلاغ المشترك تبدأ من التأكيد (§10.2).</w:t>
      </w:r>
    </w:p>
    <w:p>
      <w:pPr>
        <w:bidi/>
        <w:spacing w:after="60" w:before="0"/>
      </w:pPr>
    </w:p>
    <w:p>
      <w:pPr>
        <w:pStyle w:val="Heading1"/>
        <w:bidi/>
      </w:pPr>
      <w:bookmarkStart w:name="_sec8" w:id="8"/>
      <w:r>
        <w:rPr>
          <w:rFonts w:ascii="Arial" w:cs="Arial" w:eastAsia="Arial" w:hAnsi="Arial"/>
          <w:b/>
          <w:bCs/>
          <w:color w:val="1F3A5F"/>
          <w:sz w:val="32"/>
          <w:szCs w:val="32"/>
          <w:rtl/>
        </w:rPr>
        <w:t xml:space="preserve">8. الاحتواء للسيناريوهات الرئيسية</w:t>
      </w:r>
      <w:bookmarkEnd w:id="8"/>
    </w:p>
    <w:p>
      <w:pPr>
        <w:pStyle w:val="Heading2"/>
        <w:bidi/>
      </w:pPr>
      <w:bookmarkStart w:name="_sec9" w:id="9"/>
      <w:r>
        <w:rPr>
          <w:rFonts w:ascii="Arial" w:cs="Arial" w:eastAsia="Arial" w:hAnsi="Arial"/>
          <w:b/>
          <w:bCs/>
          <w:color w:val="2B5C8A"/>
          <w:sz w:val="26"/>
          <w:szCs w:val="26"/>
          <w:rtl/>
        </w:rPr>
        <w:t xml:space="preserve">8.1 IC-1 تعرّض بين المشتركين</w:t>
      </w:r>
      <w:bookmarkEnd w:id="9"/>
    </w:p>
    <w:p>
      <w:pPr>
        <w:pStyle w:val="ListParagraph"/>
        <w:numPr>
          <w:ilvl w:val="0"/>
          <w:numId w:val="3"/>
        </w:numPr>
        <w:bidi/>
        <w:spacing w:after="70" w:before="0" w:line="300"/>
      </w:pPr>
      <w:r>
        <w:rPr>
          <w:rFonts w:ascii="Arial" w:cs="Arial" w:eastAsia="Arial" w:hAnsi="Arial"/>
          <w:b/>
          <w:bCs/>
          <w:sz w:val="21"/>
          <w:szCs w:val="21"/>
          <w:rtl/>
        </w:rPr>
        <w:t xml:space="preserve">التأكيد بأقل وصول:</w:t>
      </w:r>
      <w:r>
        <w:rPr>
          <w:rFonts w:ascii="Arial" w:cs="Arial" w:eastAsia="Arial" w:hAnsi="Arial"/>
          <w:b w:val="false"/>
          <w:bCs w:val="false"/>
          <w:sz w:val="21"/>
          <w:szCs w:val="21"/>
          <w:rtl/>
        </w:rPr>
        <w:t xml:space="preserve"> معرّفات الارتباط من البلاغ أو التنبيه، ثم سجلات التطبيق في المخزن المركزي (DOC-S12 §4). المنصة لا تقرأ تدقيق المشتركين (db/static/010_rls.sql:84؛ T38)، فقراءة صفوف المشترك للتحقيق تتم بالوصول الطارئ بشخصين وتُسجَّل (DOC-S08 §9).</w:t>
      </w:r>
    </w:p>
    <w:p>
      <w:pPr>
        <w:pStyle w:val="ListParagraph"/>
        <w:numPr>
          <w:ilvl w:val="0"/>
          <w:numId w:val="3"/>
        </w:numPr>
        <w:bidi/>
        <w:spacing w:after="70" w:before="0" w:line="300"/>
      </w:pPr>
      <w:r>
        <w:rPr>
          <w:rFonts w:ascii="Arial" w:cs="Arial" w:eastAsia="Arial" w:hAnsi="Arial"/>
          <w:b/>
          <w:bCs/>
          <w:sz w:val="21"/>
          <w:szCs w:val="21"/>
          <w:rtl/>
        </w:rPr>
        <w:t xml:space="preserve">الوقف:</w:t>
      </w:r>
      <w:r>
        <w:rPr>
          <w:rFonts w:ascii="Arial" w:cs="Arial" w:eastAsia="Arial" w:hAnsi="Arial"/>
          <w:b w:val="false"/>
          <w:bCs w:val="false"/>
          <w:sz w:val="21"/>
          <w:szCs w:val="21"/>
          <w:rtl/>
        </w:rPr>
        <w:t xml:space="preserve"> إن عُرفت الوظيفة أو نقطة الواجهة، تُعطَّل بإعداد أو تُحجب عند الوكيل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وإن لم تُعرف، وضع الصيانة لكل المشتركين بقرار OWN.</w:t>
      </w:r>
    </w:p>
    <w:p>
      <w:pPr>
        <w:pStyle w:val="ListParagraph"/>
        <w:numPr>
          <w:ilvl w:val="0"/>
          <w:numId w:val="3"/>
        </w:numPr>
        <w:bidi/>
        <w:spacing w:after="70" w:before="0" w:line="300"/>
      </w:pPr>
      <w:r>
        <w:rPr>
          <w:rFonts w:ascii="Arial" w:cs="Arial" w:eastAsia="Arial" w:hAnsi="Arial"/>
          <w:b/>
          <w:bCs/>
          <w:sz w:val="21"/>
          <w:szCs w:val="21"/>
          <w:rtl/>
        </w:rPr>
        <w:t xml:space="preserve">قطع الجلسات المعنية:</w:t>
      </w:r>
      <w:r>
        <w:rPr>
          <w:rFonts w:ascii="Arial" w:cs="Arial" w:eastAsia="Arial" w:hAnsi="Arial"/>
          <w:b w:val="false"/>
          <w:bCs w:val="false"/>
          <w:sz w:val="21"/>
          <w:szCs w:val="21"/>
          <w:rtl/>
        </w:rPr>
        <w:t xml:space="preserve"> إنهاء جلسات المستخدمين الذين رأوا البيانات، فيُسحب ربطهم فورًا (db/static/030_session_context.sql:269-283).</w:t>
      </w:r>
    </w:p>
    <w:p>
      <w:pPr>
        <w:pStyle w:val="ListParagraph"/>
        <w:numPr>
          <w:ilvl w:val="0"/>
          <w:numId w:val="3"/>
        </w:numPr>
        <w:bidi/>
        <w:spacing w:after="70" w:before="0" w:line="300"/>
      </w:pPr>
      <w:r>
        <w:rPr>
          <w:rFonts w:ascii="Arial" w:cs="Arial" w:eastAsia="Arial" w:hAnsi="Arial"/>
          <w:b/>
          <w:bCs/>
          <w:sz w:val="21"/>
          <w:szCs w:val="21"/>
          <w:rtl/>
        </w:rPr>
        <w:t xml:space="preserve">فحص حارس القاعدة:</w:t>
      </w:r>
      <w:r>
        <w:rPr>
          <w:rFonts w:ascii="Arial" w:cs="Arial" w:eastAsia="Arial" w:hAnsi="Arial"/>
          <w:b w:val="false"/>
          <w:bCs w:val="false"/>
          <w:sz w:val="21"/>
          <w:szCs w:val="21"/>
          <w:rtl/>
        </w:rPr>
        <w:t xml:space="preserve"> هل السياسات مفعّلة؟ هل تغيّرت منحة أو سياسة؟ (DOC-S11 §8.2، وAL-18). ثم اختبارات العزل على الوسم نفسه في بيئة الاختبار، لا على الإنتاج (DOC-S11 §8.3).</w:t>
      </w:r>
    </w:p>
    <w:p>
      <w:pPr>
        <w:pStyle w:val="ListParagraph"/>
        <w:numPr>
          <w:ilvl w:val="0"/>
          <w:numId w:val="3"/>
        </w:numPr>
        <w:bidi/>
        <w:spacing w:after="70" w:before="0" w:line="300"/>
      </w:pPr>
      <w:r>
        <w:rPr>
          <w:rFonts w:ascii="Arial" w:cs="Arial" w:eastAsia="Arial" w:hAnsi="Arial"/>
          <w:b/>
          <w:bCs/>
          <w:sz w:val="21"/>
          <w:szCs w:val="21"/>
          <w:rtl/>
        </w:rPr>
        <w:t xml:space="preserve">الاستئصال:</w:t>
      </w:r>
      <w:r>
        <w:rPr>
          <w:rFonts w:ascii="Arial" w:cs="Arial" w:eastAsia="Arial" w:hAnsi="Arial"/>
          <w:b w:val="false"/>
          <w:bCs w:val="false"/>
          <w:sz w:val="21"/>
          <w:szCs w:val="21"/>
          <w:rtl/>
        </w:rPr>
        <w:t xml:space="preserve"> إصلاح مع اختبار انحدار جديد في db/tests أو في اختبارات الواجهة (DOC-S13)، ثم نشر وفق DOC-S11.</w:t>
      </w:r>
    </w:p>
    <w:p>
      <w:pPr>
        <w:pStyle w:val="ListParagraph"/>
        <w:numPr>
          <w:ilvl w:val="0"/>
          <w:numId w:val="3"/>
        </w:numPr>
        <w:bidi/>
        <w:spacing w:after="70" w:before="0" w:line="300"/>
      </w:pPr>
      <w:r>
        <w:rPr>
          <w:rFonts w:ascii="Arial" w:cs="Arial" w:eastAsia="Arial" w:hAnsi="Arial"/>
          <w:b/>
          <w:bCs/>
          <w:sz w:val="21"/>
          <w:szCs w:val="21"/>
          <w:rtl/>
        </w:rPr>
        <w:t xml:space="preserve">الإخطار:</w:t>
      </w:r>
      <w:r>
        <w:rPr>
          <w:rFonts w:ascii="Arial" w:cs="Arial" w:eastAsia="Arial" w:hAnsi="Arial"/>
          <w:b w:val="false"/>
          <w:bCs w:val="false"/>
          <w:sz w:val="21"/>
          <w:szCs w:val="21"/>
          <w:rtl/>
        </w:rPr>
        <w:t xml:space="preserve"> المشترك صاحب البيانات، والمشترك المستقبِل بطلب تأكيد حذف ما رآه (DQ-S15-11).</w:t>
      </w:r>
    </w:p>
    <w:p>
      <w:pPr>
        <w:bidi/>
        <w:spacing w:after="60" w:before="0"/>
      </w:pPr>
    </w:p>
    <w:p>
      <w:pPr>
        <w:pStyle w:val="Heading2"/>
        <w:bidi/>
      </w:pPr>
      <w:bookmarkStart w:name="_sec10" w:id="10"/>
      <w:r>
        <w:rPr>
          <w:rFonts w:ascii="Arial" w:cs="Arial" w:eastAsia="Arial" w:hAnsi="Arial"/>
          <w:b/>
          <w:bCs/>
          <w:color w:val="2B5C8A"/>
          <w:sz w:val="26"/>
          <w:szCs w:val="26"/>
          <w:rtl/>
        </w:rPr>
        <w:t xml:space="preserve">8.2 IC-2 اختراق بيانات اعتماد</w:t>
      </w:r>
      <w:bookmarkEnd w:id="1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234"/>
        <w:gridCol w:w="6147"/>
        <w:gridCol w:w="1483"/>
      </w:tblGrid>
      <w:tr>
        <w:trPr>
          <w:cantSplit/>
          <w:tblHeader/>
        </w:trPr>
        <w:tc>
          <w:tcPr>
            <w:tcW w:type="dxa" w:w="22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الحساب</w:t>
            </w:r>
          </w:p>
        </w:tc>
        <w:tc>
          <w:tcPr>
            <w:tcW w:type="dxa" w:w="614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الاحتواء الفوري</w:t>
            </w:r>
          </w:p>
        </w:tc>
        <w:tc>
          <w:tcPr>
            <w:tcW w:type="dxa" w:w="14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بعده</w:t>
            </w:r>
          </w:p>
        </w:tc>
      </w:tr>
      <w:tr>
        <w:trPr>
          <w:cantSplit/>
        </w:trPr>
        <w:tc>
          <w:tcPr>
            <w:tcW w:type="dxa" w:w="22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مستخدم مشترك</w:t>
            </w:r>
          </w:p>
        </w:tc>
        <w:tc>
          <w:tcPr>
            <w:tcW w:type="dxa" w:w="61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تعطيله يسحب ربطه (db/static/030_session_context.sql:245-256)، وإنهاء جلساته</w:t>
            </w:r>
          </w:p>
        </w:tc>
        <w:tc>
          <w:tcPr>
            <w:tcW w:type="dxa" w:w="14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إعادة كلمة المرور وMFA بيد مدير الحساب، ومراجعة تدقيقه</w:t>
            </w:r>
          </w:p>
        </w:tc>
      </w:tr>
      <w:tr>
        <w:trPr>
          <w:cantSplit/>
        </w:trPr>
        <w:tc>
          <w:tcPr>
            <w:tcW w:type="dxa" w:w="22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حساب</w:t>
            </w:r>
          </w:p>
        </w:tc>
        <w:tc>
          <w:tcPr>
            <w:tcW w:type="dxa" w:w="61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كما سبق، وإبلاغ مدير حساب آخر للمشترك</w:t>
            </w:r>
          </w:p>
        </w:tc>
        <w:tc>
          <w:tcPr>
            <w:tcW w:type="dxa" w:w="14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مراجعة أحداث </w:t>
            </w:r>
            <w:r>
              <w:rPr>
                <w:rFonts w:ascii="Courier New" w:cs="Courier New" w:eastAsia="Courier New" w:hAnsi="Courier New"/>
                <w:b w:val="false"/>
                <w:bCs w:val="false"/>
                <w:color w:val="1F2937"/>
                <w:sz w:val="16"/>
                <w:szCs w:val="16"/>
                <w:shd w:fill="F1F3F5" w:color="auto" w:val="clear"/>
                <w:rtl/>
              </w:rPr>
              <w:t xml:space="preserve">‎CONFIG‎</w:t>
            </w:r>
            <w:r>
              <w:rPr>
                <w:rFonts w:ascii="Arial" w:cs="Arial" w:eastAsia="Arial" w:hAnsi="Arial"/>
                <w:b w:val="false"/>
                <w:bCs w:val="false"/>
                <w:sz w:val="18"/>
                <w:szCs w:val="18"/>
                <w:rtl/>
              </w:rPr>
              <w:t xml:space="preserve"> التي أجراها</w:t>
            </w:r>
          </w:p>
        </w:tc>
      </w:tr>
      <w:tr>
        <w:trPr>
          <w:cantSplit/>
        </w:trPr>
        <w:tc>
          <w:tcPr>
            <w:tcW w:type="dxa" w:w="22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مشغّل منصة</w:t>
            </w:r>
          </w:p>
        </w:tc>
        <w:tc>
          <w:tcPr>
            <w:tcW w:type="dxa" w:w="61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تعطيله في </w:t>
            </w:r>
            <w:r>
              <w:rPr>
                <w:rFonts w:ascii="Courier New" w:cs="Courier New" w:eastAsia="Courier New" w:hAnsi="Courier New"/>
                <w:b w:val="false"/>
                <w:bCs w:val="false"/>
                <w:color w:val="1F2937"/>
                <w:sz w:val="16"/>
                <w:szCs w:val="16"/>
                <w:shd w:fill="F1F3F5" w:color="auto" w:val="clear"/>
                <w:rtl/>
              </w:rPr>
              <w:t xml:space="preserve">‎plat.PlatformOperator‎</w:t>
            </w:r>
            <w:r>
              <w:rPr>
                <w:rFonts w:ascii="Arial" w:cs="Arial" w:eastAsia="Arial" w:hAnsi="Arial"/>
                <w:b w:val="false"/>
                <w:bCs w:val="false"/>
                <w:sz w:val="18"/>
                <w:szCs w:val="18"/>
                <w:rtl/>
              </w:rPr>
              <w:t xml:space="preserve"> وإنهاء جلساته</w:t>
            </w:r>
          </w:p>
        </w:tc>
        <w:tc>
          <w:tcPr>
            <w:tcW w:type="dxa" w:w="14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مراجعة أحداث </w:t>
            </w:r>
            <w:r>
              <w:rPr>
                <w:rFonts w:ascii="Courier New" w:cs="Courier New" w:eastAsia="Courier New" w:hAnsi="Courier New"/>
                <w:b w:val="false"/>
                <w:bCs w:val="false"/>
                <w:color w:val="1F2937"/>
                <w:sz w:val="16"/>
                <w:szCs w:val="16"/>
                <w:shd w:fill="F1F3F5" w:color="auto" w:val="clear"/>
                <w:rtl/>
              </w:rPr>
              <w:t xml:space="preserve">‎PLATFORM‎</w:t>
            </w:r>
            <w:r>
              <w:rPr>
                <w:rFonts w:ascii="Arial" w:cs="Arial" w:eastAsia="Arial" w:hAnsi="Arial"/>
                <w:b w:val="false"/>
                <w:bCs w:val="false"/>
                <w:sz w:val="18"/>
                <w:szCs w:val="18"/>
                <w:rtl/>
              </w:rPr>
              <w:t xml:space="preserve"> ومنح الدعم؛ دخول المشغّل بلا إجراء في القاعدة بعد (DOC-F01 G-05)</w:t>
            </w:r>
          </w:p>
        </w:tc>
      </w:tr>
      <w:tr>
        <w:trPr>
          <w:cantSplit/>
        </w:trPr>
        <w:tc>
          <w:tcPr>
            <w:tcW w:type="dxa" w:w="22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مفتاح SSH لمسؤول</w:t>
            </w:r>
          </w:p>
        </w:tc>
        <w:tc>
          <w:tcPr>
            <w:tcW w:type="dxa" w:w="61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حذف المفتاح وقفل الحساب (DOC-S10 §8.2)</w:t>
            </w:r>
          </w:p>
        </w:tc>
        <w:tc>
          <w:tcPr>
            <w:tcW w:type="dxa" w:w="14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مراجعة journald وauditd؛ إن استُعمل المفتاح يُقيَّم IC-4</w:t>
            </w:r>
          </w:p>
        </w:tc>
      </w:tr>
      <w:tr>
        <w:trPr>
          <w:cantSplit/>
        </w:trPr>
        <w:tc>
          <w:tcPr>
            <w:tcW w:type="dxa" w:w="22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خدمة في القاعدة</w:t>
            </w:r>
          </w:p>
        </w:tc>
        <w:tc>
          <w:tcPr>
            <w:tcW w:type="dxa" w:w="614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التحويل إلى الحساب البديل وتعطيل المسرّب (DOC-S08 §6)</w:t>
            </w:r>
          </w:p>
        </w:tc>
        <w:tc>
          <w:tcPr>
            <w:tcW w:type="dxa" w:w="14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مراجعة SQL Server Audit لمصادر الاتصال</w:t>
            </w:r>
          </w:p>
        </w:tc>
      </w:tr>
      <w:tr>
        <w:trPr>
          <w:cantSplit/>
        </w:trPr>
        <w:tc>
          <w:tcPr>
            <w:tcW w:type="dxa" w:w="22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‎bankfas_migrator‎</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‎breakglass‎</w:t>
            </w:r>
          </w:p>
        </w:tc>
        <w:tc>
          <w:tcPr>
            <w:tcW w:type="dxa" w:w="614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تعطيل وتدوير</w:t>
            </w:r>
          </w:p>
        </w:tc>
        <w:tc>
          <w:tcPr>
            <w:tcW w:type="dxa" w:w="14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مقارنة الكتالوج بالمتوقع (DOC-S11 §8.2) ومراجعة كل تغيير منذ آخر نشر</w:t>
            </w:r>
          </w:p>
        </w:tc>
      </w:tr>
    </w:tbl>
    <w:p>
      <w:pPr>
        <w:bidi/>
        <w:spacing w:after="120" w:before="0"/>
      </w:pPr>
    </w:p>
    <w:p>
      <w:pPr>
        <w:pStyle w:val="ListParagraph"/>
        <w:numPr>
          <w:ilvl w:val="0"/>
          <w:numId w:val="2"/>
        </w:numPr>
        <w:bidi/>
        <w:spacing w:after="70" w:before="0" w:line="300"/>
      </w:pPr>
      <w:r>
        <w:rPr>
          <w:rFonts w:ascii="Arial" w:cs="Arial" w:eastAsia="Arial" w:hAnsi="Arial"/>
          <w:b w:val="false"/>
          <w:bCs w:val="false"/>
          <w:sz w:val="21"/>
          <w:szCs w:val="21"/>
          <w:rtl/>
        </w:rPr>
        <w:t xml:space="preserve">المنصة لا تستطيع تعطيل مستخدم مشترك بلا مدير حسابه أو الوصول الطارئ، لأن </w:t>
      </w:r>
      <w:r>
        <w:rPr>
          <w:rFonts w:ascii="Courier New" w:cs="Courier New" w:eastAsia="Courier New" w:hAnsi="Courier New"/>
          <w:b w:val="false"/>
          <w:bCs w:val="false"/>
          <w:color w:val="1F2937"/>
          <w:sz w:val="18"/>
          <w:szCs w:val="18"/>
          <w:shd w:fill="F1F3F5" w:color="auto" w:val="clear"/>
          <w:rtl/>
        </w:rPr>
        <w:t xml:space="preserve">‎tp_platform‎</w:t>
      </w:r>
      <w:r>
        <w:rPr>
          <w:rFonts w:ascii="Arial" w:cs="Arial" w:eastAsia="Arial" w:hAnsi="Arial"/>
          <w:b w:val="false"/>
          <w:bCs w:val="false"/>
          <w:sz w:val="21"/>
          <w:szCs w:val="21"/>
          <w:rtl/>
        </w:rPr>
        <w:t xml:space="preserve"> بلا وصول إلى جداول المشترك (docs/20-database-design.md:117). المقترح إجراء منصة مدقَّق للاحتواء ضمن O-12 (20-database-design) (DQ-S15-6).</w:t>
      </w:r>
    </w:p>
    <w:p>
      <w:pPr>
        <w:pStyle w:val="ListParagraph"/>
        <w:numPr>
          <w:ilvl w:val="0"/>
          <w:numId w:val="2"/>
        </w:numPr>
        <w:bidi/>
        <w:spacing w:after="70" w:before="0" w:line="300"/>
      </w:pPr>
      <w:r>
        <w:rPr>
          <w:rFonts w:ascii="Arial" w:cs="Arial" w:eastAsia="Arial" w:hAnsi="Arial"/>
          <w:b w:val="false"/>
          <w:bCs w:val="false"/>
          <w:sz w:val="21"/>
          <w:szCs w:val="21"/>
          <w:rtl/>
        </w:rPr>
        <w:t xml:space="preserve">تعليق المشترك لا يمنع القراءة بربط جديد (O-18)، فلا يُعتمد عليه لوقف القراءة حتى يُحسم O-18 (DQ-S15-7). البديل اليوم: تعطيل المستخدمين وإنهاء الجلسات، أو حجب المشترك في التطبيق.</w:t>
      </w:r>
    </w:p>
    <w:p>
      <w:pPr>
        <w:pStyle w:val="ListParagraph"/>
        <w:numPr>
          <w:ilvl w:val="0"/>
          <w:numId w:val="2"/>
        </w:numPr>
        <w:bidi/>
        <w:spacing w:after="70" w:before="0" w:line="300"/>
      </w:pPr>
      <w:r>
        <w:rPr>
          <w:rFonts w:ascii="Arial" w:cs="Arial" w:eastAsia="Arial" w:hAnsi="Arial"/>
          <w:b w:val="false"/>
          <w:bCs w:val="false"/>
          <w:sz w:val="21"/>
          <w:szCs w:val="21"/>
          <w:rtl/>
        </w:rPr>
        <w:t xml:space="preserve">محاولات الدخول قابلة للحذف من اتصال التطبيق (O-24)، فالتحقيق يعتمد أيضًا على سجلات التطبيق المشحونة.</w:t>
      </w:r>
    </w:p>
    <w:p>
      <w:pPr>
        <w:bidi/>
        <w:spacing w:after="60" w:before="0"/>
      </w:pPr>
    </w:p>
    <w:p>
      <w:pPr>
        <w:pStyle w:val="Heading2"/>
        <w:bidi/>
      </w:pPr>
      <w:bookmarkStart w:name="_sec11" w:id="11"/>
      <w:r>
        <w:rPr>
          <w:rFonts w:ascii="Arial" w:cs="Arial" w:eastAsia="Arial" w:hAnsi="Arial"/>
          <w:b/>
          <w:bCs/>
          <w:color w:val="2B5C8A"/>
          <w:sz w:val="26"/>
          <w:szCs w:val="26"/>
          <w:rtl/>
        </w:rPr>
        <w:t xml:space="preserve">8.3 IC-3 اختراق مفتاح</w:t>
      </w:r>
      <w:bookmarkEnd w:id="1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536"/>
        <w:gridCol w:w="2254"/>
        <w:gridCol w:w="5074"/>
      </w:tblGrid>
      <w:tr>
        <w:trPr>
          <w:cantSplit/>
          <w:tblHeader/>
        </w:trPr>
        <w:tc>
          <w:tcPr>
            <w:tcW w:type="dxa" w:w="253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المفتاح (DOC-S02 §4)</w:t>
            </w:r>
          </w:p>
        </w:tc>
        <w:tc>
          <w:tcPr>
            <w:tcW w:type="dxa" w:w="22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الاحتواء</w:t>
            </w:r>
          </w:p>
        </w:tc>
        <w:tc>
          <w:tcPr>
            <w:tcW w:type="dxa" w:w="50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المعالجة</w:t>
            </w:r>
          </w:p>
        </w:tc>
      </w:tr>
      <w:tr>
        <w:trPr>
          <w:cantSplit/>
        </w:trPr>
        <w:tc>
          <w:tcPr>
            <w:tcW w:type="dxa" w:w="25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K-05 المفتاح الرئيسي</w:t>
            </w:r>
          </w:p>
        </w:tc>
        <w:tc>
          <w:tcPr>
            <w:tcW w:type="dxa" w:w="22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قطع وصول الهويات المشتبه بها إلى مخزن المفاتيح</w:t>
            </w:r>
          </w:p>
        </w:tc>
        <w:tc>
          <w:tcPr>
            <w:tcW w:type="dxa" w:w="50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تدوير K-05 وإعادة لف كل </w:t>
            </w:r>
            <w:r>
              <w:rPr>
                <w:rFonts w:ascii="Courier New" w:cs="Courier New" w:eastAsia="Courier New" w:hAnsi="Courier New"/>
                <w:b w:val="false"/>
                <w:bCs w:val="false"/>
                <w:color w:val="1F2937"/>
                <w:sz w:val="16"/>
                <w:szCs w:val="16"/>
                <w:shd w:fill="F1F3F5" w:color="auto" w:val="clear"/>
                <w:rtl/>
              </w:rPr>
              <w:t xml:space="preserve">‎sec.TenantKey‎</w:t>
            </w:r>
            <w:r>
              <w:rPr>
                <w:rFonts w:ascii="Arial" w:cs="Arial" w:eastAsia="Arial" w:hAnsi="Arial"/>
                <w:b w:val="false"/>
                <w:bCs w:val="false"/>
                <w:sz w:val="18"/>
                <w:szCs w:val="18"/>
                <w:rtl/>
              </w:rPr>
              <w:t xml:space="preserve"> وحدث </w:t>
            </w:r>
            <w:r>
              <w:rPr>
                <w:rFonts w:ascii="Courier New" w:cs="Courier New" w:eastAsia="Courier New" w:hAnsi="Courier New"/>
                <w:b w:val="false"/>
                <w:bCs w:val="false"/>
                <w:color w:val="1F2937"/>
                <w:sz w:val="16"/>
                <w:szCs w:val="16"/>
                <w:shd w:fill="F1F3F5" w:color="auto" w:val="clear"/>
                <w:rtl/>
              </w:rPr>
              <w:t xml:space="preserve">‎MASTER_KEY_CHANGED‎</w:t>
            </w:r>
            <w:r>
              <w:rPr>
                <w:rFonts w:ascii="Arial" w:cs="Arial" w:eastAsia="Arial" w:hAnsi="Arial"/>
                <w:b w:val="false"/>
                <w:bCs w:val="false"/>
                <w:sz w:val="18"/>
                <w:szCs w:val="18"/>
                <w:rtl/>
              </w:rPr>
              <w:t xml:space="preserve"> لكل مشترك (DOC-S02 §10). إن تسربت نسخة من القاعدة أيضًا تُعد مفاتيح DATA وBLIND_INDEX وFILE مكشوفة فتُدوَّر، ويُقيَّم الخرق لكل المشتركين</w:t>
            </w:r>
          </w:p>
        </w:tc>
      </w:tr>
      <w:tr>
        <w:trPr>
          <w:cantSplit/>
        </w:trPr>
        <w:tc>
          <w:tcPr>
            <w:tcW w:type="dxa" w:w="25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K-06 إلى K-08 لمشترك</w:t>
            </w:r>
          </w:p>
        </w:tc>
        <w:tc>
          <w:tcPr>
            <w:tcW w:type="dxa" w:w="22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إيقاف استعمال المفتاح المكشوف</w:t>
            </w:r>
          </w:p>
        </w:tc>
        <w:tc>
          <w:tcPr>
            <w:tcW w:type="dxa" w:w="50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مفتاح جديد وإعادة تشفير بالمهمة (DOC-S02 §10)، وإخطار المشترك</w:t>
            </w:r>
          </w:p>
        </w:tc>
      </w:tr>
      <w:tr>
        <w:trPr>
          <w:cantSplit/>
        </w:trPr>
        <w:tc>
          <w:tcPr>
            <w:tcW w:type="dxa" w:w="25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K-03 شهادة TDE</w:t>
            </w:r>
          </w:p>
        </w:tc>
        <w:tc>
          <w:tcPr>
            <w:tcW w:type="dxa" w:w="22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50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شهادة جديدة وإعادة تشفير DEK بها؛ وإن تسربت نسخة أيضًا يُعاد توليد K-04 (DOC-S02 §10). الأعمدة المقيّدة تبقى محمية بـ L3 ما دام K-05 سليمًا</w:t>
            </w:r>
          </w:p>
        </w:tc>
      </w:tr>
      <w:tr>
        <w:trPr>
          <w:cantSplit/>
        </w:trPr>
        <w:tc>
          <w:tcPr>
            <w:tcW w:type="dxa" w:w="25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K-09 مفتاح MFA للمشغّلين</w:t>
            </w:r>
          </w:p>
        </w:tc>
        <w:tc>
          <w:tcPr>
            <w:tcW w:type="dxa" w:w="22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50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تدوير وإعادة تسجيل MFA لكل مشغّل (DOC-S02 §12)</w:t>
            </w:r>
          </w:p>
        </w:tc>
      </w:tr>
      <w:tr>
        <w:trPr>
          <w:cantSplit/>
        </w:trPr>
        <w:tc>
          <w:tcPr>
            <w:tcW w:type="dxa" w:w="253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مفتاح TLS للنطاق</w:t>
            </w:r>
          </w:p>
        </w:tc>
        <w:tc>
          <w:tcPr>
            <w:tcW w:type="dxa" w:w="22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إلغاء الشهادة لدى الجهة المصدرة</w:t>
            </w:r>
          </w:p>
        </w:tc>
        <w:tc>
          <w:tcPr>
            <w:tcW w:type="dxa" w:w="50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مفتاح وشهادة جديدان (DOC-S05 §4.4)، وتقدير نافذة الاعتراض</w:t>
            </w:r>
          </w:p>
        </w:tc>
      </w:tr>
      <w:tr>
        <w:trPr>
          <w:cantSplit/>
        </w:trPr>
        <w:tc>
          <w:tcPr>
            <w:tcW w:type="dxa" w:w="253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مفتاح شهادة SQL Server أو مفتاح مضيف SSH</w:t>
            </w:r>
          </w:p>
        </w:tc>
        <w:tc>
          <w:tcPr>
            <w:tcW w:type="dxa" w:w="22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50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استبدال (DOC-S05 §5.2)، وإبلاغ البصمة الجديدة خارج القناة</w:t>
            </w:r>
          </w:p>
        </w:tc>
      </w:tr>
    </w:tbl>
    <w:p>
      <w:pPr>
        <w:bidi/>
        <w:spacing w:after="120" w:before="0"/>
      </w:pPr>
    </w:p>
    <w:p>
      <w:pPr>
        <w:bidi/>
        <w:spacing w:after="110" w:before="0" w:line="312"/>
      </w:pPr>
      <w:r>
        <w:rPr>
          <w:rFonts w:ascii="Arial" w:cs="Arial" w:eastAsia="Arial" w:hAnsi="Arial"/>
          <w:b w:val="false"/>
          <w:bCs w:val="false"/>
          <w:sz w:val="21"/>
          <w:szCs w:val="21"/>
          <w:rtl/>
        </w:rPr>
        <w:t xml:space="preserve">فقد K-05 (لا تسرّبه) يُعالج بالضمان في DOC-S02 §11.3، ويُسجَّل حادثًا هنا.</w:t>
      </w:r>
    </w:p>
    <w:p>
      <w:pPr>
        <w:pStyle w:val="Heading2"/>
        <w:bidi/>
      </w:pPr>
      <w:bookmarkStart w:name="_sec12" w:id="12"/>
      <w:r>
        <w:rPr>
          <w:rFonts w:ascii="Arial" w:cs="Arial" w:eastAsia="Arial" w:hAnsi="Arial"/>
          <w:b/>
          <w:bCs/>
          <w:color w:val="2B5C8A"/>
          <w:sz w:val="26"/>
          <w:szCs w:val="26"/>
          <w:rtl/>
        </w:rPr>
        <w:t xml:space="preserve">8.4 IC-4 برمجية فدية أو فقد الخادم أو اختراقه</w:t>
      </w:r>
      <w:bookmarkEnd w:id="12"/>
    </w:p>
    <w:p>
      <w:pPr>
        <w:pStyle w:val="ListParagraph"/>
        <w:numPr>
          <w:ilvl w:val="0"/>
          <w:numId w:val="4"/>
        </w:numPr>
        <w:bidi/>
        <w:spacing w:after="70" w:before="0" w:line="300"/>
      </w:pPr>
      <w:r>
        <w:rPr>
          <w:rFonts w:ascii="Arial" w:cs="Arial" w:eastAsia="Arial" w:hAnsi="Arial"/>
          <w:b/>
          <w:bCs/>
          <w:sz w:val="21"/>
          <w:szCs w:val="21"/>
          <w:rtl/>
        </w:rPr>
        <w:t xml:space="preserve">العزل:</w:t>
      </w:r>
      <w:r>
        <w:rPr>
          <w:rFonts w:ascii="Arial" w:cs="Arial" w:eastAsia="Arial" w:hAnsi="Arial"/>
          <w:b w:val="false"/>
          <w:bCs w:val="false"/>
          <w:sz w:val="21"/>
          <w:szCs w:val="21"/>
          <w:rtl/>
        </w:rPr>
        <w:t xml:space="preserve"> جدار المزوّد يمنع كل اتصال إلا من محطة المسؤول. لا إطفاء قبل جمع الأدلة المتطايرة إن أمكن (§9، E-5).</w:t>
      </w:r>
    </w:p>
    <w:p>
      <w:pPr>
        <w:pStyle w:val="ListParagraph"/>
        <w:numPr>
          <w:ilvl w:val="0"/>
          <w:numId w:val="4"/>
        </w:numPr>
        <w:bidi/>
        <w:spacing w:after="70" w:before="0" w:line="300"/>
      </w:pPr>
      <w:r>
        <w:rPr>
          <w:rFonts w:ascii="Arial" w:cs="Arial" w:eastAsia="Arial" w:hAnsi="Arial"/>
          <w:b/>
          <w:bCs/>
          <w:sz w:val="21"/>
          <w:szCs w:val="21"/>
          <w:rtl/>
        </w:rPr>
        <w:t xml:space="preserve">سحب الأسرار التي كانت على الخادم:</w:t>
      </w:r>
      <w:r>
        <w:rPr>
          <w:rFonts w:ascii="Arial" w:cs="Arial" w:eastAsia="Arial" w:hAnsi="Arial"/>
          <w:b w:val="false"/>
          <w:bCs w:val="false"/>
          <w:sz w:val="21"/>
          <w:szCs w:val="21"/>
          <w:rtl/>
        </w:rPr>
        <w:t xml:space="preserve"> سر حساب النشر، ومفتاح دفع النسخ، واعتماد شحن السجلات، وحسابات القاعدة، ومفاتيح SSH (DOC-S09 §8، الخطوة 13).</w:t>
      </w:r>
    </w:p>
    <w:p>
      <w:pPr>
        <w:pStyle w:val="ListParagraph"/>
        <w:numPr>
          <w:ilvl w:val="0"/>
          <w:numId w:val="4"/>
        </w:numPr>
        <w:bidi/>
        <w:spacing w:after="70" w:before="0" w:line="300"/>
      </w:pPr>
      <w:r>
        <w:rPr>
          <w:rFonts w:ascii="Arial" w:cs="Arial" w:eastAsia="Arial" w:hAnsi="Arial"/>
          <w:b/>
          <w:bCs/>
          <w:sz w:val="21"/>
          <w:szCs w:val="21"/>
          <w:rtl/>
        </w:rPr>
        <w:t xml:space="preserve">التحقق من النسخ:</w:t>
      </w:r>
      <w:r>
        <w:rPr>
          <w:rFonts w:ascii="Arial" w:cs="Arial" w:eastAsia="Arial" w:hAnsi="Arial"/>
          <w:b w:val="false"/>
          <w:bCs w:val="false"/>
          <w:sz w:val="21"/>
          <w:szCs w:val="21"/>
          <w:rtl/>
        </w:rPr>
        <w:t xml:space="preserve"> حساب الدفع كتابة فقط (DOC-S09 §5)، فالنسخ يُفترض سليمة. تُستعاد آخر سلسلة على خادم الاستعادة المعزول وتُفحص.</w:t>
      </w:r>
    </w:p>
    <w:p>
      <w:pPr>
        <w:pStyle w:val="ListParagraph"/>
        <w:numPr>
          <w:ilvl w:val="0"/>
          <w:numId w:val="4"/>
        </w:numPr>
        <w:bidi/>
        <w:spacing w:after="70" w:before="0" w:line="300"/>
      </w:pPr>
      <w:r>
        <w:rPr>
          <w:rFonts w:ascii="Arial" w:cs="Arial" w:eastAsia="Arial" w:hAnsi="Arial"/>
          <w:b/>
          <w:bCs/>
          <w:sz w:val="21"/>
          <w:szCs w:val="21"/>
          <w:rtl/>
        </w:rPr>
        <w:t xml:space="preserve">إعادة البناء لا التنظيف:</w:t>
      </w:r>
      <w:r>
        <w:rPr>
          <w:rFonts w:ascii="Arial" w:cs="Arial" w:eastAsia="Arial" w:hAnsi="Arial"/>
          <w:b w:val="false"/>
          <w:bCs w:val="false"/>
          <w:sz w:val="21"/>
          <w:szCs w:val="21"/>
          <w:rtl/>
        </w:rPr>
        <w:t xml:space="preserve"> خادم جديد بسكربت التجهيز (DOC-S10 §11)، واستعادة وفق DOC-S09 §8 إلى نقطة قبل الاختراق، يحددها المخزن المركزي غير القابل للتعديل.</w:t>
      </w:r>
    </w:p>
    <w:p>
      <w:pPr>
        <w:pStyle w:val="ListParagraph"/>
        <w:numPr>
          <w:ilvl w:val="0"/>
          <w:numId w:val="4"/>
        </w:numPr>
        <w:bidi/>
        <w:spacing w:after="70" w:before="0" w:line="300"/>
      </w:pPr>
      <w:r>
        <w:rPr>
          <w:rFonts w:ascii="Arial" w:cs="Arial" w:eastAsia="Arial" w:hAnsi="Arial"/>
          <w:b/>
          <w:bCs/>
          <w:sz w:val="21"/>
          <w:szCs w:val="21"/>
          <w:rtl/>
        </w:rPr>
        <w:t xml:space="preserve">المفاتيح:</w:t>
      </w:r>
      <w:r>
        <w:rPr>
          <w:rFonts w:ascii="Arial" w:cs="Arial" w:eastAsia="Arial" w:hAnsi="Arial"/>
          <w:b w:val="false"/>
          <w:bCs w:val="false"/>
          <w:sz w:val="21"/>
          <w:szCs w:val="21"/>
          <w:rtl/>
        </w:rPr>
        <w:t xml:space="preserve"> شهادة TDE كانت في master على الخادم المخترق، فتُعد مكشوفة (§8.3). وK-05 إن مُسّ مضيف التطبيق أيضًا.</w:t>
      </w:r>
    </w:p>
    <w:p>
      <w:pPr>
        <w:pStyle w:val="ListParagraph"/>
        <w:numPr>
          <w:ilvl w:val="0"/>
          <w:numId w:val="4"/>
        </w:numPr>
        <w:bidi/>
        <w:spacing w:after="70" w:before="0" w:line="300"/>
      </w:pPr>
      <w:r>
        <w:rPr>
          <w:rFonts w:ascii="Arial" w:cs="Arial" w:eastAsia="Arial" w:hAnsi="Arial"/>
          <w:b/>
          <w:bCs/>
          <w:sz w:val="21"/>
          <w:szCs w:val="21"/>
          <w:rtl/>
        </w:rPr>
        <w:t xml:space="preserve">تقييم الخرق:</w:t>
      </w:r>
      <w:r>
        <w:rPr>
          <w:rFonts w:ascii="Arial" w:cs="Arial" w:eastAsia="Arial" w:hAnsi="Arial"/>
          <w:b w:val="false"/>
          <w:bCs w:val="false"/>
          <w:sz w:val="21"/>
          <w:szCs w:val="21"/>
          <w:rtl/>
        </w:rPr>
        <w:t xml:space="preserve"> هل خرجت بيانات؟ سجلات الخروج في الجدار (DOC-S10 §6.2)، وأحداث </w:t>
      </w:r>
      <w:r>
        <w:rPr>
          <w:rFonts w:ascii="Courier New" w:cs="Courier New" w:eastAsia="Courier New" w:hAnsi="Courier New"/>
          <w:b w:val="false"/>
          <w:bCs w:val="false"/>
          <w:color w:val="1F2937"/>
          <w:sz w:val="18"/>
          <w:szCs w:val="18"/>
          <w:shd w:fill="F1F3F5" w:color="auto" w:val="clear"/>
          <w:rtl/>
        </w:rPr>
        <w:t xml:space="preserve">‎BACKUP_RESTORE_GROUP‎</w:t>
      </w:r>
      <w:r>
        <w:rPr>
          <w:rFonts w:ascii="Arial" w:cs="Arial" w:eastAsia="Arial" w:hAnsi="Arial"/>
          <w:b w:val="false"/>
          <w:bCs w:val="false"/>
          <w:sz w:val="21"/>
          <w:szCs w:val="21"/>
          <w:rtl/>
        </w:rPr>
        <w:t xml:space="preserve"> في SQL Server Audit (DOC-S12 §3.5).</w:t>
      </w:r>
    </w:p>
    <w:p>
      <w:pPr>
        <w:pStyle w:val="ListParagraph"/>
        <w:numPr>
          <w:ilvl w:val="0"/>
          <w:numId w:val="4"/>
        </w:numPr>
        <w:bidi/>
        <w:spacing w:after="70" w:before="0" w:line="300"/>
      </w:pPr>
      <w:r>
        <w:rPr>
          <w:rFonts w:ascii="Arial" w:cs="Arial" w:eastAsia="Arial" w:hAnsi="Arial"/>
          <w:b/>
          <w:bCs/>
          <w:sz w:val="21"/>
          <w:szCs w:val="21"/>
          <w:rtl/>
        </w:rPr>
        <w:t xml:space="preserve">الفدية:</w:t>
      </w:r>
      <w:r>
        <w:rPr>
          <w:rFonts w:ascii="Arial" w:cs="Arial" w:eastAsia="Arial" w:hAnsi="Arial"/>
          <w:b w:val="false"/>
          <w:bCs w:val="false"/>
          <w:sz w:val="21"/>
          <w:szCs w:val="21"/>
          <w:rtl/>
        </w:rPr>
        <w:t xml:space="preserve"> لا دفع؛ القرار للمالك مع المستشار (DQ-S15-9).</w:t>
      </w:r>
    </w:p>
    <w:p>
      <w:pPr>
        <w:bidi/>
        <w:spacing w:after="60" w:before="0"/>
      </w:pPr>
    </w:p>
    <w:p>
      <w:pPr>
        <w:bidi/>
        <w:spacing w:after="110" w:before="0" w:line="312"/>
      </w:pPr>
      <w:r>
        <w:rPr>
          <w:rFonts w:ascii="Arial" w:cs="Arial" w:eastAsia="Arial" w:hAnsi="Arial"/>
          <w:b w:val="false"/>
          <w:bCs w:val="false"/>
          <w:sz w:val="21"/>
          <w:szCs w:val="21"/>
          <w:rtl/>
        </w:rPr>
        <w:t xml:space="preserve">فقد الخادم بلا اختراق (عطل لدى المزوّد) يتبع DOC-S09 §8 وحده، ويُسجَّل حادث توفر بلا تقييم خرق ما لم تُفقد بيانات.</w:t>
      </w:r>
    </w:p>
    <w:p>
      <w:pPr>
        <w:pStyle w:val="Heading2"/>
        <w:bidi/>
      </w:pPr>
      <w:bookmarkStart w:name="_sec13" w:id="13"/>
      <w:r>
        <w:rPr>
          <w:rFonts w:ascii="Arial" w:cs="Arial" w:eastAsia="Arial" w:hAnsi="Arial"/>
          <w:b/>
          <w:bCs/>
          <w:color w:val="2B5C8A"/>
          <w:sz w:val="26"/>
          <w:szCs w:val="26"/>
          <w:rtl/>
        </w:rPr>
        <w:t xml:space="preserve">8.5 IC-5 إلى IC-9 باختصار</w:t>
      </w:r>
      <w:bookmarkEnd w:id="1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804"/>
        <w:gridCol w:w="7060"/>
      </w:tblGrid>
      <w:tr>
        <w:trPr>
          <w:cantSplit/>
          <w:tblHeader/>
        </w:trPr>
        <w:tc>
          <w:tcPr>
            <w:tcW w:type="dxa" w:w="28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الفئة</w:t>
            </w:r>
          </w:p>
        </w:tc>
        <w:tc>
          <w:tcPr>
            <w:tcW w:type="dxa" w:w="70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الاحتواء والمعالجة</w:t>
            </w:r>
          </w:p>
        </w:tc>
      </w:tr>
      <w:tr>
        <w:trPr>
          <w:cantSplit/>
        </w:trPr>
        <w:tc>
          <w:tcPr>
            <w:tcW w:type="dxa" w:w="28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IC-5 السلامة</w:t>
            </w:r>
          </w:p>
        </w:tc>
        <w:tc>
          <w:tcPr>
            <w:tcW w:type="dxa" w:w="70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حفظ حالة القاعدة ومخزن المراسي؛ تحديد الصفوف المتغيرة بمدى </w:t>
            </w:r>
            <w:r>
              <w:rPr>
                <w:rFonts w:ascii="Courier New" w:cs="Courier New" w:eastAsia="Courier New" w:hAnsi="Courier New"/>
                <w:b w:val="false"/>
                <w:bCs w:val="false"/>
                <w:color w:val="1F2937"/>
                <w:sz w:val="16"/>
                <w:szCs w:val="16"/>
                <w:shd w:fill="F1F3F5" w:color="auto" w:val="clear"/>
                <w:rtl/>
              </w:rPr>
              <w:t xml:space="preserve">‎ChainSeq‎</w:t>
            </w:r>
            <w:r>
              <w:rPr>
                <w:rFonts w:ascii="Arial" w:cs="Arial" w:eastAsia="Arial" w:hAnsi="Arial"/>
                <w:b w:val="false"/>
                <w:bCs w:val="false"/>
                <w:sz w:val="18"/>
                <w:szCs w:val="18"/>
                <w:rtl/>
              </w:rPr>
              <w:t xml:space="preserve">؛ مراجعة SQL Server Audit لتعديل جداول التدقيق ومن أجراه (AL-18). عبث بحساب مميّز ينقل الحادث إلى IC-2 بشدة IS-1 أو IS-2. ملف </w:t>
            </w:r>
            <w:r>
              <w:rPr>
                <w:rFonts w:ascii="Courier New" w:cs="Courier New" w:eastAsia="Courier New" w:hAnsi="Courier New"/>
                <w:b w:val="false"/>
                <w:bCs w:val="false"/>
                <w:color w:val="1F2937"/>
                <w:sz w:val="16"/>
                <w:szCs w:val="16"/>
                <w:shd w:fill="F1F3F5" w:color="auto" w:val="clear"/>
                <w:rtl/>
              </w:rPr>
              <w:t xml:space="preserve">‎MISMATCH‎</w:t>
            </w:r>
            <w:r>
              <w:rPr>
                <w:rFonts w:ascii="Arial" w:cs="Arial" w:eastAsia="Arial" w:hAnsi="Arial"/>
                <w:b w:val="false"/>
                <w:bCs w:val="false"/>
                <w:sz w:val="18"/>
                <w:szCs w:val="18"/>
                <w:rtl/>
              </w:rPr>
              <w:t xml:space="preserve"> يُقارن بنسخته في الموقع المنفصل</w:t>
            </w:r>
          </w:p>
        </w:tc>
      </w:tr>
      <w:tr>
        <w:trPr>
          <w:cantSplit/>
        </w:trPr>
        <w:tc>
          <w:tcPr>
            <w:tcW w:type="dxa" w:w="28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IC-6 قناة جانبية</w:t>
            </w:r>
          </w:p>
        </w:tc>
        <w:tc>
          <w:tcPr>
            <w:tcW w:type="dxa" w:w="70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تقييد الوصول إلى السجل أو الرسالة، وإصلاح المنقّح (DOC-F02 §8)، وحذف القيمة من المخزن بإجراء موثّق يوازن الحجز القانوني</w:t>
            </w:r>
          </w:p>
        </w:tc>
      </w:tr>
      <w:tr>
        <w:trPr>
          <w:cantSplit/>
        </w:trPr>
        <w:tc>
          <w:tcPr>
            <w:tcW w:type="dxa" w:w="28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IC-7 إساءة داخلية</w:t>
            </w:r>
          </w:p>
        </w:tc>
        <w:tc>
          <w:tcPr>
            <w:tcW w:type="dxa" w:w="70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المشترك صاحب القرار في موظفه؛ المنصة تزوّده بالمستخرج من تدقيقه وسجل الوصول الحساس</w:t>
            </w:r>
          </w:p>
        </w:tc>
      </w:tr>
      <w:tr>
        <w:trPr>
          <w:cantSplit/>
        </w:trPr>
        <w:tc>
          <w:tcPr>
            <w:tcW w:type="dxa" w:w="28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IC-8 التوفر</w:t>
            </w:r>
          </w:p>
        </w:tc>
        <w:tc>
          <w:tcPr>
            <w:tcW w:type="dxa" w:w="706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تقييد المعدل عند الحافة، وحجب العناوين، وفك الأقفال الجماعية بعد انتهاء الهجوم</w:t>
            </w:r>
          </w:p>
        </w:tc>
      </w:tr>
      <w:tr>
        <w:trPr>
          <w:cantSplit/>
        </w:trPr>
        <w:tc>
          <w:tcPr>
            <w:tcW w:type="dxa" w:w="28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IC-9 معالج فرعي</w:t>
            </w:r>
          </w:p>
        </w:tc>
        <w:tc>
          <w:tcPr>
            <w:tcW w:type="dxa" w:w="706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التفاصيل من المعالج، وتقييم الأثر، وإخطار المشتركين بحسب العقد</w:t>
            </w:r>
          </w:p>
        </w:tc>
      </w:tr>
    </w:tbl>
    <w:p>
      <w:pPr>
        <w:bidi/>
        <w:spacing w:after="120" w:before="0"/>
      </w:pPr>
    </w:p>
    <w:p>
      <w:pPr>
        <w:pStyle w:val="Heading1"/>
        <w:bidi/>
      </w:pPr>
      <w:bookmarkStart w:name="_sec14" w:id="14"/>
      <w:r>
        <w:rPr>
          <w:rFonts w:ascii="Arial" w:cs="Arial" w:eastAsia="Arial" w:hAnsi="Arial"/>
          <w:b/>
          <w:bCs/>
          <w:color w:val="1F3A5F"/>
          <w:sz w:val="32"/>
          <w:szCs w:val="32"/>
          <w:rtl/>
        </w:rPr>
        <w:t xml:space="preserve">9. حفظ الأدلة</w:t>
      </w:r>
      <w:bookmarkEnd w:id="14"/>
    </w:p>
    <w:p>
      <w:pPr>
        <w:bidi/>
        <w:spacing w:after="110" w:before="0" w:line="312"/>
      </w:pPr>
      <w:r>
        <w:rPr>
          <w:rFonts w:ascii="Arial" w:cs="Arial" w:eastAsia="Arial" w:hAnsi="Arial"/>
          <w:b/>
          <w:bCs/>
          <w:sz w:val="21"/>
          <w:szCs w:val="21"/>
          <w:rtl/>
        </w:rPr>
        <w:t xml:space="preserve">المبادئ </w:t>
      </w:r>
      <w:r>
        <w:rPr>
          <w:rFonts w:ascii="Arial" w:cs="Arial" w:eastAsia="Arial" w:hAnsi="Arial"/>
          <w:color w:val="E0A800"/>
          <w:sz w:val="21"/>
          <w:szCs w:val="21"/>
          <w:rtl/>
        </w:rPr>
        <w:t xml:space="preserve">●</w:t>
      </w:r>
      <w:r>
        <w:rPr>
          <w:rFonts w:ascii="Arial" w:cs="Arial" w:eastAsia="Arial" w:hAnsi="Arial"/>
          <w:b/>
          <w:bCs/>
          <w:sz w:val="21"/>
          <w:szCs w:val="21"/>
          <w:rtl/>
        </w:rPr>
        <w:t xml:space="preserve">:</w:t>
      </w:r>
      <w:r>
        <w:rPr>
          <w:rFonts w:ascii="Arial" w:cs="Arial" w:eastAsia="Arial" w:hAnsi="Arial"/>
          <w:b w:val="false"/>
          <w:bCs w:val="false"/>
          <w:sz w:val="21"/>
          <w:szCs w:val="21"/>
          <w:rtl/>
        </w:rPr>
        <w:t xml:space="preserve"> الحفظ قبل التغيير متى أمكن، وأقل وصول، وشخصان لكل جمع، وبصمة SHA-256 لكل عنصر، وتوقيت UTC، ولا تحليل على الإنتاج، والدليل الذي يحمل بيانات مقيّدة يبقى مقيّدًا.</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241"/>
        <w:gridCol w:w="4137"/>
        <w:gridCol w:w="4486"/>
      </w:tblGrid>
      <w:tr>
        <w:trPr>
          <w:cantSplit/>
          <w:tblHeader/>
        </w:trPr>
        <w:tc>
          <w:tcPr>
            <w:tcW w:type="dxa" w:w="124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413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الدليل</w:t>
            </w:r>
          </w:p>
        </w:tc>
        <w:tc>
          <w:tcPr>
            <w:tcW w:type="dxa" w:w="448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الطريقة</w:t>
            </w:r>
          </w:p>
        </w:tc>
      </w:tr>
      <w:tr>
        <w:trPr>
          <w:cantSplit/>
        </w:trPr>
        <w:tc>
          <w:tcPr>
            <w:tcW w:type="dxa" w:w="12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E-1</w:t>
            </w:r>
          </w:p>
        </w:tc>
        <w:tc>
          <w:tcPr>
            <w:tcW w:type="dxa" w:w="41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سجلات التطبيق والوكيل والنظام وسجل أخطاء SQL Server للنافذة الزمنية</w:t>
            </w:r>
          </w:p>
        </w:tc>
        <w:tc>
          <w:tcPr>
            <w:tcW w:type="dxa" w:w="44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تصدير من المخزن المركزي مع قائمة بصمات (DOC-S12 §5.2)</w:t>
            </w:r>
          </w:p>
        </w:tc>
      </w:tr>
      <w:tr>
        <w:trPr>
          <w:cantSplit/>
        </w:trPr>
        <w:tc>
          <w:tcPr>
            <w:tcW w:type="dxa" w:w="12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E-2</w:t>
            </w:r>
          </w:p>
        </w:tc>
        <w:tc>
          <w:tcPr>
            <w:tcW w:type="dxa" w:w="41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ملفات SQL Server Audit</w:t>
            </w:r>
          </w:p>
        </w:tc>
        <w:tc>
          <w:tcPr>
            <w:tcW w:type="dxa" w:w="44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موجودة في المخزن غير القابل للتعديل؛ تُسجَّل أسماؤها وبصماتها</w:t>
            </w:r>
          </w:p>
        </w:tc>
      </w:tr>
      <w:tr>
        <w:trPr>
          <w:cantSplit/>
        </w:trPr>
        <w:tc>
          <w:tcPr>
            <w:tcW w:type="dxa" w:w="12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E-3</w:t>
            </w:r>
          </w:p>
        </w:tc>
        <w:tc>
          <w:tcPr>
            <w:tcW w:type="dxa" w:w="41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صفوف التدقيق والوصول الحساس والدخول والجلسات للمشتركين والفترة المعنية</w:t>
            </w:r>
          </w:p>
        </w:tc>
        <w:tc>
          <w:tcPr>
            <w:tcW w:type="dxa" w:w="44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بالوصول الطارئ وبحث بمعرّف الارتباط والوقت، وتصدير ببصمة</w:t>
            </w:r>
          </w:p>
        </w:tc>
      </w:tr>
      <w:tr>
        <w:trPr>
          <w:cantSplit/>
        </w:trPr>
        <w:tc>
          <w:tcPr>
            <w:tcW w:type="dxa" w:w="12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E-4</w:t>
            </w:r>
          </w:p>
        </w:tc>
        <w:tc>
          <w:tcPr>
            <w:tcW w:type="dxa" w:w="41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الحماية في القاعدة: السياسات والمنح والحسابات والتدقيق وTDE</w:t>
            </w:r>
          </w:p>
        </w:tc>
        <w:tc>
          <w:tcPr>
            <w:tcW w:type="dxa" w:w="44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استعلامات القراءة في DOC-S11 §8.2</w:t>
            </w:r>
          </w:p>
        </w:tc>
      </w:tr>
      <w:tr>
        <w:trPr>
          <w:cantSplit/>
        </w:trPr>
        <w:tc>
          <w:tcPr>
            <w:tcW w:type="dxa" w:w="12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E-5</w:t>
            </w:r>
          </w:p>
        </w:tc>
        <w:tc>
          <w:tcPr>
            <w:tcW w:type="dxa" w:w="41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الخادم المخترق: العمليات والاتصالات والجلسات، والذاكرة إن أمكن</w:t>
            </w:r>
          </w:p>
        </w:tc>
        <w:tc>
          <w:tcPr>
            <w:tcW w:type="dxa" w:w="44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قبل العزل أو الإطفاء</w:t>
            </w:r>
          </w:p>
        </w:tc>
      </w:tr>
      <w:tr>
        <w:trPr>
          <w:cantSplit/>
        </w:trPr>
        <w:tc>
          <w:tcPr>
            <w:tcW w:type="dxa" w:w="12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E-6</w:t>
            </w:r>
          </w:p>
        </w:tc>
        <w:tc>
          <w:tcPr>
            <w:tcW w:type="dxa" w:w="41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لقطة القرص من المزوّد</w:t>
            </w:r>
          </w:p>
        </w:tc>
        <w:tc>
          <w:tcPr>
            <w:tcW w:type="dxa" w:w="44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بموافقة OWN فقط، لأنها تحمل البيانات ومفاتيح TDE معًا (DOC-S02 §3)؛ مشفّرة ومقيّدة الوصول</w:t>
            </w:r>
          </w:p>
        </w:tc>
      </w:tr>
      <w:tr>
        <w:trPr>
          <w:cantSplit/>
        </w:trPr>
        <w:tc>
          <w:tcPr>
            <w:tcW w:type="dxa" w:w="12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E-7</w:t>
            </w:r>
          </w:p>
        </w:tc>
        <w:tc>
          <w:tcPr>
            <w:tcW w:type="dxa" w:w="413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النشر وتشغيل CI للوسم المنشور</w:t>
            </w:r>
          </w:p>
        </w:tc>
        <w:tc>
          <w:tcPr>
            <w:tcW w:type="dxa" w:w="448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DOC-S11 §10</w:t>
            </w:r>
          </w:p>
        </w:tc>
      </w:tr>
      <w:tr>
        <w:trPr>
          <w:cantSplit/>
        </w:trPr>
        <w:tc>
          <w:tcPr>
            <w:tcW w:type="dxa" w:w="12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E-8</w:t>
            </w:r>
          </w:p>
        </w:tc>
        <w:tc>
          <w:tcPr>
            <w:tcW w:type="dxa" w:w="413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السجل الزمني للقرارات والاتصالات</w:t>
            </w:r>
          </w:p>
        </w:tc>
        <w:tc>
          <w:tcPr>
            <w:tcW w:type="dxa" w:w="448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الكاتب</w:t>
            </w:r>
          </w:p>
        </w:tc>
      </w:tr>
    </w:tbl>
    <w:p>
      <w:pPr>
        <w:bidi/>
        <w:spacing w:after="120" w:before="0"/>
      </w:pPr>
    </w:p>
    <w:p>
      <w:pPr>
        <w:pStyle w:val="ListParagraph"/>
        <w:numPr>
          <w:ilvl w:val="0"/>
          <w:numId w:val="2"/>
        </w:numPr>
        <w:bidi/>
        <w:spacing w:after="70" w:before="0" w:line="300"/>
      </w:pPr>
      <w:r>
        <w:rPr>
          <w:rFonts w:ascii="Arial" w:cs="Arial" w:eastAsia="Arial" w:hAnsi="Arial"/>
          <w:b/>
          <w:bCs/>
          <w:sz w:val="21"/>
          <w:szCs w:val="21"/>
          <w:rtl/>
        </w:rPr>
        <w:t xml:space="preserve">مخزن الأدلة:</w:t>
      </w:r>
      <w:r>
        <w:rPr>
          <w:rFonts w:ascii="Arial" w:cs="Arial" w:eastAsia="Arial" w:hAnsi="Arial"/>
          <w:b w:val="false"/>
          <w:bCs w:val="false"/>
          <w:sz w:val="21"/>
          <w:szCs w:val="21"/>
          <w:rtl/>
        </w:rPr>
        <w:t xml:space="preserve"> مكان منفصل للكتابة مرة واحدة، بوصول SEC وLEG فقط، وكل وصول مسجّل (DQ-S15-10).</w:t>
      </w:r>
    </w:p>
    <w:p>
      <w:pPr>
        <w:pStyle w:val="ListParagraph"/>
        <w:numPr>
          <w:ilvl w:val="0"/>
          <w:numId w:val="2"/>
        </w:numPr>
        <w:bidi/>
        <w:spacing w:after="70" w:before="0" w:line="300"/>
      </w:pPr>
      <w:r>
        <w:rPr>
          <w:rFonts w:ascii="Arial" w:cs="Arial" w:eastAsia="Arial" w:hAnsi="Arial"/>
          <w:b/>
          <w:bCs/>
          <w:sz w:val="21"/>
          <w:szCs w:val="21"/>
          <w:rtl/>
        </w:rPr>
        <w:t xml:space="preserve">سجل الحيازة:</w:t>
      </w:r>
      <w:r>
        <w:rPr>
          <w:rFonts w:ascii="Arial" w:cs="Arial" w:eastAsia="Arial" w:hAnsi="Arial"/>
          <w:b w:val="false"/>
          <w:bCs w:val="false"/>
          <w:sz w:val="21"/>
          <w:szCs w:val="21"/>
          <w:rtl/>
        </w:rPr>
        <w:t xml:space="preserve"> العنصر، والبصمة، ومن جمعه، والشاهد، والوقت، والمكان، وكل وصول لاحق.</w:t>
      </w:r>
    </w:p>
    <w:p>
      <w:pPr>
        <w:pStyle w:val="ListParagraph"/>
        <w:numPr>
          <w:ilvl w:val="0"/>
          <w:numId w:val="2"/>
        </w:numPr>
        <w:bidi/>
        <w:spacing w:after="70" w:before="0" w:line="300"/>
      </w:pPr>
      <w:r>
        <w:rPr>
          <w:rFonts w:ascii="Arial" w:cs="Arial" w:eastAsia="Arial" w:hAnsi="Arial"/>
          <w:b/>
          <w:bCs/>
          <w:sz w:val="21"/>
          <w:szCs w:val="21"/>
          <w:rtl/>
        </w:rPr>
        <w:t xml:space="preserve">الحجز القانوني:</w:t>
      </w:r>
      <w:r>
        <w:rPr>
          <w:rFonts w:ascii="Arial" w:cs="Arial" w:eastAsia="Arial" w:hAnsi="Arial"/>
          <w:b w:val="false"/>
          <w:bCs w:val="false"/>
          <w:sz w:val="21"/>
          <w:szCs w:val="21"/>
          <w:rtl/>
        </w:rPr>
        <w:t xml:space="preserve"> يوقف كل حذف بالاحتفاظ للسجلات المعنية (DOC-S12 §5.1) حتى يرفعه LEG.</w:t>
      </w:r>
    </w:p>
    <w:p>
      <w:pPr>
        <w:bidi/>
        <w:spacing w:after="60" w:before="0"/>
      </w:pPr>
    </w:p>
    <w:p>
      <w:pPr>
        <w:pStyle w:val="Heading1"/>
        <w:bidi/>
      </w:pPr>
      <w:bookmarkStart w:name="_sec15" w:id="15"/>
      <w:r>
        <w:rPr>
          <w:rFonts w:ascii="Arial" w:cs="Arial" w:eastAsia="Arial" w:hAnsi="Arial"/>
          <w:b/>
          <w:bCs/>
          <w:color w:val="1F3A5F"/>
          <w:sz w:val="32"/>
          <w:szCs w:val="32"/>
          <w:rtl/>
        </w:rPr>
        <w:t xml:space="preserve">10. الإخطار</w:t>
      </w:r>
      <w:bookmarkEnd w:id="15"/>
    </w:p>
    <w:p>
      <w:pPr>
        <w:pStyle w:val="Heading2"/>
        <w:bidi/>
      </w:pPr>
      <w:bookmarkStart w:name="_sec16" w:id="16"/>
      <w:r>
        <w:rPr>
          <w:rFonts w:ascii="Arial" w:cs="Arial" w:eastAsia="Arial" w:hAnsi="Arial"/>
          <w:b/>
          <w:bCs/>
          <w:color w:val="2B5C8A"/>
          <w:sz w:val="26"/>
          <w:szCs w:val="26"/>
          <w:rtl/>
        </w:rPr>
        <w:t xml:space="preserve">10.1 تقييم الخرق</w:t>
      </w:r>
      <w:bookmarkEnd w:id="16"/>
    </w:p>
    <w:p>
      <w:pPr>
        <w:bidi/>
        <w:spacing w:after="110" w:before="0" w:line="312"/>
      </w:pPr>
      <w:r>
        <w:rPr>
          <w:rFonts w:ascii="Arial" w:cs="Arial" w:eastAsia="Arial" w:hAnsi="Arial"/>
          <w:b w:val="false"/>
          <w:bCs w:val="false"/>
          <w:sz w:val="21"/>
          <w:szCs w:val="21"/>
          <w:rtl/>
        </w:rPr>
        <w:t xml:space="preserve">يجيب LEG مع القائد ويوثّق: هل مُسّت بيانات شخصية، ومن أي فئة P-n (DOC-S07 §4)؟ أي المشتركين، وكم سجلًا وشخصًا تقريبًا؟ أهو سرية أم سلامة أم توفر؟ هل كانت الأعمدة المقيّدة مشفّرة ومفاتيحها سليمة؟ هل ما زال الحادث جاريًا؟ وما الخطر المرجّح على الأشخاص؟ النتيجة «خرق» أو «ليس خرقًا» بسبب مكتوب.</w:t>
      </w:r>
    </w:p>
    <w:p>
      <w:pPr>
        <w:pStyle w:val="Heading2"/>
        <w:bidi/>
      </w:pPr>
      <w:bookmarkStart w:name="_sec17" w:id="17"/>
      <w:r>
        <w:rPr>
          <w:rFonts w:ascii="Arial" w:cs="Arial" w:eastAsia="Arial" w:hAnsi="Arial"/>
          <w:b/>
          <w:bCs/>
          <w:color w:val="2B5C8A"/>
          <w:sz w:val="26"/>
          <w:szCs w:val="26"/>
          <w:rtl/>
        </w:rPr>
        <w:t xml:space="preserve">10.2 إلى المشترك</w:t>
      </w:r>
      <w:bookmarkEnd w:id="17"/>
    </w:p>
    <w:p>
      <w:pPr>
        <w:keepNext/>
        <w:bidi/>
        <w:spacing w:after="60" w:before="160"/>
        <w:jc w:val="center"/>
      </w:pPr>
      <w:r>
        <w:drawing>
          <wp:inline distT="0" distB="0" distL="0" distR="0">
            <wp:extent cx="6096000" cy="3086100"/>
            <wp:effectExtent t="0" r="0" b="0" l="0"/>
            <wp:docPr id="1" name="diagram-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086100"/>
                    </a:xfrm>
                    <a:prstGeom prst="rect">
                      <a:avLst/>
                    </a:prstGeom>
                  </pic:spPr>
                </pic:pic>
              </a:graphicData>
            </a:graphic>
          </wp:inline>
        </w:drawing>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بلا تأخير بعد التأكيد، وبهدف داخلي 24 ساعة (docs/30-readiness/DOC-S07-privacy-impact-assessment.md:172؛ DQ-S15-4).</w:t>
      </w:r>
    </w:p>
    <w:p>
      <w:pPr>
        <w:pStyle w:val="ListParagraph"/>
        <w:numPr>
          <w:ilvl w:val="0"/>
          <w:numId w:val="2"/>
        </w:numPr>
        <w:bidi/>
        <w:spacing w:after="70" w:before="0" w:line="300"/>
      </w:pPr>
      <w:r>
        <w:rPr>
          <w:rFonts w:ascii="Arial" w:cs="Arial" w:eastAsia="Arial" w:hAnsi="Arial"/>
          <w:b w:val="false"/>
          <w:bCs w:val="false"/>
          <w:sz w:val="21"/>
          <w:szCs w:val="21"/>
          <w:rtl/>
        </w:rPr>
        <w:t xml:space="preserve">إلى نقطة اتصال الخصوصية للمشترك (DQ-S07-7) ومدير حسابه، بالهاتف ثم كتابةً.</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المحتوى كما في docs/30-readiness/DOC-S07-privacy-impact-assessment.md:173: وصف الحادث، والفئات P-n، والعدد التقريبي، والإجراءات، ونقطة اتصال. ولا يُذكر فيه مشترك آخر.</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المشترك، بصفته مسؤول البيانات، هو المبلِّغ للجهة المختصة ولأصحاب البيانات (docs/30-readiness/DOC-S07-privacy-impact-assessment.md:172)، والمنصة تزوّده بما يلزم.</w:t>
      </w:r>
    </w:p>
    <w:p>
      <w:pPr>
        <w:bidi/>
        <w:spacing w:after="60" w:before="0"/>
      </w:pPr>
    </w:p>
    <w:p>
      <w:pPr>
        <w:pStyle w:val="Heading2"/>
        <w:bidi/>
      </w:pPr>
      <w:bookmarkStart w:name="_sec18" w:id="18"/>
      <w:r>
        <w:rPr>
          <w:rFonts w:ascii="Arial" w:cs="Arial" w:eastAsia="Arial" w:hAnsi="Arial"/>
          <w:b/>
          <w:bCs/>
          <w:color w:val="2B5C8A"/>
          <w:sz w:val="26"/>
          <w:szCs w:val="26"/>
          <w:rtl/>
        </w:rPr>
        <w:t xml:space="preserve">10.3 إلى الجهات المختصة</w:t>
      </w:r>
      <w:bookmarkEnd w:id="18"/>
    </w:p>
    <w:p>
      <w:pPr>
        <w:pStyle w:val="ListParagraph"/>
        <w:numPr>
          <w:ilvl w:val="0"/>
          <w:numId w:val="2"/>
        </w:numPr>
        <w:bidi/>
        <w:spacing w:after="70" w:before="0" w:line="300"/>
      </w:pPr>
      <w:r>
        <w:rPr>
          <w:rFonts w:ascii="Arial" w:cs="Arial" w:eastAsia="Arial" w:hAnsi="Arial"/>
          <w:b w:val="false"/>
          <w:bCs w:val="false"/>
          <w:sz w:val="21"/>
          <w:szCs w:val="21"/>
          <w:rtl/>
        </w:rPr>
        <w:t xml:space="preserve">القانون الواجب التطبيق ومهله قرار المالك مع المستشار لكل دولة (DQ-S07-10، X-AUD-4). المصادر تذكر مثالًا لا قرارًا (docs/04-facility-agreements-analysis.md:253). هذه الوثيقة لا تحدد مهلة نظامية.</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المنصة قد تكون مسؤول بيانات لحسابات المشغّلين وسجلات الأمن (docs/30-readiness/DOC-S07-privacy-impact-assessment.md:31)، فقد تلزمها هي الإبلاغ عن خرق يخصها. يحدد LEG ذلك (DQ-S15-5).</w:t>
      </w:r>
    </w:p>
    <w:p>
      <w:pPr>
        <w:pStyle w:val="ListParagraph"/>
        <w:numPr>
          <w:ilvl w:val="0"/>
          <w:numId w:val="2"/>
        </w:numPr>
        <w:bidi/>
        <w:spacing w:after="70" w:before="0" w:line="300"/>
      </w:pPr>
      <w:r>
        <w:rPr>
          <w:rFonts w:ascii="Arial" w:cs="Arial" w:eastAsia="Arial" w:hAnsi="Arial"/>
          <w:b w:val="false"/>
          <w:bCs w:val="false"/>
          <w:sz w:val="21"/>
          <w:szCs w:val="21"/>
          <w:rtl/>
        </w:rPr>
        <w:t xml:space="preserve">الإبلاغ إلى جهات إنفاذ القانون قرار OWN بتوصية LEG.</w:t>
      </w:r>
    </w:p>
    <w:p>
      <w:pPr>
        <w:bidi/>
        <w:spacing w:after="60" w:before="0"/>
      </w:pPr>
    </w:p>
    <w:p>
      <w:pPr>
        <w:pStyle w:val="Heading2"/>
        <w:bidi/>
      </w:pPr>
      <w:bookmarkStart w:name="_sec19" w:id="19"/>
      <w:r>
        <w:rPr>
          <w:rFonts w:ascii="Arial" w:cs="Arial" w:eastAsia="Arial" w:hAnsi="Arial"/>
          <w:b/>
          <w:bCs/>
          <w:color w:val="2B5C8A"/>
          <w:sz w:val="26"/>
          <w:szCs w:val="26"/>
          <w:rtl/>
        </w:rPr>
        <w:t xml:space="preserve">10.4 من المعالجين الفرعيين وإليهم</w:t>
      </w:r>
      <w:bookmarkEnd w:id="19"/>
    </w:p>
    <w:p>
      <w:pPr>
        <w:pStyle w:val="ListParagraph"/>
        <w:numPr>
          <w:ilvl w:val="0"/>
          <w:numId w:val="2"/>
        </w:numPr>
        <w:bidi/>
        <w:spacing w:after="70" w:before="0" w:line="300"/>
      </w:pPr>
      <w:r>
        <w:rPr>
          <w:rFonts w:ascii="Arial" w:cs="Arial" w:eastAsia="Arial" w:hAnsi="Arial"/>
          <w:b w:val="false"/>
          <w:bCs w:val="false"/>
          <w:sz w:val="21"/>
          <w:szCs w:val="21"/>
          <w:rtl/>
        </w:rPr>
        <w:t xml:space="preserve">عقد المزوّد ومرحّل البريد يتضمن التزام إخطار بالخرق (docs/30-readiness/DOC-S07-privacy-impact-assessment.md:144).</w:t>
      </w:r>
    </w:p>
    <w:p>
      <w:pPr>
        <w:pStyle w:val="ListParagraph"/>
        <w:numPr>
          <w:ilvl w:val="0"/>
          <w:numId w:val="2"/>
        </w:numPr>
        <w:bidi/>
        <w:spacing w:after="70" w:before="0" w:line="300"/>
      </w:pPr>
      <w:r>
        <w:rPr>
          <w:rFonts w:ascii="Arial" w:cs="Arial" w:eastAsia="Arial" w:hAnsi="Arial"/>
          <w:b w:val="false"/>
          <w:bCs w:val="false"/>
          <w:sz w:val="21"/>
          <w:szCs w:val="21"/>
          <w:rtl/>
        </w:rPr>
        <w:t xml:space="preserve">إشعار من معالج فرعي يُفتح حادثًا IC-9 ويمر بالتقييم نفسه.</w:t>
      </w:r>
    </w:p>
    <w:p>
      <w:pPr>
        <w:bidi/>
        <w:spacing w:after="60" w:before="0"/>
      </w:pPr>
    </w:p>
    <w:p>
      <w:pPr>
        <w:pStyle w:val="Heading2"/>
        <w:bidi/>
      </w:pPr>
      <w:bookmarkStart w:name="_sec20" w:id="20"/>
      <w:r>
        <w:rPr>
          <w:rFonts w:ascii="Arial" w:cs="Arial" w:eastAsia="Arial" w:hAnsi="Arial"/>
          <w:b/>
          <w:bCs/>
          <w:color w:val="2B5C8A"/>
          <w:sz w:val="26"/>
          <w:szCs w:val="26"/>
          <w:rtl/>
        </w:rPr>
        <w:t xml:space="preserve">10.5 سجل الإخطار</w:t>
      </w:r>
      <w:bookmarkEnd w:id="20"/>
    </w:p>
    <w:p>
      <w:pPr>
        <w:bidi/>
        <w:spacing w:after="110" w:before="0" w:line="312"/>
      </w:pPr>
      <w:r>
        <w:rPr>
          <w:rFonts w:ascii="Arial" w:cs="Arial" w:eastAsia="Arial" w:hAnsi="Arial"/>
          <w:b w:val="false"/>
          <w:bCs w:val="false"/>
          <w:sz w:val="21"/>
          <w:szCs w:val="21"/>
          <w:rtl/>
        </w:rPr>
        <w:t xml:space="preserve">لكل إخطار: الجهة، والوقت بتوقيت UTC، والقناة، والنص المعتمد، ومن اعتمده، والإقرار بالاستلام.</w:t>
      </w:r>
    </w:p>
    <w:p>
      <w:pPr>
        <w:pStyle w:val="Heading1"/>
        <w:bidi/>
      </w:pPr>
      <w:bookmarkStart w:name="_sec21" w:id="21"/>
      <w:r>
        <w:rPr>
          <w:rFonts w:ascii="Arial" w:cs="Arial" w:eastAsia="Arial" w:hAnsi="Arial"/>
          <w:b/>
          <w:bCs/>
          <w:color w:val="1F3A5F"/>
          <w:sz w:val="32"/>
          <w:szCs w:val="32"/>
          <w:rtl/>
        </w:rPr>
        <w:t xml:space="preserve">11. التواصل أثناء الحادث </w:t>
      </w:r>
      <w:r>
        <w:rPr>
          <w:rFonts w:ascii="Arial" w:cs="Arial" w:eastAsia="Arial" w:hAnsi="Arial"/>
          <w:color w:val="E0A800"/>
          <w:sz w:val="32"/>
          <w:szCs w:val="32"/>
          <w:rtl/>
        </w:rPr>
        <w:t xml:space="preserve">●</w:t>
      </w:r>
      <w:bookmarkEnd w:id="21"/>
    </w:p>
    <w:p>
      <w:pPr>
        <w:pStyle w:val="ListParagraph"/>
        <w:numPr>
          <w:ilvl w:val="0"/>
          <w:numId w:val="2"/>
        </w:numPr>
        <w:bidi/>
        <w:spacing w:after="70" w:before="0" w:line="300"/>
      </w:pPr>
      <w:r>
        <w:rPr>
          <w:rFonts w:ascii="Arial" w:cs="Arial" w:eastAsia="Arial" w:hAnsi="Arial"/>
          <w:b w:val="false"/>
          <w:bCs w:val="false"/>
          <w:sz w:val="21"/>
          <w:szCs w:val="21"/>
          <w:rtl/>
        </w:rPr>
        <w:t xml:space="preserve">على قدر الحاجة. قناة بديلة خارج البريد ونظام الدخول إن احتُمل اختراقهما.</w:t>
      </w:r>
    </w:p>
    <w:p>
      <w:pPr>
        <w:pStyle w:val="ListParagraph"/>
        <w:numPr>
          <w:ilvl w:val="0"/>
          <w:numId w:val="2"/>
        </w:numPr>
        <w:bidi/>
        <w:spacing w:after="70" w:before="0" w:line="300"/>
      </w:pPr>
      <w:r>
        <w:rPr>
          <w:rFonts w:ascii="Arial" w:cs="Arial" w:eastAsia="Arial" w:hAnsi="Arial"/>
          <w:b w:val="false"/>
          <w:bCs w:val="false"/>
          <w:sz w:val="21"/>
          <w:szCs w:val="21"/>
          <w:rtl/>
        </w:rPr>
        <w:t xml:space="preserve">تحديث داخلي كل ساعتين في IS-1، ويوميًا في IS-2.</w:t>
      </w:r>
    </w:p>
    <w:p>
      <w:pPr>
        <w:pStyle w:val="ListParagraph"/>
        <w:numPr>
          <w:ilvl w:val="0"/>
          <w:numId w:val="2"/>
        </w:numPr>
        <w:bidi/>
        <w:spacing w:after="70" w:before="0" w:line="300"/>
      </w:pPr>
      <w:r>
        <w:rPr>
          <w:rFonts w:ascii="Arial" w:cs="Arial" w:eastAsia="Arial" w:hAnsi="Arial"/>
          <w:b w:val="false"/>
          <w:bCs w:val="false"/>
          <w:sz w:val="21"/>
          <w:szCs w:val="21"/>
          <w:rtl/>
        </w:rPr>
        <w:t xml:space="preserve">لا بيان خارجي إلا بنص يعتمده OWN وLEG. لا اسم مشترك في القنوات المشتركة؛ يُستعمل معرّفه العام.</w:t>
      </w:r>
    </w:p>
    <w:p>
      <w:pPr>
        <w:pStyle w:val="ListParagraph"/>
        <w:numPr>
          <w:ilvl w:val="0"/>
          <w:numId w:val="2"/>
        </w:numPr>
        <w:bidi/>
        <w:spacing w:after="70" w:before="0" w:line="300"/>
      </w:pPr>
      <w:r>
        <w:rPr>
          <w:rFonts w:ascii="Arial" w:cs="Arial" w:eastAsia="Arial" w:hAnsi="Arial"/>
          <w:b w:val="false"/>
          <w:bCs w:val="false"/>
          <w:sz w:val="21"/>
          <w:szCs w:val="21"/>
          <w:rtl/>
        </w:rPr>
        <w:t xml:space="preserve">توقف عام في IS-1 يُبلَّغ لمديري حسابات كل المشتركين بلا تفاصيل السبب حتى التقييم.</w:t>
      </w:r>
    </w:p>
    <w:p>
      <w:pPr>
        <w:bidi/>
        <w:spacing w:after="60" w:before="0"/>
      </w:pPr>
    </w:p>
    <w:p>
      <w:pPr>
        <w:pStyle w:val="Heading1"/>
        <w:bidi/>
      </w:pPr>
      <w:bookmarkStart w:name="_sec22" w:id="22"/>
      <w:r>
        <w:rPr>
          <w:rFonts w:ascii="Arial" w:cs="Arial" w:eastAsia="Arial" w:hAnsi="Arial"/>
          <w:b/>
          <w:bCs/>
          <w:color w:val="1F3A5F"/>
          <w:sz w:val="32"/>
          <w:szCs w:val="32"/>
          <w:rtl/>
        </w:rPr>
        <w:t xml:space="preserve">12. ما بعد الحادث </w:t>
      </w:r>
      <w:r>
        <w:rPr>
          <w:rFonts w:ascii="Arial" w:cs="Arial" w:eastAsia="Arial" w:hAnsi="Arial"/>
          <w:color w:val="E0A800"/>
          <w:sz w:val="32"/>
          <w:szCs w:val="32"/>
          <w:rtl/>
        </w:rPr>
        <w:t xml:space="preserve">●</w:t>
      </w:r>
      <w:bookmarkEnd w:id="22"/>
    </w:p>
    <w:p>
      <w:pPr>
        <w:pStyle w:val="ListParagraph"/>
        <w:numPr>
          <w:ilvl w:val="0"/>
          <w:numId w:val="2"/>
        </w:numPr>
        <w:bidi/>
        <w:spacing w:after="70" w:before="0" w:line="300"/>
      </w:pPr>
      <w:r>
        <w:rPr>
          <w:rFonts w:ascii="Arial" w:cs="Arial" w:eastAsia="Arial" w:hAnsi="Arial"/>
          <w:b w:val="false"/>
          <w:bCs w:val="false"/>
          <w:sz w:val="21"/>
          <w:szCs w:val="21"/>
          <w:rtl/>
        </w:rPr>
        <w:t xml:space="preserve">مراجعة بلا لوم خلال 5 أيام عمل من الإغلاق في IS-1 وIS-2، و10 أيام في IS-3، وملخص شهري لـ IS-4.</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المحتوى: الخط الزمني، والسبب الجذري، وفجوة الكشف، وزمن الكشف، وزمن الاحتواء، وزمن إبلاغ المشترك مقابل 24 ساعة، وما نجح، والإجراءات بمالك وتاريخ.</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المخرجات الإلزامية: تحديث سجل التهديدات (DOC-S01)، والتنبيهات (DOC-S12)، واختبار انحدار لكل حادث عزل (DOC-S13)، وأدلة التشغيل (DOC-S10، DOC-S11)، وهذه الوثيقة إن لزم.</w:t>
      </w:r>
    </w:p>
    <w:p>
      <w:pPr>
        <w:pStyle w:val="ListParagraph"/>
        <w:numPr>
          <w:ilvl w:val="0"/>
          <w:numId w:val="2"/>
        </w:numPr>
        <w:bidi/>
        <w:spacing w:after="70" w:before="0" w:line="300"/>
      </w:pPr>
      <w:r>
        <w:rPr>
          <w:rFonts w:ascii="Arial" w:cs="Arial" w:eastAsia="Arial" w:hAnsi="Arial"/>
          <w:b w:val="false"/>
          <w:bCs w:val="false"/>
          <w:sz w:val="21"/>
          <w:szCs w:val="21"/>
          <w:rtl/>
        </w:rPr>
        <w:t xml:space="preserve">تقرير نهائي للمشترك المتأثر (§10.2).</w:t>
      </w:r>
    </w:p>
    <w:p>
      <w:pPr>
        <w:bidi/>
        <w:spacing w:after="60" w:before="0"/>
      </w:pPr>
    </w:p>
    <w:p>
      <w:pPr>
        <w:pStyle w:val="Heading1"/>
        <w:bidi/>
      </w:pPr>
      <w:bookmarkStart w:name="_sec23" w:id="23"/>
      <w:r>
        <w:rPr>
          <w:rFonts w:ascii="Arial" w:cs="Arial" w:eastAsia="Arial" w:hAnsi="Arial"/>
          <w:b/>
          <w:bCs/>
          <w:color w:val="1F3A5F"/>
          <w:sz w:val="32"/>
          <w:szCs w:val="32"/>
          <w:rtl/>
        </w:rPr>
        <w:t xml:space="preserve">13. التمارين </w:t>
      </w:r>
      <w:r>
        <w:rPr>
          <w:rFonts w:ascii="Arial" w:cs="Arial" w:eastAsia="Arial" w:hAnsi="Arial"/>
          <w:color w:val="E0A800"/>
          <w:sz w:val="32"/>
          <w:szCs w:val="32"/>
          <w:rtl/>
        </w:rPr>
        <w:t xml:space="preserve">●</w:t>
      </w:r>
      <w:bookmarkEnd w:id="2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084"/>
        <w:gridCol w:w="3525"/>
        <w:gridCol w:w="3255"/>
      </w:tblGrid>
      <w:tr>
        <w:trPr>
          <w:cantSplit/>
          <w:tblHeader/>
        </w:trPr>
        <w:tc>
          <w:tcPr>
            <w:tcW w:type="dxa" w:w="30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التمرين</w:t>
            </w:r>
          </w:p>
        </w:tc>
        <w:tc>
          <w:tcPr>
            <w:tcW w:type="dxa" w:w="352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الدورية</w:t>
            </w:r>
          </w:p>
        </w:tc>
        <w:tc>
          <w:tcPr>
            <w:tcW w:type="dxa" w:w="325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يشمل</w:t>
            </w:r>
          </w:p>
        </w:tc>
      </w:tr>
      <w:tr>
        <w:trPr>
          <w:cantSplit/>
        </w:trPr>
        <w:tc>
          <w:tcPr>
            <w:tcW w:type="dxa" w:w="30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تمرين طاولة على IC-1 وIC-2</w:t>
            </w:r>
          </w:p>
        </w:tc>
        <w:tc>
          <w:tcPr>
            <w:tcW w:type="dxa" w:w="35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قبل الإطلاق، ثم نصف سنوي</w:t>
            </w:r>
          </w:p>
        </w:tc>
        <w:tc>
          <w:tcPr>
            <w:tcW w:type="dxa" w:w="32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الأدوار وقائمة الاتصال وتقييم الخرق ونص الإخطار</w:t>
            </w:r>
          </w:p>
        </w:tc>
      </w:tr>
      <w:tr>
        <w:trPr>
          <w:cantSplit/>
        </w:trPr>
        <w:tc>
          <w:tcPr>
            <w:tcW w:type="dxa" w:w="30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تمرين مفتاح</w:t>
            </w:r>
          </w:p>
        </w:tc>
        <w:tc>
          <w:tcPr>
            <w:tcW w:type="dxa" w:w="35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سنويًا، مع تمرين الضمان (DOC-S02 §11.2)</w:t>
            </w:r>
          </w:p>
        </w:tc>
        <w:tc>
          <w:tcPr>
            <w:tcW w:type="dxa" w:w="32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IC-3</w:t>
            </w:r>
          </w:p>
        </w:tc>
      </w:tr>
      <w:tr>
        <w:trPr>
          <w:cantSplit/>
        </w:trPr>
        <w:tc>
          <w:tcPr>
            <w:tcW w:type="dxa" w:w="30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تمرين تعافٍ</w:t>
            </w:r>
          </w:p>
        </w:tc>
        <w:tc>
          <w:tcPr>
            <w:tcW w:type="dxa" w:w="352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ربع سنوي (DOC-S09 §7.1)</w:t>
            </w:r>
          </w:p>
        </w:tc>
        <w:tc>
          <w:tcPr>
            <w:tcW w:type="dxa" w:w="325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خطوات IC-4</w:t>
            </w:r>
          </w:p>
        </w:tc>
      </w:tr>
      <w:tr>
        <w:trPr>
          <w:cantSplit/>
        </w:trPr>
        <w:tc>
          <w:tcPr>
            <w:tcW w:type="dxa" w:w="30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التحقق من قائمة الاتصال</w:t>
            </w:r>
          </w:p>
        </w:tc>
        <w:tc>
          <w:tcPr>
            <w:tcW w:type="dxa" w:w="352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ربع سنوي</w:t>
            </w:r>
          </w:p>
        </w:tc>
        <w:tc>
          <w:tcPr>
            <w:tcW w:type="dxa" w:w="325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رقم وعنوان</w:t>
            </w:r>
          </w:p>
        </w:tc>
      </w:tr>
    </w:tbl>
    <w:p>
      <w:pPr>
        <w:bidi/>
        <w:spacing w:after="120" w:before="0"/>
      </w:pPr>
    </w:p>
    <w:p>
      <w:pPr>
        <w:pStyle w:val="Heading1"/>
        <w:bidi/>
      </w:pPr>
      <w:bookmarkStart w:name="_sec24" w:id="24"/>
      <w:r>
        <w:rPr>
          <w:rFonts w:ascii="Arial" w:cs="Arial" w:eastAsia="Arial" w:hAnsi="Arial"/>
          <w:b/>
          <w:bCs/>
          <w:color w:val="1F3A5F"/>
          <w:sz w:val="32"/>
          <w:szCs w:val="32"/>
          <w:rtl/>
        </w:rPr>
        <w:t xml:space="preserve">14. القرارات المطلوبة</w:t>
      </w:r>
      <w:bookmarkEnd w:id="2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675"/>
        <w:gridCol w:w="1675"/>
        <w:gridCol w:w="3724"/>
        <w:gridCol w:w="1302"/>
        <w:gridCol w:w="1488"/>
      </w:tblGrid>
      <w:tr>
        <w:trPr>
          <w:cantSplit/>
          <w:tblHeader/>
        </w:trPr>
        <w:tc>
          <w:tcPr>
            <w:tcW w:type="dxa" w:w="167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167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372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130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14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16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DQ-S15-1</w:t>
            </w:r>
          </w:p>
        </w:tc>
        <w:tc>
          <w:tcPr>
            <w:tcW w:type="dxa" w:w="16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يقود الحوادث وكيف تُغطى الساعات</w:t>
            </w:r>
          </w:p>
        </w:tc>
        <w:tc>
          <w:tcPr>
            <w:tcW w:type="dxa" w:w="37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SEC قائدًا وOPS نائبًا، والمناوبة كما في DQ-S12-10</w:t>
            </w:r>
          </w:p>
        </w:tc>
        <w:tc>
          <w:tcPr>
            <w:tcW w:type="dxa" w:w="1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w:t>
            </w:r>
          </w:p>
        </w:tc>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الإطلاق</w:t>
            </w:r>
          </w:p>
        </w:tc>
      </w:tr>
      <w:tr>
        <w:trPr>
          <w:cantSplit/>
        </w:trPr>
        <w:tc>
          <w:tcPr>
            <w:tcW w:type="dxa" w:w="16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DQ-S15-2</w:t>
            </w:r>
          </w:p>
        </w:tc>
        <w:tc>
          <w:tcPr>
            <w:tcW w:type="dxa" w:w="16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قناة البلاغ وقائمة الاتصال</w:t>
            </w:r>
          </w:p>
        </w:tc>
        <w:tc>
          <w:tcPr>
            <w:tcW w:type="dxa" w:w="37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‎security@bankfas.com‎</w:t>
            </w:r>
            <w:r>
              <w:rPr>
                <w:rFonts w:ascii="Arial" w:cs="Arial" w:eastAsia="Arial" w:hAnsi="Arial"/>
                <w:b w:val="false"/>
                <w:bCs w:val="false"/>
                <w:sz w:val="18"/>
                <w:szCs w:val="18"/>
                <w:rtl/>
              </w:rPr>
              <w:t xml:space="preserve"> منشور، وقائمة هاتفية خارج المنصة تُراجع ربع سنويًا</w:t>
            </w:r>
          </w:p>
        </w:tc>
        <w:tc>
          <w:tcPr>
            <w:tcW w:type="dxa" w:w="13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 §6</w:t>
            </w:r>
          </w:p>
        </w:tc>
      </w:tr>
      <w:tr>
        <w:trPr>
          <w:cantSplit/>
        </w:trPr>
        <w:tc>
          <w:tcPr>
            <w:tcW w:type="dxa" w:w="16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DQ-S15-3</w:t>
            </w:r>
          </w:p>
        </w:tc>
        <w:tc>
          <w:tcPr>
            <w:tcW w:type="dxa" w:w="16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مقياس الشدة وأزمنته</w:t>
            </w:r>
          </w:p>
        </w:tc>
        <w:tc>
          <w:tcPr>
            <w:tcW w:type="dxa" w:w="37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جدول §4</w:t>
            </w:r>
          </w:p>
        </w:tc>
        <w:tc>
          <w:tcPr>
            <w:tcW w:type="dxa" w:w="1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 مع OWN</w:t>
            </w:r>
          </w:p>
        </w:tc>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r>
      <w:tr>
        <w:trPr>
          <w:cantSplit/>
        </w:trPr>
        <w:tc>
          <w:tcPr>
            <w:tcW w:type="dxa" w:w="16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DQ-S15-4</w:t>
            </w:r>
          </w:p>
        </w:tc>
        <w:tc>
          <w:tcPr>
            <w:tcW w:type="dxa" w:w="16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الهدف الداخلي لإبلاغ المشترك</w:t>
            </w:r>
          </w:p>
        </w:tc>
        <w:tc>
          <w:tcPr>
            <w:tcW w:type="dxa" w:w="37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24 ساعة من التأكيد، ويُثبت في عقد الاشتراك</w:t>
            </w:r>
          </w:p>
        </w:tc>
        <w:tc>
          <w:tcPr>
            <w:tcW w:type="dxa" w:w="13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 مع OWN</w:t>
            </w:r>
          </w:p>
        </w:tc>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§10.2، DQ-S07-3</w:t>
            </w:r>
          </w:p>
        </w:tc>
      </w:tr>
      <w:tr>
        <w:trPr>
          <w:cantSplit/>
        </w:trPr>
        <w:tc>
          <w:tcPr>
            <w:tcW w:type="dxa" w:w="16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DQ-S15-5</w:t>
            </w:r>
          </w:p>
        </w:tc>
        <w:tc>
          <w:tcPr>
            <w:tcW w:type="dxa" w:w="16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القانون والجهات ومهلها، وهل تبلّغ المنصة بنفسها عن بياناتها</w:t>
            </w:r>
          </w:p>
        </w:tc>
        <w:tc>
          <w:tcPr>
            <w:tcW w:type="dxa" w:w="37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يحدده المستشار لكل دولة قبل الإطلاق</w:t>
            </w:r>
          </w:p>
        </w:tc>
        <w:tc>
          <w:tcPr>
            <w:tcW w:type="dxa" w:w="1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 مع LEG</w:t>
            </w:r>
          </w:p>
        </w:tc>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§10.3، X-AUD-4</w:t>
            </w:r>
          </w:p>
        </w:tc>
      </w:tr>
      <w:tr>
        <w:trPr>
          <w:cantSplit/>
        </w:trPr>
        <w:tc>
          <w:tcPr>
            <w:tcW w:type="dxa" w:w="16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DQ-S15-6</w:t>
            </w:r>
          </w:p>
        </w:tc>
        <w:tc>
          <w:tcPr>
            <w:tcW w:type="dxa" w:w="16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احتواء المنصة لمستخدم مشترك بلا وصول طارئ</w:t>
            </w:r>
          </w:p>
        </w:tc>
        <w:tc>
          <w:tcPr>
            <w:tcW w:type="dxa" w:w="37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 منصة مدقَّق ضمن O-12 (20-database-design) لتعطيل مستخدم وإنهاء جلساته، وحجب مشترك في التطبيق</w:t>
            </w:r>
          </w:p>
        </w:tc>
        <w:tc>
          <w:tcPr>
            <w:tcW w:type="dxa" w:w="13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القاعدة مع SEC</w:t>
            </w:r>
          </w:p>
        </w:tc>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§8.2</w:t>
            </w:r>
          </w:p>
        </w:tc>
      </w:tr>
      <w:tr>
        <w:trPr>
          <w:cantSplit/>
        </w:trPr>
        <w:tc>
          <w:tcPr>
            <w:tcW w:type="dxa" w:w="16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DQ-S15-7</w:t>
            </w:r>
          </w:p>
        </w:tc>
        <w:tc>
          <w:tcPr>
            <w:tcW w:type="dxa" w:w="16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وقف قراءة مشترك كامل</w:t>
            </w:r>
          </w:p>
        </w:tc>
        <w:tc>
          <w:tcPr>
            <w:tcW w:type="dxa" w:w="37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حسم O-18 بحيث يرفض </w:t>
            </w:r>
            <w:r>
              <w:rPr>
                <w:rFonts w:ascii="Courier New" w:cs="Courier New" w:eastAsia="Courier New" w:hAnsi="Courier New"/>
                <w:b w:val="false"/>
                <w:bCs w:val="false"/>
                <w:color w:val="1F2937"/>
                <w:sz w:val="16"/>
                <w:szCs w:val="16"/>
                <w:shd w:fill="F1F3F5" w:color="auto" w:val="clear"/>
                <w:rtl/>
              </w:rPr>
              <w:t xml:space="preserve">‎SUSPENDED‎</w:t>
            </w:r>
            <w:r>
              <w:rPr>
                <w:rFonts w:ascii="Arial" w:cs="Arial" w:eastAsia="Arial" w:hAnsi="Arial"/>
                <w:b w:val="false"/>
                <w:bCs w:val="false"/>
                <w:sz w:val="18"/>
                <w:szCs w:val="18"/>
                <w:rtl/>
              </w:rPr>
              <w:t xml:space="preserve"> الربط الجديد إلا لمن تسمح له BR-PLT-002</w:t>
            </w:r>
          </w:p>
        </w:tc>
        <w:tc>
          <w:tcPr>
            <w:tcW w:type="dxa" w:w="1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 مع معماري القاعدة</w:t>
            </w:r>
          </w:p>
        </w:tc>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§8.2</w:t>
            </w:r>
          </w:p>
        </w:tc>
      </w:tr>
      <w:tr>
        <w:trPr>
          <w:cantSplit/>
        </w:trPr>
        <w:tc>
          <w:tcPr>
            <w:tcW w:type="dxa" w:w="16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DQ-S15-8</w:t>
            </w:r>
          </w:p>
        </w:tc>
        <w:tc>
          <w:tcPr>
            <w:tcW w:type="dxa" w:w="16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لقطة القرص دليلًا</w:t>
            </w:r>
          </w:p>
        </w:tc>
        <w:tc>
          <w:tcPr>
            <w:tcW w:type="dxa" w:w="37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بموافقة OWN فقط، ومعاملة المقيّد</w:t>
            </w:r>
          </w:p>
        </w:tc>
        <w:tc>
          <w:tcPr>
            <w:tcW w:type="dxa" w:w="13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 مع SEC</w:t>
            </w:r>
          </w:p>
        </w:tc>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E-6</w:t>
            </w:r>
          </w:p>
        </w:tc>
      </w:tr>
      <w:tr>
        <w:trPr>
          <w:cantSplit/>
        </w:trPr>
        <w:tc>
          <w:tcPr>
            <w:tcW w:type="dxa" w:w="16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DQ-S15-9</w:t>
            </w:r>
          </w:p>
        </w:tc>
        <w:tc>
          <w:tcPr>
            <w:tcW w:type="dxa" w:w="16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سياسة الفدية</w:t>
            </w:r>
          </w:p>
        </w:tc>
        <w:tc>
          <w:tcPr>
            <w:tcW w:type="dxa" w:w="37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لا دفع</w:t>
            </w:r>
          </w:p>
        </w:tc>
        <w:tc>
          <w:tcPr>
            <w:tcW w:type="dxa" w:w="1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OWN مع LEG</w:t>
            </w:r>
          </w:p>
        </w:tc>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§8.4</w:t>
            </w:r>
          </w:p>
        </w:tc>
      </w:tr>
      <w:tr>
        <w:trPr>
          <w:cantSplit/>
        </w:trPr>
        <w:tc>
          <w:tcPr>
            <w:tcW w:type="dxa" w:w="16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DQ-S15-10</w:t>
            </w:r>
          </w:p>
        </w:tc>
        <w:tc>
          <w:tcPr>
            <w:tcW w:type="dxa" w:w="16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الأدلة</w:t>
            </w:r>
          </w:p>
        </w:tc>
        <w:tc>
          <w:tcPr>
            <w:tcW w:type="dxa" w:w="37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حاوية كتابة مرة واحدة منفصلة في المخزن المركزي (DQ-S12-2) بوصول SEC وLEG</w:t>
            </w:r>
          </w:p>
        </w:tc>
        <w:tc>
          <w:tcPr>
            <w:tcW w:type="dxa" w:w="13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r>
      <w:tr>
        <w:trPr>
          <w:cantSplit/>
        </w:trPr>
        <w:tc>
          <w:tcPr>
            <w:tcW w:type="dxa" w:w="16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DQ-S15-11</w:t>
            </w:r>
          </w:p>
        </w:tc>
        <w:tc>
          <w:tcPr>
            <w:tcW w:type="dxa" w:w="16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إخطار المشترك المستقبِل في IC-1</w:t>
            </w:r>
          </w:p>
        </w:tc>
        <w:tc>
          <w:tcPr>
            <w:tcW w:type="dxa" w:w="372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بطلب تأكيد الحذف، بنص يعتمده LEG</w:t>
            </w:r>
          </w:p>
        </w:tc>
        <w:tc>
          <w:tcPr>
            <w:tcW w:type="dxa" w:w="13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LEG</w:t>
            </w:r>
          </w:p>
        </w:tc>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§8.1</w:t>
            </w:r>
          </w:p>
        </w:tc>
      </w:tr>
      <w:tr>
        <w:trPr>
          <w:cantSplit/>
        </w:trPr>
        <w:tc>
          <w:tcPr>
            <w:tcW w:type="dxa" w:w="16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DQ-S15-12</w:t>
            </w:r>
          </w:p>
        </w:tc>
        <w:tc>
          <w:tcPr>
            <w:tcW w:type="dxa" w:w="16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مهل مراجعة ما بعد الحادث</w:t>
            </w:r>
          </w:p>
        </w:tc>
        <w:tc>
          <w:tcPr>
            <w:tcW w:type="dxa" w:w="372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 أيام عمل لـ IS-1 وIS-2، و10 لـ IS-3</w:t>
            </w:r>
          </w:p>
        </w:tc>
        <w:tc>
          <w:tcPr>
            <w:tcW w:type="dxa" w:w="13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w:t>
            </w:r>
          </w:p>
        </w:tc>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bl>
    <w:p>
      <w:pPr>
        <w:bidi/>
        <w:spacing w:after="120" w:before="0"/>
      </w:pPr>
    </w:p>
    <w:p>
      <w:pPr>
        <w:pStyle w:val="Heading1"/>
        <w:bidi/>
      </w:pPr>
      <w:bookmarkStart w:name="_sec25" w:id="25"/>
      <w:r>
        <w:rPr>
          <w:rFonts w:ascii="Arial" w:cs="Arial" w:eastAsia="Arial" w:hAnsi="Arial"/>
          <w:b/>
          <w:bCs/>
          <w:color w:val="1F3A5F"/>
          <w:sz w:val="32"/>
          <w:szCs w:val="32"/>
          <w:rtl/>
        </w:rPr>
        <w:t xml:space="preserve">15. تعارضات وفجوات في المصادر</w:t>
      </w:r>
      <w:bookmarkEnd w:id="25"/>
    </w:p>
    <w:p>
      <w:pPr>
        <w:pStyle w:val="ListParagraph"/>
        <w:numPr>
          <w:ilvl w:val="0"/>
          <w:numId w:val="5"/>
        </w:numPr>
        <w:bidi/>
        <w:spacing w:after="70" w:before="0" w:line="300"/>
      </w:pPr>
      <w:r>
        <w:rPr>
          <w:rFonts w:ascii="Arial" w:cs="Arial" w:eastAsia="Arial" w:hAnsi="Arial"/>
          <w:b w:val="false"/>
          <w:bCs w:val="false"/>
          <w:sz w:val="21"/>
          <w:szCs w:val="21"/>
          <w:rtl/>
        </w:rPr>
        <w:t xml:space="preserve">السجل docs/30-readiness-documents.md:329 يقول إنه لا وثيقة تذكر إجراء استجابة أو مهلة إخطار. اليوم يضع DOC-S07 هدفًا داخليًا 24 ساعة (docs/30-readiness/DOC-S07-privacy-impact-assessment.md:172)، ويحيل إلى هذا الإجراء DOC-S02 §11.3 وDOC-S09 §8.</w:t>
      </w:r>
    </w:p>
    <w:p>
      <w:pPr>
        <w:pStyle w:val="ListParagraph"/>
        <w:numPr>
          <w:ilvl w:val="0"/>
          <w:numId w:val="5"/>
        </w:numPr>
        <w:bidi/>
        <w:spacing w:after="70" w:before="0" w:line="300"/>
      </w:pPr>
      <w:r>
        <w:rPr>
          <w:rFonts w:ascii="Arial" w:cs="Arial" w:eastAsia="Arial" w:hAnsi="Arial"/>
          <w:b w:val="false"/>
          <w:bCs w:val="false"/>
          <w:sz w:val="21"/>
          <w:szCs w:val="21"/>
          <w:rtl/>
        </w:rPr>
        <w:t xml:space="preserve">BR-PLT-002 يقصر دخول المشترك المعلّق على مدير الحساب، والإجراء يقبل ربطًا جديدًا لأي مستخدم نشط فيه (O-18؛ tools/dbgen/erd_open_items.py:117-118؛ db/static/030_session_context.sql:186-188). فالتعليق ليس أداة احتواء كاملة.</w:t>
      </w:r>
    </w:p>
    <w:p>
      <w:pPr>
        <w:pStyle w:val="ListParagraph"/>
        <w:numPr>
          <w:ilvl w:val="0"/>
          <w:numId w:val="5"/>
        </w:numPr>
        <w:bidi/>
        <w:spacing w:after="70" w:before="0" w:line="300"/>
      </w:pPr>
      <w:r>
        <w:rPr>
          <w:rFonts w:ascii="Arial" w:cs="Arial" w:eastAsia="Arial" w:hAnsi="Arial"/>
          <w:b w:val="false"/>
          <w:bCs w:val="false"/>
          <w:sz w:val="21"/>
          <w:szCs w:val="21"/>
          <w:rtl/>
        </w:rPr>
        <w:t xml:space="preserve">لا إجراء للمنصة على بيانات المشترك (docs/20-database-design.md:117، :540)، فاحتواء مستخدم مخترق يحتاج مدير حسابه أو الوصول الطارئ.</w:t>
      </w:r>
    </w:p>
    <w:p>
      <w:pPr>
        <w:pStyle w:val="ListParagraph"/>
        <w:numPr>
          <w:ilvl w:val="0"/>
          <w:numId w:val="5"/>
        </w:numPr>
        <w:bidi/>
        <w:spacing w:after="70" w:before="0" w:line="300"/>
      </w:pPr>
      <w:r>
        <w:rPr>
          <w:rFonts w:ascii="Arial" w:cs="Arial" w:eastAsia="Arial" w:hAnsi="Arial"/>
          <w:b w:val="false"/>
          <w:bCs w:val="false"/>
          <w:sz w:val="21"/>
          <w:szCs w:val="21"/>
          <w:rtl/>
        </w:rPr>
        <w:t xml:space="preserve">محاولات الدخول، وهي الأثر الوحيد للدخول اليوم، قابلة للحذف من اتصال التطبيق (db/generated/tsql/005_delete_grants.sql:11؛ O-24 في tools/dbgen/erd_open_items.py:153)، فأدلة IC-2 قابلة للمحو.</w:t>
      </w:r>
    </w:p>
    <w:p>
      <w:pPr>
        <w:pStyle w:val="ListParagraph"/>
        <w:numPr>
          <w:ilvl w:val="0"/>
          <w:numId w:val="5"/>
        </w:numPr>
        <w:bidi/>
        <w:spacing w:after="70" w:before="0" w:line="300"/>
      </w:pPr>
      <w:r>
        <w:rPr>
          <w:rFonts w:ascii="Arial" w:cs="Arial" w:eastAsia="Arial" w:hAnsi="Arial"/>
          <w:b w:val="false"/>
          <w:bCs w:val="false"/>
          <w:sz w:val="21"/>
          <w:szCs w:val="21"/>
          <w:rtl/>
        </w:rPr>
        <w:t xml:space="preserve">كلمة «خرق» مستعملة للتعهدات في M5 (docs/10-detailed-analysis/12-m5-facilities-pricing-collateral-obligations.md:383؛ docs/10-detailed-analysis/13-m6-workflow-engine-notifications.md:599) ولخرق البيانات هنا، والمسرد DOC-B10 بلا مدخل لأيهما. يُقترح مدخلان: Data breach «خرق البيانات» وCovenant breach «خرق التعهد».</w:t>
      </w:r>
    </w:p>
    <w:p>
      <w:pPr>
        <w:pStyle w:val="ListParagraph"/>
        <w:numPr>
          <w:ilvl w:val="0"/>
          <w:numId w:val="5"/>
        </w:numPr>
        <w:bidi/>
        <w:spacing w:after="70" w:before="0" w:line="300"/>
      </w:pPr>
      <w:r>
        <w:rPr>
          <w:rFonts w:ascii="Arial" w:cs="Arial" w:eastAsia="Arial" w:hAnsi="Arial"/>
          <w:b w:val="false"/>
          <w:bCs w:val="false"/>
          <w:sz w:val="21"/>
          <w:szCs w:val="21"/>
          <w:rtl/>
        </w:rPr>
        <w:t xml:space="preserve">X-AUD-4 ما زال </w:t>
      </w:r>
      <w:r>
        <w:rPr>
          <w:rFonts w:ascii="Arial" w:cs="Arial" w:eastAsia="Arial" w:hAnsi="Arial"/>
          <w:color w:val="D62828"/>
          <w:sz w:val="21"/>
          <w:szCs w:val="21"/>
          <w:rtl/>
        </w:rPr>
        <w:t xml:space="preserve">●</w:t>
      </w:r>
      <w:r>
        <w:rPr>
          <w:rFonts w:ascii="Arial" w:cs="Arial" w:eastAsia="Arial" w:hAnsi="Arial"/>
          <w:b w:val="false"/>
          <w:bCs w:val="false"/>
          <w:sz w:val="21"/>
          <w:szCs w:val="21"/>
          <w:rtl/>
        </w:rPr>
        <w:t xml:space="preserve"> (docs/10-detailed-analysis/00-overview-and-cross-cutting.md:150)، فلا تُحدد مهل الإخطار النظامية قبل الإطلاق دون قرار DQ-S15-5.</w:t>
      </w:r>
    </w:p>
    <w:p>
      <w:pPr>
        <w:bidi/>
        <w:spacing w:after="60" w:before="0"/>
      </w:pPr>
    </w:p>
    <w:p>
      <w:pPr>
        <w:pStyle w:val="Heading1"/>
        <w:bidi/>
      </w:pPr>
      <w:bookmarkStart w:name="_sec26" w:id="26"/>
      <w:r>
        <w:rPr>
          <w:rFonts w:ascii="Arial" w:cs="Arial" w:eastAsia="Arial" w:hAnsi="Arial"/>
          <w:b/>
          <w:bCs/>
          <w:color w:val="1F3A5F"/>
          <w:sz w:val="32"/>
          <w:szCs w:val="32"/>
          <w:rtl/>
        </w:rPr>
        <w:t xml:space="preserve">16. التتبع</w:t>
      </w:r>
      <w:bookmarkEnd w:id="2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79"/>
        <w:gridCol w:w="2221"/>
        <w:gridCol w:w="6664"/>
      </w:tblGrid>
      <w:tr>
        <w:trPr>
          <w:cantSplit/>
          <w:tblHeader/>
        </w:trPr>
        <w:tc>
          <w:tcPr>
            <w:tcW w:type="dxa" w:w="9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222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666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 §3</w:t>
            </w:r>
          </w:p>
        </w:tc>
        <w:tc>
          <w:tcPr>
            <w:tcW w:type="dxa" w:w="2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R4، R5، صف الخصوصية</w:t>
            </w:r>
          </w:p>
        </w:tc>
        <w:tc>
          <w:tcPr>
            <w:tcW w:type="dxa" w:w="6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docs/01-preliminary-analysis.md:359-360؛ docs/10-detailed-analysis/10-m0-m1-platform-organization.md:588</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22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THR-01 إلى THR-60</w:t>
            </w:r>
          </w:p>
        </w:tc>
        <w:tc>
          <w:tcPr>
            <w:tcW w:type="dxa" w:w="6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docs/30-readiness/DOC-S01-threat-model.md:49-174</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2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BR-PLT-009، BR-PTY-009، FR-PLT-031، DOC-S12 §6</w:t>
            </w:r>
          </w:p>
        </w:tc>
        <w:tc>
          <w:tcPr>
            <w:tcW w:type="dxa" w:w="6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docs/10-detailed-analysis/10-m0-m1-platform-organization.md:235، :280، :133</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§8.1، §8.2</w:t>
            </w:r>
          </w:p>
        </w:tc>
        <w:tc>
          <w:tcPr>
            <w:tcW w:type="dxa" w:w="22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ADR 0002 (السحب)، O-18، O-24</w:t>
            </w:r>
          </w:p>
        </w:tc>
        <w:tc>
          <w:tcPr>
            <w:tcW w:type="dxa" w:w="6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db/static/030_session_context.sql:245-296؛ tools/dbgen/erd_open_items.py:115-120، :151-156</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§8.2</w:t>
            </w:r>
          </w:p>
        </w:tc>
        <w:tc>
          <w:tcPr>
            <w:tcW w:type="dxa" w:w="2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O-12 (20-database-design)</w:t>
            </w:r>
          </w:p>
        </w:tc>
        <w:tc>
          <w:tcPr>
            <w:tcW w:type="dxa" w:w="6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docs/20-database-design.md:117، :540</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§8.3</w:t>
            </w:r>
          </w:p>
        </w:tc>
        <w:tc>
          <w:tcPr>
            <w:tcW w:type="dxa" w:w="22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BR-PLT-015، Q-PLT-12، DOC-S02 §10-§12</w:t>
            </w:r>
          </w:p>
        </w:tc>
        <w:tc>
          <w:tcPr>
            <w:tcW w:type="dxa" w:w="6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docs/10-detailed-analysis/10-m0-m1-platform-organization.md:241، :624</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§8.4</w:t>
            </w:r>
          </w:p>
        </w:tc>
        <w:tc>
          <w:tcPr>
            <w:tcW w:type="dxa" w:w="2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DOC-S09 §8، THR-59</w:t>
            </w:r>
          </w:p>
        </w:tc>
        <w:tc>
          <w:tcPr>
            <w:tcW w:type="dxa" w:w="6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docs/30-readiness/DOC-S09-backup-restore-dr.md:134-172</w:t>
            </w:r>
          </w:p>
        </w:tc>
      </w:tr>
      <w:tr>
        <w:trPr>
          <w:cantSplit/>
        </w:trPr>
        <w:tc>
          <w:tcPr>
            <w:tcW w:type="dxa" w:w="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22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X-AUD-1، حماية السجلات</w:t>
            </w:r>
          </w:p>
        </w:tc>
        <w:tc>
          <w:tcPr>
            <w:tcW w:type="dxa" w:w="6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docs/10-detailed-analysis/00-overview-and-cross-cutting.md:147؛ docs/30-readiness/DOC-S12-logging-monitoring-audit.md</w:t>
            </w:r>
          </w:p>
        </w:tc>
      </w:tr>
      <w:tr>
        <w:trPr>
          <w:cantSplit/>
        </w:trPr>
        <w:tc>
          <w:tcPr>
            <w:tcW w:type="dxa" w:w="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22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X-AUD-4، DOC-S07 §11، DQ-S07-7، DQ-S07-10</w:t>
            </w:r>
          </w:p>
        </w:tc>
        <w:tc>
          <w:tcPr>
            <w:tcW w:type="dxa" w:w="6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docs/10-detailed-analysis/00-overview-and-cross-cutting.md:150؛ docs/30-readiness/DOC-S07-privacy-impact-assessment.md:168-174</w:t>
            </w:r>
          </w:p>
        </w:tc>
      </w:tr>
    </w:tbl>
    <w:p>
      <w:pPr>
        <w:bidi/>
        <w:spacing w:after="120" w:before="0"/>
      </w:pPr>
    </w:p>
    <w:sectPr>
      <w:headerReference w:type="default" r:id="rId7"/>
      <w:footerReference w:type="default" r:id="rId8"/>
      <w:pgSz w:w="11906" w:h="16838" w:orient="portrait"/>
      <w:pgMar w:top="1134" w:right="1021" w:bottom="1134" w:left="1021" w:header="500" w:footer="500"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B6670"/>
        <w:sz w:val="17"/>
        <w:szCs w:val="17"/>
        <w:rtl/>
      </w:rPr>
      <w:t xml:space="preserve">صفحة </w:t>
    </w:r>
    <w:r>
      <w:rPr>
        <w:rFonts w:ascii="Arial" w:cs="Arial" w:eastAsia="Arial" w:hAnsi="Arial"/>
        <w:color w:val="5B6670"/>
        <w:sz w:val="17"/>
        <w:szCs w:val="17"/>
        <w:rtl/>
      </w:rPr>
      <w:fldChar w:fldCharType="begin"/>
      <w:instrText xml:space="preserve">PAGE</w:instrText>
      <w:fldChar w:fldCharType="separate"/>
      <w:fldChar w:fldCharType="end"/>
    </w:r>
    <w:r>
      <w:rPr>
        <w:rFonts w:ascii="Arial" w:cs="Arial" w:eastAsia="Arial" w:hAnsi="Arial"/>
        <w:color w:val="5B6670"/>
        <w:sz w:val="17"/>
        <w:szCs w:val="17"/>
        <w:rtl/>
      </w:rPr>
      <w:t xml:space="preserve"> من </w:t>
    </w:r>
    <w:r>
      <w:rPr>
        <w:rFonts w:ascii="Arial" w:cs="Arial" w:eastAsia="Arial" w:hAnsi="Arial"/>
        <w:color w:val="5B6670"/>
        <w:sz w:val="17"/>
        <w:szCs w:val="17"/>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6" w:sz="4" w:space="4"/>
      </w:pBdr>
      <w:bidi/>
      <w:spacing w:after="0"/>
    </w:pPr>
    <w:r>
      <w:rPr>
        <w:rFonts w:ascii="Arial" w:cs="Arial" w:eastAsia="Arial" w:hAnsi="Arial"/>
        <w:color w:val="5B6670"/>
        <w:sz w:val="17"/>
        <w:szCs w:val="17"/>
        <w:rtl/>
      </w:rPr>
      <w:t xml:space="preserve">DOC-S15 · BankFas · مستندات الجاهزية P1 وP2 · 0.1 مسودة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4" w:hanging="284"/>
      </w:pPr>
    </w:lvl>
    <w:lvl w:ilvl="1" w15:tentative="1">
      <w:start w:val="1"/>
      <w:numFmt w:val="bullet"/>
      <w:lvlText w:val="–"/>
      <w:lvlJc w:val="left"/>
      <w:pPr>
        <w:ind w:left="1028" w:hanging="284"/>
      </w:pPr>
    </w:lvl>
    <w:lvl w:ilvl="2" w15:tentative="1">
      <w:start w:val="1"/>
      <w:numFmt w:val="bullet"/>
      <w:lvlText w:val="·"/>
      <w:lvlJc w:val="left"/>
      <w:pPr>
        <w:ind w:left="1482" w:hanging="284"/>
      </w:pPr>
    </w:lvl>
    <w:lvl w:ilvl="3" w15:tentative="1">
      <w:start w:val="1"/>
      <w:numFmt w:val="bullet"/>
      <w:lvlText w:val="·"/>
      <w:lvlJc w:val="left"/>
      <w:pPr>
        <w:ind w:left="1936" w:hanging="284"/>
      </w:pPr>
    </w:lvl>
  </w:abstractNum>
  <w:abstractNum w:abstractNumId="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4"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5"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lang w:val="ar-SA" w:bidi="ar-SA"/>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bidi/>
      <w:spacing w:after="160" w:before="0"/>
    </w:pPr>
    <w:rPr>
      <w:b/>
      <w:bCs/>
      <w:color w:val="1F3A5F"/>
      <w:sz w:val="48"/>
      <w:szCs w:val="48"/>
    </w:rPr>
  </w:style>
  <w:style w:type="paragraph" w:styleId="Heading1">
    <w:name w:val="heading 1"/>
    <w:basedOn w:val="Normal"/>
    <w:next w:val="Normal"/>
    <w:qFormat/>
    <w:pPr>
      <w:keepNext/>
      <w:pBdr>
        <w:bottom w:val="single" w:color="1F3A5F" w:sz="8" w:space="3"/>
      </w:pBdr>
      <w:bidi/>
      <w:spacing w:after="140" w:before="380"/>
      <w:outlineLvl w:val="0"/>
    </w:pPr>
    <w:rPr>
      <w:b/>
      <w:bCs/>
      <w:color w:val="1F3A5F"/>
      <w:sz w:val="32"/>
      <w:szCs w:val="32"/>
    </w:rPr>
  </w:style>
  <w:style w:type="paragraph" w:styleId="Heading2">
    <w:name w:val="heading 2"/>
    <w:basedOn w:val="Normal"/>
    <w:next w:val="Normal"/>
    <w:qFormat/>
    <w:pPr>
      <w:keepNext/>
      <w:bidi/>
      <w:spacing w:after="100" w:before="260"/>
      <w:outlineLvl w:val="1"/>
    </w:pPr>
    <w:rPr>
      <w:b/>
      <w:bCs/>
      <w:color w:val="2B5C8A"/>
      <w:sz w:val="26"/>
      <w:szCs w:val="26"/>
    </w:rPr>
  </w:style>
  <w:style w:type="paragraph" w:styleId="Heading3">
    <w:name w:val="heading 3"/>
    <w:basedOn w:val="Normal"/>
    <w:next w:val="Normal"/>
    <w:qFormat/>
    <w:pPr>
      <w:keepNext/>
      <w:bidi/>
      <w:spacing w:after="80" w:before="200"/>
      <w:outlineLvl w:val="2"/>
    </w:pPr>
    <w:rPr>
      <w:b/>
      <w:bCs/>
      <w:color w:val="2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59c4b8884f14fcc0b9547ce3c6d3c98602e86a8.png"/><Relationship Id="rId10" Type="http://schemas.openxmlformats.org/officeDocument/2006/relationships/image" Target="media/e340205fea492650193deb6aeaba424d296c28c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DOC-S15 — إجراء الاستجابة للحوادث الأمنية وإخطار خرق البيانات</dc:title>
  <dc:creator>Claude</dc:creator>
  <dc:description>BankFas database design document</dc:description>
  <cp:lastModifiedBy>Un-named</cp:lastModifiedBy>
  <cp:revision>1</cp:revision>
  <dcterms:created xsi:type="dcterms:W3CDTF">2026-10-20T18:35:23.206Z</dcterms:created>
  <dcterms:modified xsi:type="dcterms:W3CDTF">2026-10-20T18:35:23.206Z</dcterms:modified>
</cp:coreProperties>
</file>

<file path=docProps/custom.xml><?xml version="1.0" encoding="utf-8"?>
<Properties xmlns="http://schemas.openxmlformats.org/officeDocument/2006/custom-properties" xmlns:vt="http://schemas.openxmlformats.org/officeDocument/2006/docPropsVTypes"/>
</file>