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لم يُكتب كود التطبيق بعد</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2">
        <w:r>
          <w:rPr>
            <w:rFonts w:ascii="Arial" w:cs="Arial" w:eastAsia="Arial" w:hAnsi="Arial"/>
            <w:b/>
            <w:bCs/>
            <w:color w:val="1F3A5F"/>
            <w:sz w:val="20"/>
            <w:szCs w:val="20"/>
            <w:rtl/>
          </w:rPr>
          <w:t xml:space="preserve">5. الأدلة</w:t>
        </w:r>
      </w:hyperlink>
    </w:p>
    <w:p>
      <w:pPr>
        <w:bidi/>
        <w:spacing w:after="50" w:before="0"/>
        <w:ind w:left="0"/>
      </w:pPr>
      <w:hyperlink w:history="1" w:anchor="_sec13">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4">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5">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6">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3"/>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3"/>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3"/>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3"/>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3"/>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3"/>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3"/>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3"/>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المعايرة الأولى وكيل ذكاء اصطناعي منفصل في دور محلل ائتمان أول، لا محلل بشري،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bCs/>
          <w:sz w:val="21"/>
          <w:szCs w:val="21"/>
          <w:rtl/>
        </w:rPr>
        <w:t xml:space="preserve">النسخة الثانية من التقييم (طلبات المالك 2026-10-19، ADR 0018).</w:t>
      </w:r>
      <w:r>
        <w:rPr>
          <w:rFonts w:ascii="Arial" w:cs="Arial" w:eastAsia="Arial" w:hAnsi="Arial"/>
          <w:b w:val="false"/>
          <w:bCs w:val="false"/>
          <w:sz w:val="21"/>
          <w:szCs w:val="21"/>
          <w:rtl/>
        </w:rPr>
        <w:t xml:space="preserve"> وجد المالك النسخة الأولى سطحية، فأُعيد بناؤها:</w:t>
      </w:r>
    </w:p>
    <w:p>
      <w:pPr>
        <w:pStyle w:val="ListParagraph"/>
        <w:numPr>
          <w:ilvl w:val="0"/>
          <w:numId w:val="3"/>
        </w:numPr>
        <w:bidi/>
        <w:spacing w:after="70" w:before="0" w:line="300"/>
      </w:pPr>
      <w:r>
        <w:rPr>
          <w:rFonts w:ascii="Arial" w:cs="Arial" w:eastAsia="Arial" w:hAnsi="Arial"/>
          <w:b w:val="false"/>
          <w:bCs w:val="false"/>
          <w:sz w:val="21"/>
          <w:szCs w:val="21"/>
          <w:rtl/>
        </w:rPr>
        <w:t xml:space="preserve">157 بندًا معياريًا تُدرس بندًا بندًا: خطر البند وأثره على النقد وعلى ملاءة الشركاء ووزنه، وإعادة تبويبه بسبب مكتوب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و112 مقياسًا؛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الربط بتسهيلات الشركة وضماناتها المسجلة في المنصة على تاريخ التقييم، ودرجة للتسهيل بالخسارة عند التعثر ونسبة الاسترداد، ومقارنة بتقرير سمة؛</w:t>
      </w:r>
    </w:p>
    <w:p>
      <w:pPr>
        <w:pStyle w:val="ListParagraph"/>
        <w:numPr>
          <w:ilvl w:val="0"/>
          <w:numId w:val="3"/>
        </w:numPr>
        <w:bidi/>
        <w:spacing w:after="70" w:before="0" w:line="300"/>
      </w:pPr>
      <w:r>
        <w:rPr>
          <w:rFonts w:ascii="Arial" w:cs="Arial" w:eastAsia="Arial" w:hAnsi="Arial"/>
          <w:b w:val="false"/>
          <w:bCs w:val="false"/>
          <w:sz w:val="21"/>
          <w:szCs w:val="21"/>
          <w:rtl/>
        </w:rPr>
        <w:t xml:space="preserve">61 نشاطًا بمدى الدرجة المتوقع للقطاع، و15 فئة منتجات تقرأ جودة التدفقات وسيولة المخزون، وسيناريو السوق الراكد وسيناريو الأزمة؛</w:t>
      </w:r>
    </w:p>
    <w:p>
      <w:pPr>
        <w:pStyle w:val="ListParagraph"/>
        <w:numPr>
          <w:ilvl w:val="0"/>
          <w:numId w:val="3"/>
        </w:numPr>
        <w:bidi/>
        <w:spacing w:after="70" w:before="0" w:line="300"/>
      </w:pPr>
      <w:r>
        <w:rPr>
          <w:rFonts w:ascii="Arial" w:cs="Arial" w:eastAsia="Arial" w:hAnsi="Arial"/>
          <w:b w:val="false"/>
          <w:bCs w:val="false"/>
          <w:sz w:val="21"/>
          <w:szCs w:val="21"/>
          <w:rtl/>
        </w:rPr>
        <w:t xml:space="preserve">39 علاجًا و10 خطط تقوية (8 حزم جاهزة وخطتان مثلى) تُحسب عند طلب العميل، وكل خطوة قيد مزدوج لا يخلّ بتوازن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النظرة المستقبلية (مستقرة، إيجابية، سلبية، متطورة) بقواعد مكتوبة، ومحفّزات رفع الدرجة وخفضها.</w:t>
      </w:r>
    </w:p>
    <w:p>
      <w:pPr>
        <w:bidi/>
        <w:spacing w:after="60" w:before="0"/>
      </w:pPr>
    </w:p>
    <w:p>
      <w:pPr>
        <w:bidi/>
        <w:spacing w:after="110" w:before="0" w:line="312"/>
      </w:pPr>
      <w:r>
        <w:rPr>
          <w:rFonts w:ascii="Arial" w:cs="Arial" w:eastAsia="Arial" w:hAnsi="Arial"/>
          <w:b w:val="false"/>
          <w:bCs w:val="false"/>
          <w:sz w:val="21"/>
          <w:szCs w:val="21"/>
          <w:rtl/>
        </w:rPr>
        <w:t xml:space="preserve">والحساب في </w:t>
      </w:r>
      <w:r>
        <w:rPr>
          <w:rFonts w:ascii="Courier New" w:cs="Courier New" w:eastAsia="Courier New" w:hAnsi="Courier New"/>
          <w:b w:val="false"/>
          <w:bCs w:val="false"/>
          <w:color w:val="1F2937"/>
          <w:sz w:val="18"/>
          <w:szCs w:val="18"/>
          <w:shd w:fill="F1F3F5" w:color="auto" w:val="clear"/>
          <w:rtl/>
        </w:rPr>
        <w:t xml:space="preserve">‎db/static/047_credit_engine.sql‎</w:t>
      </w:r>
      <w:r>
        <w:rPr>
          <w:rFonts w:ascii="Arial" w:cs="Arial" w:eastAsia="Arial" w:hAnsi="Arial"/>
          <w:b w:val="false"/>
          <w:bCs w:val="false"/>
          <w:sz w:val="21"/>
          <w:szCs w:val="21"/>
          <w:rtl/>
        </w:rPr>
        <w:t xml:space="preserve">، ويطابق مرجع Python رقمًا برقم في 94 حالة مولَّدة. صاغ المحتوى وراجعه وكلاء ذكاء اصطناعي في دور محللين أوائل لا محللون بشريون. ودُرست وثائق موديز الخمس التي أرفقها المالك، ولم يُنقل منها رقم ولا جدول ولا نص لأن بعضها يمنع صراحة استعماله في بناء نموذج أو قاعدة بيانات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§23).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2.0، والمواصفة 12 (FR-FIN-025 إلى FR-FIN-030)، وADR 0018.</w:t>
      </w:r>
    </w:p>
    <w:p>
      <w:pPr>
        <w:bidi/>
        <w:spacing w:after="110" w:before="0" w:line="312"/>
      </w:pPr>
      <w:r>
        <w:rPr>
          <w:rFonts w:ascii="Arial" w:cs="Arial" w:eastAsia="Arial" w:hAnsi="Arial"/>
          <w:b/>
          <w:bCs/>
          <w:sz w:val="21"/>
          <w:szCs w:val="21"/>
          <w:rtl/>
        </w:rPr>
        <w:t xml:space="preserve">الإصدار 2.1 (إجابات المالك 2026-10-19، ADR 0019): الممارسة المعيارية لوكالات التصنيف.</w:t>
      </w:r>
    </w:p>
    <w:p>
      <w:pPr>
        <w:pStyle w:val="ListParagraph"/>
        <w:numPr>
          <w:ilvl w:val="0"/>
          <w:numId w:val="3"/>
        </w:numPr>
        <w:bidi/>
        <w:spacing w:after="70" w:before="0" w:line="300"/>
      </w:pPr>
      <w:r>
        <w:rPr>
          <w:rFonts w:ascii="Arial" w:cs="Arial" w:eastAsia="Arial" w:hAnsi="Arial"/>
          <w:b w:val="false"/>
          <w:bCs w:val="false"/>
          <w:sz w:val="21"/>
          <w:szCs w:val="21"/>
          <w:rtl/>
        </w:rPr>
        <w:t xml:space="preserve">16 بطاقة لعائلات قطاعية (صناعة مواد البناء وتجارتها، والتجزئة، ووكالات السيارات، والتطوير العقاري، والعقار المؤجَّر، والضيافة والسياحة، والمطاعم، والنقل، والطيران، والصحة والأدوية، والأغذية، والخدمات، مع البطاقات الثلاث الأولى)، لكل منها مقاييسها وأوزانها وعوامل ملف أعمالها؛</w:t>
      </w:r>
    </w:p>
    <w:p>
      <w:pPr>
        <w:pStyle w:val="ListParagraph"/>
        <w:numPr>
          <w:ilvl w:val="0"/>
          <w:numId w:val="3"/>
        </w:numPr>
        <w:bidi/>
        <w:spacing w:after="70" w:before="0" w:line="300"/>
      </w:pPr>
      <w:r>
        <w:rPr>
          <w:rFonts w:ascii="Arial" w:cs="Arial" w:eastAsia="Arial" w:hAnsi="Arial"/>
          <w:b w:val="false"/>
          <w:bCs w:val="false"/>
          <w:sz w:val="21"/>
          <w:szCs w:val="21"/>
          <w:rtl/>
        </w:rPr>
        <w:t xml:space="preserve">282 نشاطًا تفصيليًا بمخاطرها (1 إلى 6) وحساسيتها لسبعة محركات ضغط؛</w:t>
      </w:r>
    </w:p>
    <w:p>
      <w:pPr>
        <w:pStyle w:val="ListParagraph"/>
        <w:numPr>
          <w:ilvl w:val="0"/>
          <w:numId w:val="3"/>
        </w:numPr>
        <w:bidi/>
        <w:spacing w:after="70" w:before="0" w:line="300"/>
      </w:pPr>
      <w:r>
        <w:rPr>
          <w:rFonts w:ascii="Arial" w:cs="Arial" w:eastAsia="Arial" w:hAnsi="Arial"/>
          <w:b w:val="false"/>
          <w:bCs w:val="false"/>
          <w:sz w:val="21"/>
          <w:szCs w:val="21"/>
          <w:rtl/>
        </w:rPr>
        <w:t xml:space="preserve">22 بلدًا عربيًا بمخاطرها وتصنيفها السيادي المنشور وسقفها وتعرضها و127 مدينة ومنطقة، ومرتكز يجمع مخاطر البلد والنشاط؛</w:t>
      </w:r>
    </w:p>
    <w:p>
      <w:pPr>
        <w:pStyle w:val="ListParagraph"/>
        <w:numPr>
          <w:ilvl w:val="0"/>
          <w:numId w:val="3"/>
        </w:numPr>
        <w:bidi/>
        <w:spacing w:after="70" w:before="0" w:line="300"/>
      </w:pPr>
      <w:r>
        <w:rPr>
          <w:rFonts w:ascii="Arial" w:cs="Arial" w:eastAsia="Arial" w:hAnsi="Arial"/>
          <w:b w:val="false"/>
          <w:bCs w:val="false"/>
          <w:sz w:val="21"/>
          <w:szCs w:val="21"/>
          <w:rtl/>
        </w:rPr>
        <w:t xml:space="preserve">ستة سيناريوهات اقتصادية بضغط يحسبه النظام من النشاط والبلد والمدينة، وسابع للحدث الجاري في الإصدار 2.2 (نزاع الخليج وممرات الملاحة، ADR 0020)؛ وشبكات حجم على إيرادات من 10 ملايين إلى 10 مليارات؛ وتتحقق إدارة الخزينة من المعايرة.</w:t>
      </w:r>
    </w:p>
    <w:p>
      <w:pPr>
        <w:bidi/>
        <w:spacing w:after="60" w:before="0"/>
      </w:pPr>
    </w:p>
    <w:p>
      <w:pPr>
        <w:bidi/>
        <w:spacing w:after="110" w:before="0" w:line="312"/>
      </w:pPr>
      <w:r>
        <w:rPr>
          <w:rFonts w:ascii="Arial" w:cs="Arial" w:eastAsia="Arial" w:hAnsi="Arial"/>
          <w:b w:val="false"/>
          <w:bCs w:val="false"/>
          <w:sz w:val="21"/>
          <w:szCs w:val="21"/>
          <w:rtl/>
        </w:rPr>
        <w:t xml:space="preserve">راجعه وكيل ذكاء اصطناعي مستقل في دور مراجع تصنيف أول، فوجد مشكلات صُحّحت (منها مقياسا مخزون ثابتان، وشبكة حجم تجارية سخية، وتصنيف سيادي متعثر خارج مدى الدرجة، وخطأ في جدول الاستحقاق)، وكتب 16 حالة جديدة بمداها قبل تشغيل النموذج؛ وتقع الحالات الإحدى والخمسون في مداه، مع 24 خلية قبلها خارجه بسبب مكتوب.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2.1، والمواصفة 12 (FR-FIN-031 إلى FR-FIN-033)، وADR 0019.</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3"/>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3"/>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3"/>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‎docs/adr/0001…0029‎</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البنود المعيارية، والربط بتسهيلات المنصة، والنشاط والمنتجات والسيناريوهات، والعلاجات وخطط التقوية بقوائم متوازنة، والنظرة المستقبلية ومحفّزاتها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16 عائلة قطاعية، والأنشطة التفصيلية بحساسيتها، ومخاطر البلدان العربية ومدنها وسقوفها، والمرتكز، والسيناريوهات الستة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سيناريو سابع للحدث الجاري (نزاع الخليج وممرات الملاحة) بمضاعف لكل بلد، وتوقف الحدود الملتزمة غير المسحوبة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كل تسهيل يحل محل تقدير موقفه في التقييم</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للقائمة قبل اعتمادها: يبقى مسودة، وبصمته تضم أسطر القائمة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الحلول المختارة بقائمة متوازنة، ولا تُختار إلا بمستندات الفترة وبغير معدّها</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جهات التمويل، وجدوله الزمني، والإنذار المبكر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(الموازنة) ومقارنتها بالسنة الفعلية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الشركة، ومقارنته بتقييمها، ودخوله في جاهزية التجديد</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مرة لكل مرحلة من الوقت الباقي ولكل جاهزية، مع طلب الإشعار في Outbox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حدث أحمر وآخر أصفر، وسبب الجاهزية، وأول حزمة للمشترك NTF.BASE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تصديق التقييم للاستعمال خارج الشركة، وسبب اختيار نسخة العرض، والمعايرة المتراكمة مع جهات التمويل (من المراجعة 3.0)</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3"/>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3"/>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27 خطوة (0 إلى 23 و4ب و19ب و19ج)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9"/>
        <w:gridCol w:w="4868"/>
        <w:gridCol w:w="3727"/>
      </w:tblGrid>
      <w:tr>
        <w:trPr>
          <w:cantSplit/>
          <w:tblHeader/>
        </w:trPr>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و3,612 عمودًا في النموذج</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و16 من 16 حالة ضغط في مدى المراجع</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 صلاحية، و21 درجة و36 مقياسًا و3 بطاقات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829 مفتاحًا أجنبيًا، 596 قيد تفرّد، 1,359 قيد فحص، 772 فهرسًا، 192 سياسة RLS، 55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78 قادحًا ولا معطَّل منها، ولا دالة داخلية مفتوحة لأدوار القراءة، وحساب النشر معطَّل</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و11 و7 و5 و8 و2 و4 و4 و7 و7 و6</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(CA1–CA12): المثال المحلول مطابقًا لـ Python، والتعديلات وترتيبها، والدعم والتجاوز، والصلاحيات ومنع كتابة النتائج، وتجميد البطاقة المعتمدة</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قادح أو مرشح معطَّل، ولا مستخدم اختبار ولا مشترك متبقٍّ</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5. الأدلة</w:t>
      </w:r>
      <w:bookmarkEnd w:id="12"/>
    </w:p>
    <w:p>
      <w:pPr>
        <w:pStyle w:val="ListParagraph"/>
        <w:numPr>
          <w:ilvl w:val="0"/>
          <w:numId w:val="4"/>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4"/>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3"/>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3"/>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3"/>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4"/>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4"/>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4"/>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3" w:id="13"/>
      <w:r>
        <w:rPr>
          <w:rFonts w:ascii="Arial" w:cs="Arial" w:eastAsia="Arial" w:hAnsi="Arial"/>
          <w:b/>
          <w:bCs/>
          <w:color w:val="1F3A5F"/>
          <w:sz w:val="32"/>
          <w:szCs w:val="32"/>
          <w:rtl/>
        </w:rPr>
        <w:t xml:space="preserve">6. أنماط تصميم يحسن أن يعرفها المراجع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الحدود المعروفة والمؤجل</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غير مكتوب</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كثيرة في المواصفات يفرضها التطبيق. والقاعدة تفرض البنية والحالات والسلامة المرجعية والعزل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بالخبرة بلا بيانات تعثّر، صاغها وراجعها وكلاء ذكاء اصطناعي ولم يراجعها محلل بشري بعد؛ وتتحقق منها إدارة الخزينة في الشركة قبل استعمال الدرجة في قرار، ويتحقق مشغّل المنصة من التصنيفات السيادية للبلدان.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 و0018 و0019</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أسئلة نطلب رأي المراجع فيها</w:t>
      </w:r>
      <w:bookmarkEnd w:id="15"/>
    </w:p>
    <w:p>
      <w:pPr>
        <w:pStyle w:val="ListParagraph"/>
        <w:numPr>
          <w:ilvl w:val="0"/>
          <w:numId w:val="5"/>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5"/>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5"/>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5"/>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5"/>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5"/>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5"/>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5"/>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5"/>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5"/>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5"/>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bidi/>
        <w:spacing w:after="60" w:before="0"/>
      </w:pPr>
    </w:p>
    <w:p>
      <w:pPr>
        <w:pStyle w:val="Heading1"/>
        <w:bidi/>
      </w:pPr>
      <w:bookmarkStart w:name="_sec16" w:id="16"/>
      <w:r>
        <w:rPr>
          <w:rFonts w:ascii="Arial" w:cs="Arial" w:eastAsia="Arial" w:hAnsi="Arial"/>
          <w:b/>
          <w:bCs/>
          <w:color w:val="1F3A5F"/>
          <w:sz w:val="32"/>
          <w:szCs w:val="32"/>
          <w:rtl/>
        </w:rPr>
        <w:t xml:space="preserve">9. طريقة إرسال النتائج</w:t>
      </w:r>
      <w:bookmarkEnd w:id="16"/>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2026-10-20T18:14:50.200Z</dcterms:created>
  <dcterms:modified xsi:type="dcterms:W3CDTF">2026-10-20T18:14:50.200Z</dcterms:modified>
</cp:coreProperties>
</file>

<file path=docProps/custom.xml><?xml version="1.0" encoding="utf-8"?>
<Properties xmlns="http://schemas.openxmlformats.org/officeDocument/2006/custom-properties" xmlns:vt="http://schemas.openxmlformats.org/officeDocument/2006/docPropsVTypes"/>
</file>