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دراسة التقييم الائتماني من منظور الشركة الداخلي</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8"/>
        <w:gridCol w:w="8426"/>
      </w:tblGrid>
      <w:tr>
        <w:trPr>
          <w:cantSplit/>
          <w:tblHeader/>
        </w:trPr>
        <w:tc>
          <w:tcPr>
            <w:tcW w:type="dxa" w:w="14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2026-10-20</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اعتمدها المالك في 2026-10-20 (القرار 34) بمقترحاتها؛ بُنيت المراحل الست كلها (أ إلى و)</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سببها</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تصحيح المالك (2026-10-20): النظام للشركات لا للبنوك. الشركة تدرس فيه نفسها من قوائمها المالية وقوتها ومخاطرها وتسهيلاتها والمؤثرات الخارجية، فتعرف وضعها قبل البنك، وتتدارك المخاطر، وتعيد هيكلة قوائمها وتصنيف عناصرها قبل اعتمادها النهائي، مدققة كانت أو داخلية</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تراجع</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‎docs/35-credit-assessment-methodology.md‎</w:t>
            </w:r>
            <w:r>
              <w:rPr>
                <w:rFonts w:ascii="Arial" w:cs="Arial" w:eastAsia="Arial" w:hAnsi="Arial"/>
                <w:b w:val="false"/>
                <w:bCs w:val="false"/>
                <w:sz w:val="18"/>
                <w:szCs w:val="18"/>
                <w:rtl/>
              </w:rPr>
              <w:t xml:space="preserve">، والقرارات 27 إلى 33 في </w:t>
            </w:r>
            <w:r>
              <w:rPr>
                <w:rFonts w:ascii="Courier New" w:cs="Courier New" w:eastAsia="Courier New" w:hAnsi="Courier New"/>
                <w:b w:val="false"/>
                <w:bCs w:val="false"/>
                <w:color w:val="1F2937"/>
                <w:sz w:val="16"/>
                <w:szCs w:val="16"/>
                <w:shd w:fill="F1F3F5" w:color="auto" w:val="clear"/>
                <w:rtl/>
              </w:rPr>
              <w:t xml:space="preserve">‎docs/31-owner-decisions.md‎</w:t>
            </w:r>
            <w:r>
              <w:rPr>
                <w:rFonts w:ascii="Arial" w:cs="Arial" w:eastAsia="Arial" w:hAnsi="Arial"/>
                <w:b w:val="false"/>
                <w:bCs w:val="false"/>
                <w:sz w:val="18"/>
                <w:szCs w:val="18"/>
                <w:rtl/>
              </w:rPr>
              <w:t xml:space="preserve">، وADR 0017 إلى ADR 0021</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المنظور الصحيح</w:t>
        </w:r>
      </w:hyperlink>
    </w:p>
    <w:p>
      <w:pPr>
        <w:bidi/>
        <w:spacing w:after="50" w:before="0"/>
        <w:ind w:left="0"/>
      </w:pPr>
      <w:hyperlink w:history="1" w:anchor="_sec2">
        <w:r>
          <w:rPr>
            <w:rFonts w:ascii="Arial" w:cs="Arial" w:eastAsia="Arial" w:hAnsi="Arial"/>
            <w:b/>
            <w:bCs/>
            <w:color w:val="1F3A5F"/>
            <w:sz w:val="20"/>
            <w:szCs w:val="20"/>
            <w:rtl/>
          </w:rPr>
          <w:t xml:space="preserve">2. ما يخدم هذا المنظور فعلًا في النظام الآن</w:t>
        </w:r>
      </w:hyperlink>
    </w:p>
    <w:p>
      <w:pPr>
        <w:bidi/>
        <w:spacing w:after="50" w:before="0"/>
        <w:ind w:left="0"/>
      </w:pPr>
      <w:hyperlink w:history="1" w:anchor="_sec3">
        <w:r>
          <w:rPr>
            <w:rFonts w:ascii="Arial" w:cs="Arial" w:eastAsia="Arial" w:hAnsi="Arial"/>
            <w:b/>
            <w:bCs/>
            <w:color w:val="1F3A5F"/>
            <w:sz w:val="20"/>
            <w:szCs w:val="20"/>
            <w:rtl/>
          </w:rPr>
          <w:t xml:space="preserve">3. ما كُتب من منظور البنك ويُصحَّح</w:t>
        </w:r>
      </w:hyperlink>
    </w:p>
    <w:p>
      <w:pPr>
        <w:bidi/>
        <w:spacing w:after="50" w:before="0"/>
        <w:ind w:left="0"/>
      </w:pPr>
      <w:hyperlink w:history="1" w:anchor="_sec4">
        <w:r>
          <w:rPr>
            <w:rFonts w:ascii="Arial" w:cs="Arial" w:eastAsia="Arial" w:hAnsi="Arial"/>
            <w:b/>
            <w:bCs/>
            <w:color w:val="1F3A5F"/>
            <w:sz w:val="20"/>
            <w:szCs w:val="20"/>
            <w:rtl/>
          </w:rPr>
          <w:t xml:space="preserve">4. الفجوات من المنظور الداخلي</w:t>
        </w:r>
      </w:hyperlink>
    </w:p>
    <w:p>
      <w:pPr>
        <w:bidi/>
        <w:spacing w:after="50" w:before="0"/>
        <w:ind w:left="0"/>
      </w:pPr>
      <w:hyperlink w:history="1" w:anchor="_sec11">
        <w:r>
          <w:rPr>
            <w:rFonts w:ascii="Arial" w:cs="Arial" w:eastAsia="Arial" w:hAnsi="Arial"/>
            <w:b/>
            <w:bCs/>
            <w:color w:val="1F3A5F"/>
            <w:sz w:val="20"/>
            <w:szCs w:val="20"/>
            <w:rtl/>
          </w:rPr>
          <w:t xml:space="preserve">5. ما لن يفعله النظام</w:t>
        </w:r>
      </w:hyperlink>
    </w:p>
    <w:p>
      <w:pPr>
        <w:bidi/>
        <w:spacing w:after="50" w:before="0"/>
        <w:ind w:left="0"/>
      </w:pPr>
      <w:hyperlink w:history="1" w:anchor="_sec12">
        <w:r>
          <w:rPr>
            <w:rFonts w:ascii="Arial" w:cs="Arial" w:eastAsia="Arial" w:hAnsi="Arial"/>
            <w:b/>
            <w:bCs/>
            <w:color w:val="1F3A5F"/>
            <w:sz w:val="20"/>
            <w:szCs w:val="20"/>
            <w:rtl/>
          </w:rPr>
          <w:t xml:space="preserve">6. خطة التنفيذ المقترحة</w:t>
        </w:r>
      </w:hyperlink>
    </w:p>
    <w:p>
      <w:pPr>
        <w:bidi/>
        <w:spacing w:after="50" w:before="0"/>
        <w:ind w:left="0"/>
      </w:pPr>
      <w:hyperlink w:history="1" w:anchor="_sec13">
        <w:r>
          <w:rPr>
            <w:rFonts w:ascii="Arial" w:cs="Arial" w:eastAsia="Arial" w:hAnsi="Arial"/>
            <w:b/>
            <w:bCs/>
            <w:color w:val="1F3A5F"/>
            <w:sz w:val="20"/>
            <w:szCs w:val="20"/>
            <w:rtl/>
          </w:rPr>
          <w:t xml:space="preserve">7. قرارات المالك (2026-10-20، القرار 34)</w:t>
        </w:r>
      </w:hyperlink>
    </w:p>
    <w:p>
      <w:r>
        <w:br w:type="page"/>
      </w:r>
    </w:p>
    <w:p>
      <w:pPr>
        <w:pStyle w:val="Heading1"/>
        <w:bidi/>
      </w:pPr>
      <w:bookmarkStart w:name="_sec1" w:id="1"/>
      <w:r>
        <w:rPr>
          <w:rFonts w:ascii="Arial" w:cs="Arial" w:eastAsia="Arial" w:hAnsi="Arial"/>
          <w:b/>
          <w:bCs/>
          <w:color w:val="1F3A5F"/>
          <w:sz w:val="32"/>
          <w:szCs w:val="32"/>
          <w:rtl/>
        </w:rPr>
        <w:t xml:space="preserve">1. المنظور الصحيح</w:t>
      </w:r>
      <w:bookmarkEnd w:id="1"/>
    </w:p>
    <w:p>
      <w:pPr>
        <w:bidi/>
        <w:spacing w:after="110" w:before="0" w:line="312"/>
      </w:pPr>
      <w:r>
        <w:rPr>
          <w:rFonts w:ascii="Arial" w:cs="Arial" w:eastAsia="Arial" w:hAnsi="Arial"/>
          <w:b w:val="false"/>
          <w:bCs w:val="false"/>
          <w:sz w:val="21"/>
          <w:szCs w:val="21"/>
          <w:rtl/>
        </w:rPr>
        <w:t xml:space="preserve">البنك يملك منظومته الخاصة ولا يحتاج نظامنا. </w:t>
      </w:r>
      <w:r>
        <w:rPr>
          <w:rFonts w:ascii="Arial" w:cs="Arial" w:eastAsia="Arial" w:hAnsi="Arial"/>
          <w:b/>
          <w:bCs/>
          <w:sz w:val="21"/>
          <w:szCs w:val="21"/>
          <w:rtl/>
        </w:rPr>
        <w:t xml:space="preserve">ونظامنا مرآة داخلية للشركة</w:t>
      </w:r>
      <w:r>
        <w:rPr>
          <w:rFonts w:ascii="Arial" w:cs="Arial" w:eastAsia="Arial" w:hAnsi="Arial"/>
          <w:b w:val="false"/>
          <w:bCs w:val="false"/>
          <w:sz w:val="21"/>
          <w:szCs w:val="21"/>
          <w:rtl/>
        </w:rPr>
        <w:t xml:space="preserve">، تُريها ما ستراه جهات التمويل في قوائمها </w:t>
      </w:r>
      <w:r>
        <w:rPr>
          <w:rFonts w:ascii="Arial" w:cs="Arial" w:eastAsia="Arial" w:hAnsi="Arial"/>
          <w:b/>
          <w:bCs/>
          <w:sz w:val="21"/>
          <w:szCs w:val="21"/>
          <w:rtl/>
        </w:rPr>
        <w:t xml:space="preserve">قبل أن تراه</w:t>
      </w:r>
      <w:r>
        <w:rPr>
          <w:rFonts w:ascii="Arial" w:cs="Arial" w:eastAsia="Arial" w:hAnsi="Arial"/>
          <w:b w:val="false"/>
          <w:bCs w:val="false"/>
          <w:sz w:val="21"/>
          <w:szCs w:val="21"/>
          <w:rtl/>
        </w:rPr>
        <w:t xml:space="preserve">، لثلاثة أغراض:</w:t>
      </w:r>
    </w:p>
    <w:p>
      <w:pPr>
        <w:pStyle w:val="ListParagraph"/>
        <w:numPr>
          <w:ilvl w:val="0"/>
          <w:numId w:val="2"/>
        </w:numPr>
        <w:bidi/>
        <w:spacing w:after="70" w:before="0" w:line="300"/>
      </w:pPr>
      <w:r>
        <w:rPr>
          <w:rFonts w:ascii="Arial" w:cs="Arial" w:eastAsia="Arial" w:hAnsi="Arial"/>
          <w:b/>
          <w:bCs/>
          <w:sz w:val="21"/>
          <w:szCs w:val="21"/>
          <w:rtl/>
        </w:rPr>
        <w:t xml:space="preserve">الاستباق.</w:t>
      </w:r>
      <w:r>
        <w:rPr>
          <w:rFonts w:ascii="Arial" w:cs="Arial" w:eastAsia="Arial" w:hAnsi="Arial"/>
          <w:b w:val="false"/>
          <w:bCs w:val="false"/>
          <w:sz w:val="21"/>
          <w:szCs w:val="21"/>
          <w:rtl/>
        </w:rPr>
        <w:t xml:space="preserve"> تعرف الشركة درجتها المتوقعة ونقاط ضعفها ومخاطرها قبل أن تقدّم قوائمها أو تطلب تجديد تسهيلاتها.</w:t>
      </w:r>
    </w:p>
    <w:p>
      <w:pPr>
        <w:pStyle w:val="ListParagraph"/>
        <w:numPr>
          <w:ilvl w:val="0"/>
          <w:numId w:val="2"/>
        </w:numPr>
        <w:bidi/>
        <w:spacing w:after="70" w:before="0" w:line="300"/>
      </w:pPr>
      <w:r>
        <w:rPr>
          <w:rFonts w:ascii="Arial" w:cs="Arial" w:eastAsia="Arial" w:hAnsi="Arial"/>
          <w:b/>
          <w:bCs/>
          <w:sz w:val="21"/>
          <w:szCs w:val="21"/>
          <w:rtl/>
        </w:rPr>
        <w:t xml:space="preserve">التدارك.</w:t>
      </w:r>
      <w:r>
        <w:rPr>
          <w:rFonts w:ascii="Arial" w:cs="Arial" w:eastAsia="Arial" w:hAnsi="Arial"/>
          <w:b w:val="false"/>
          <w:bCs w:val="false"/>
          <w:sz w:val="21"/>
          <w:szCs w:val="21"/>
          <w:rtl/>
        </w:rPr>
        <w:t xml:space="preserve"> تختار الإجراءات الفعلية وإعادة التبويب الصحيحة التي تقوّي موقفها، وترى أثر كل منها قبل تنفيذه.</w:t>
      </w:r>
    </w:p>
    <w:p>
      <w:pPr>
        <w:pStyle w:val="ListParagraph"/>
        <w:numPr>
          <w:ilvl w:val="0"/>
          <w:numId w:val="2"/>
        </w:numPr>
        <w:bidi/>
        <w:spacing w:after="70" w:before="0" w:line="300"/>
      </w:pPr>
      <w:r>
        <w:rPr>
          <w:rFonts w:ascii="Arial" w:cs="Arial" w:eastAsia="Arial" w:hAnsi="Arial"/>
          <w:b/>
          <w:bCs/>
          <w:sz w:val="21"/>
          <w:szCs w:val="21"/>
          <w:rtl/>
        </w:rPr>
        <w:t xml:space="preserve">التجهيز.</w:t>
      </w:r>
      <w:r>
        <w:rPr>
          <w:rFonts w:ascii="Arial" w:cs="Arial" w:eastAsia="Arial" w:hAnsi="Arial"/>
          <w:b w:val="false"/>
          <w:bCs w:val="false"/>
          <w:sz w:val="21"/>
          <w:szCs w:val="21"/>
          <w:rtl/>
        </w:rPr>
        <w:t xml:space="preserve"> تعدّ قوائمها بصيغة أخرى قبل اعتمادها النهائي، مع ملف جاهز لما ستسأل عنه جهات التمويل.</w:t>
      </w:r>
    </w:p>
    <w:p>
      <w:pPr>
        <w:bidi/>
        <w:spacing w:after="60" w:before="0"/>
      </w:pPr>
    </w:p>
    <w:p>
      <w:pPr>
        <w:bidi/>
        <w:spacing w:after="110" w:before="0" w:line="312"/>
      </w:pPr>
      <w:r>
        <w:rPr>
          <w:rFonts w:ascii="Arial" w:cs="Arial" w:eastAsia="Arial" w:hAnsi="Arial"/>
          <w:b w:val="false"/>
          <w:bCs w:val="false"/>
          <w:sz w:val="21"/>
          <w:szCs w:val="21"/>
          <w:rtl/>
        </w:rPr>
        <w:t xml:space="preserve">فكل ما في التقييم يُقرأ من سؤال واحد: </w:t>
      </w:r>
      <w:r>
        <w:rPr>
          <w:rFonts w:ascii="Arial" w:cs="Arial" w:eastAsia="Arial" w:hAnsi="Arial"/>
          <w:b/>
          <w:bCs/>
          <w:sz w:val="21"/>
          <w:szCs w:val="21"/>
          <w:rtl/>
        </w:rPr>
        <w:t xml:space="preserve">ماذا تفعل الشركة الآن لتكون أقوى حين تقف أمام البنك؟</w:t>
      </w:r>
      <w:r>
        <w:rPr>
          <w:rFonts w:ascii="Arial" w:cs="Arial" w:eastAsia="Arial" w:hAnsi="Arial"/>
          <w:b w:val="false"/>
          <w:bCs w:val="false"/>
          <w:sz w:val="21"/>
          <w:szCs w:val="21"/>
          <w:rtl/>
        </w:rPr>
        <w:t xml:space="preserve"> لا من سؤال: ماذا يقرر البنك؟</w:t>
      </w:r>
    </w:p>
    <w:p>
      <w:pPr>
        <w:pStyle w:val="Heading1"/>
        <w:bidi/>
      </w:pPr>
      <w:bookmarkStart w:name="_sec2" w:id="2"/>
      <w:r>
        <w:rPr>
          <w:rFonts w:ascii="Arial" w:cs="Arial" w:eastAsia="Arial" w:hAnsi="Arial"/>
          <w:b/>
          <w:bCs/>
          <w:color w:val="1F3A5F"/>
          <w:sz w:val="32"/>
          <w:szCs w:val="32"/>
          <w:rtl/>
        </w:rPr>
        <w:t xml:space="preserve">2. ما يخدم هذا المنظور فعلًا في النظام الآن</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472"/>
        <w:gridCol w:w="5392"/>
      </w:tblGrid>
      <w:tr>
        <w:trPr>
          <w:cantSplit/>
          <w:tblHeader/>
        </w:trPr>
        <w:tc>
          <w:tcPr>
            <w:tcW w:type="dxa" w:w="44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c>
          <w:tcPr>
            <w:tcW w:type="dxa" w:w="53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كيف يخدم الشركة</w:t>
            </w:r>
          </w:p>
        </w:tc>
      </w:tr>
      <w:tr>
        <w:trPr>
          <w:cantSplit/>
        </w:trPr>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القائمة التحليلية وإعادة التبويب (§5)</w:t>
            </w:r>
          </w:p>
        </w:tc>
        <w:tc>
          <w:tcPr>
            <w:tcW w:type="dxa" w:w="5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ترى الشركة كيف تُقرأ بنودها: الإيجار دين، والحسابات الجارية للشركاء دين ما لم تُسند، والنقد المقيد ليس نقدًا. ولكل نقل سطر مطابقة بسببه</w:t>
            </w:r>
          </w:p>
        </w:tc>
      </w:tr>
      <w:tr>
        <w:trPr>
          <w:cantSplit/>
        </w:trPr>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بنود الميزانية (§8)</w:t>
            </w:r>
          </w:p>
        </w:tc>
        <w:tc>
          <w:tcPr>
            <w:tcW w:type="dxa" w:w="5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بند خطره وأثره على النقد والملاءة ووزنه، والحل الذي يستدعيه</w:t>
            </w:r>
          </w:p>
        </w:tc>
      </w:tr>
      <w:tr>
        <w:trPr>
          <w:cantSplit/>
        </w:trPr>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الحلول وخطط التقوية (§15)</w:t>
            </w:r>
          </w:p>
        </w:tc>
        <w:tc>
          <w:tcPr>
            <w:tcW w:type="dxa" w:w="5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ضعف حل بدرجته التقديرية، وخطط جاهزة تطبق الحلول بالتتابع، وتبقى الميزانية متوازنة بعد كل خطوة. ويفرّق النظام بين </w:t>
            </w:r>
            <w:r>
              <w:rPr>
                <w:rFonts w:ascii="Arial" w:cs="Arial" w:eastAsia="Arial" w:hAnsi="Arial"/>
                <w:b/>
                <w:bCs/>
                <w:sz w:val="18"/>
                <w:szCs w:val="18"/>
                <w:rtl/>
              </w:rPr>
              <w:t xml:space="preserve">إجراء فعلي</w:t>
            </w:r>
            <w:r>
              <w:rPr>
                <w:rFonts w:ascii="Arial" w:cs="Arial" w:eastAsia="Arial" w:hAnsi="Arial"/>
                <w:b w:val="false"/>
                <w:bCs w:val="false"/>
                <w:sz w:val="18"/>
                <w:szCs w:val="18"/>
                <w:rtl/>
              </w:rPr>
              <w:t xml:space="preserve"> و</w:t>
            </w:r>
            <w:r>
              <w:rPr>
                <w:rFonts w:ascii="Arial" w:cs="Arial" w:eastAsia="Arial" w:hAnsi="Arial"/>
                <w:b/>
                <w:bCs/>
                <w:sz w:val="18"/>
                <w:szCs w:val="18"/>
                <w:rtl/>
              </w:rPr>
              <w:t xml:space="preserve">عرض يتبع الجوهر</w:t>
            </w:r>
          </w:p>
        </w:tc>
      </w:tr>
      <w:tr>
        <w:trPr>
          <w:cantSplit/>
        </w:trPr>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السيناريوهات السبعة والصمود (§14)</w:t>
            </w:r>
          </w:p>
        </w:tc>
        <w:tc>
          <w:tcPr>
            <w:tcW w:type="dxa" w:w="5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ترى الشركة أي أزمة تهدد قطاعها في بلدها ومدينتها أكثر من غيرها</w:t>
            </w:r>
          </w:p>
        </w:tc>
      </w:tr>
      <w:tr>
        <w:trPr>
          <w:cantSplit/>
        </w:trPr>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القطاع والبلد والمنتجات (§7، §13)</w:t>
            </w:r>
          </w:p>
        </w:tc>
        <w:tc>
          <w:tcPr>
            <w:tcW w:type="dxa" w:w="5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المؤثرات الخارجية: مخاطر النشاط والبلد والمدينة، وجودة تدفقات المنتجات وسيولة المخزون</w:t>
            </w:r>
          </w:p>
        </w:tc>
      </w:tr>
      <w:tr>
        <w:trPr>
          <w:cantSplit/>
        </w:trPr>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التسهيلات والضمانات والتعهدات (§10، §11)</w:t>
            </w:r>
          </w:p>
        </w:tc>
        <w:tc>
          <w:tcPr>
            <w:tcW w:type="dxa" w:w="5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ترتبط قوة الشركة بتسهيلاتها المسجلة في المنصة: السيولة، وتغطية الضمانات، والتعهدات وخروقها</w:t>
            </w:r>
          </w:p>
        </w:tc>
      </w:tr>
      <w:tr>
        <w:trPr>
          <w:cantSplit/>
        </w:trPr>
        <w:tc>
          <w:tcPr>
            <w:tcW w:type="dxa" w:w="44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النظرة والمحفزات (§16)</w:t>
            </w:r>
          </w:p>
        </w:tc>
        <w:tc>
          <w:tcPr>
            <w:tcW w:type="dxa" w:w="53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 الذي ينقل الدرجة درجة إلى أعلى أو أسفل، وبأي قيمة لكل مقياس</w:t>
            </w:r>
          </w:p>
        </w:tc>
      </w:tr>
      <w:tr>
        <w:trPr>
          <w:cantSplit/>
        </w:trPr>
        <w:tc>
          <w:tcPr>
            <w:tcW w:type="dxa" w:w="44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البيانات المطلوبة (§17)</w:t>
            </w:r>
          </w:p>
        </w:tc>
        <w:tc>
          <w:tcPr>
            <w:tcW w:type="dxa" w:w="53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إفصاح ناقص يضعف الدرجة، وهو ما سيطلبه البنك</w:t>
            </w:r>
          </w:p>
        </w:tc>
      </w:tr>
    </w:tbl>
    <w:p>
      <w:pPr>
        <w:bidi/>
        <w:spacing w:after="120" w:before="0"/>
      </w:pPr>
    </w:p>
    <w:p>
      <w:pPr>
        <w:bidi/>
        <w:spacing w:after="110" w:before="0" w:line="312"/>
      </w:pPr>
      <w:r>
        <w:rPr>
          <w:rFonts w:ascii="Arial" w:cs="Arial" w:eastAsia="Arial" w:hAnsi="Arial"/>
          <w:b w:val="false"/>
          <w:bCs w:val="false"/>
          <w:sz w:val="21"/>
          <w:szCs w:val="21"/>
          <w:rtl/>
        </w:rPr>
        <w:t xml:space="preserve">فالأساس صحيح، ويُبنى عليه. لكن فيه </w:t>
      </w:r>
      <w:r>
        <w:rPr>
          <w:rFonts w:ascii="Arial" w:cs="Arial" w:eastAsia="Arial" w:hAnsi="Arial"/>
          <w:b/>
          <w:bCs/>
          <w:sz w:val="21"/>
          <w:szCs w:val="21"/>
          <w:rtl/>
        </w:rPr>
        <w:t xml:space="preserve">لغة كُتبت من منظور البنك</w:t>
      </w:r>
      <w:r>
        <w:rPr>
          <w:rFonts w:ascii="Arial" w:cs="Arial" w:eastAsia="Arial" w:hAnsi="Arial"/>
          <w:b w:val="false"/>
          <w:bCs w:val="false"/>
          <w:sz w:val="21"/>
          <w:szCs w:val="21"/>
          <w:rtl/>
        </w:rPr>
        <w:t xml:space="preserve">، و</w:t>
      </w:r>
      <w:r>
        <w:rPr>
          <w:rFonts w:ascii="Arial" w:cs="Arial" w:eastAsia="Arial" w:hAnsi="Arial"/>
          <w:b/>
          <w:bCs/>
          <w:sz w:val="21"/>
          <w:szCs w:val="21"/>
          <w:rtl/>
        </w:rPr>
        <w:t xml:space="preserve">فجوات</w:t>
      </w:r>
      <w:r>
        <w:rPr>
          <w:rFonts w:ascii="Arial" w:cs="Arial" w:eastAsia="Arial" w:hAnsi="Arial"/>
          <w:b w:val="false"/>
          <w:bCs w:val="false"/>
          <w:sz w:val="21"/>
          <w:szCs w:val="21"/>
          <w:rtl/>
        </w:rPr>
        <w:t xml:space="preserve"> تمنع الاستعمال الاستباقي.</w:t>
      </w:r>
    </w:p>
    <w:p>
      <w:pPr>
        <w:pStyle w:val="Heading1"/>
        <w:bidi/>
      </w:pPr>
      <w:bookmarkStart w:name="_sec3" w:id="3"/>
      <w:r>
        <w:rPr>
          <w:rFonts w:ascii="Arial" w:cs="Arial" w:eastAsia="Arial" w:hAnsi="Arial"/>
          <w:b/>
          <w:bCs/>
          <w:color w:val="1F3A5F"/>
          <w:sz w:val="32"/>
          <w:szCs w:val="32"/>
          <w:rtl/>
        </w:rPr>
        <w:t xml:space="preserve">3. ما كُتب من منظور البنك ويُصحَّح</w:t>
      </w:r>
      <w:bookmarkEnd w:id="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38"/>
        <w:gridCol w:w="2270"/>
        <w:gridCol w:w="4756"/>
      </w:tblGrid>
      <w:tr>
        <w:trPr>
          <w:cantSplit/>
          <w:tblHeader/>
        </w:trPr>
        <w:tc>
          <w:tcPr>
            <w:tcW w:type="dxa" w:w="28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الموضع</w:t>
            </w:r>
          </w:p>
        </w:tc>
        <w:tc>
          <w:tcPr>
            <w:tcW w:type="dxa" w:w="22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كُتب</w:t>
            </w:r>
          </w:p>
        </w:tc>
        <w:tc>
          <w:tcPr>
            <w:tcW w:type="dxa" w:w="47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التصحيح</w:t>
            </w:r>
          </w:p>
        </w:tc>
      </w:tr>
      <w:tr>
        <w:trPr>
          <w:cantSplit/>
        </w:trPr>
        <w:tc>
          <w:tcPr>
            <w:tcW w:type="dxa" w:w="28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32 و§14 «موقف البنك»</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يقدّر النظام ما سيفعله البنك</w:t>
            </w:r>
          </w:p>
        </w:tc>
        <w:tc>
          <w:tcPr>
            <w:tcW w:type="dxa" w:w="4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يصير </w:t>
            </w:r>
            <w:r>
              <w:rPr>
                <w:rFonts w:ascii="Arial" w:cs="Arial" w:eastAsia="Arial" w:hAnsi="Arial"/>
                <w:b/>
                <w:bCs/>
                <w:sz w:val="18"/>
                <w:szCs w:val="18"/>
                <w:rtl/>
              </w:rPr>
              <w:t xml:space="preserve">«ما تتوقعه الشركة من جهات تمويلها في الأزمة»</w:t>
            </w:r>
            <w:r>
              <w:rPr>
                <w:rFonts w:ascii="Arial" w:cs="Arial" w:eastAsia="Arial" w:hAnsi="Arial"/>
                <w:b w:val="false"/>
                <w:bCs w:val="false"/>
                <w:sz w:val="18"/>
                <w:szCs w:val="18"/>
                <w:rtl/>
              </w:rPr>
              <w:t xml:space="preserve">: كم من حدودها قد يتوقف، وكم قد ترتفع كلفة تمويلها، لتبني احتياطها قبل وقوعه. المعادلة نفسها، والغرض تخطيط السيولة لا محاكاة قرار البنك</w:t>
            </w:r>
          </w:p>
        </w:tc>
      </w:tr>
      <w:tr>
        <w:trPr>
          <w:cantSplit/>
        </w:trPr>
        <w:tc>
          <w:tcPr>
            <w:tcW w:type="dxa" w:w="28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33 «قرار البنك الفعلي»</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البنك يحل محل التقدير</w:t>
            </w:r>
          </w:p>
        </w:tc>
        <w:tc>
          <w:tcPr>
            <w:tcW w:type="dxa" w:w="4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يصير </w:t>
            </w:r>
            <w:r>
              <w:rPr>
                <w:rFonts w:ascii="Arial" w:cs="Arial" w:eastAsia="Arial" w:hAnsi="Arial"/>
                <w:b/>
                <w:bCs/>
                <w:sz w:val="18"/>
                <w:szCs w:val="18"/>
                <w:rtl/>
              </w:rPr>
              <w:t xml:space="preserve">«ما أبلغت به جهة التمويل الشركة»</w:t>
            </w:r>
            <w:r>
              <w:rPr>
                <w:rFonts w:ascii="Arial" w:cs="Arial" w:eastAsia="Arial" w:hAnsi="Arial"/>
                <w:b w:val="false"/>
                <w:bCs w:val="false"/>
                <w:sz w:val="18"/>
                <w:szCs w:val="18"/>
                <w:rtl/>
              </w:rPr>
              <w:t xml:space="preserve">: إشعار تخفيض أو إيقاف أو إعادة تسعير وصل إلى الشركة، تسجله إدارة الخزينة بمستنده، فيقرأه التقييم حقيقة بدل التوقع</w:t>
            </w:r>
          </w:p>
        </w:tc>
      </w:tr>
      <w:tr>
        <w:trPr>
          <w:cantSplit/>
        </w:trPr>
        <w:tc>
          <w:tcPr>
            <w:tcW w:type="dxa" w:w="28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«درجة التسهيلات» (§11)</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تُقرأ كأنها درجة يمنحها البنك</w:t>
            </w:r>
          </w:p>
        </w:tc>
        <w:tc>
          <w:tcPr>
            <w:tcW w:type="dxa" w:w="4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تصير </w:t>
            </w:r>
            <w:r>
              <w:rPr>
                <w:rFonts w:ascii="Arial" w:cs="Arial" w:eastAsia="Arial" w:hAnsi="Arial"/>
                <w:b/>
                <w:bCs/>
                <w:sz w:val="18"/>
                <w:szCs w:val="18"/>
                <w:rtl/>
              </w:rPr>
              <w:t xml:space="preserve">«قوة الضمانات أمام جهة التمويل»</w:t>
            </w:r>
            <w:r>
              <w:rPr>
                <w:rFonts w:ascii="Arial" w:cs="Arial" w:eastAsia="Arial" w:hAnsi="Arial"/>
                <w:b w:val="false"/>
                <w:bCs w:val="false"/>
                <w:sz w:val="18"/>
                <w:szCs w:val="18"/>
                <w:rtl/>
              </w:rPr>
              <w:t xml:space="preserve">: ما تغطيه ضمانات الشركة من تسهيلاتها، وما الذي يحسّنه</w:t>
            </w:r>
          </w:p>
        </w:tc>
      </w:tr>
      <w:tr>
        <w:trPr>
          <w:cantSplit/>
        </w:trPr>
        <w:tc>
          <w:tcPr>
            <w:tcW w:type="dxa" w:w="28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«المحلل» (16 موضعًا)</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ائتمان</w:t>
            </w:r>
          </w:p>
        </w:tc>
        <w:tc>
          <w:tcPr>
            <w:tcW w:type="dxa" w:w="4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معدّ التقييم في الشركة</w:t>
            </w:r>
            <w:r>
              <w:rPr>
                <w:rFonts w:ascii="Arial" w:cs="Arial" w:eastAsia="Arial" w:hAnsi="Arial"/>
                <w:b w:val="false"/>
                <w:bCs w:val="false"/>
                <w:sz w:val="18"/>
                <w:szCs w:val="18"/>
                <w:rtl/>
              </w:rPr>
              <w:t xml:space="preserve"> (إدارة الخزينة)؛ ويبقى «محلل جهة التمويل» حيث المقصود قراءة البنك</w:t>
            </w:r>
          </w:p>
        </w:tc>
      </w:tr>
      <w:tr>
        <w:trPr>
          <w:cantSplit/>
        </w:trPr>
        <w:tc>
          <w:tcPr>
            <w:tcW w:type="dxa" w:w="28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الحوكمة (§20)</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قبل «قرار ائتماني»</w:t>
            </w:r>
          </w:p>
        </w:tc>
        <w:tc>
          <w:tcPr>
            <w:tcW w:type="dxa" w:w="47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التحقق قبل </w:t>
            </w:r>
            <w:r>
              <w:rPr>
                <w:rFonts w:ascii="Arial" w:cs="Arial" w:eastAsia="Arial" w:hAnsi="Arial"/>
                <w:b/>
                <w:bCs/>
                <w:sz w:val="18"/>
                <w:szCs w:val="18"/>
                <w:rtl/>
              </w:rPr>
              <w:t xml:space="preserve">اعتماد خطة الشركة أو تقديم قوائمها</w:t>
            </w:r>
            <w:r>
              <w:rPr>
                <w:rFonts w:ascii="Arial" w:cs="Arial" w:eastAsia="Arial" w:hAnsi="Arial"/>
                <w:b w:val="false"/>
                <w:bCs w:val="false"/>
                <w:sz w:val="18"/>
                <w:szCs w:val="18"/>
                <w:rtl/>
              </w:rPr>
              <w:t xml:space="preserve">، وتقارن إدارة الخزينة درجات النظام بما تبلغها به البنوك وبتقارير سمة</w:t>
            </w:r>
          </w:p>
        </w:tc>
      </w:tr>
      <w:tr>
        <w:trPr>
          <w:cantSplit/>
        </w:trPr>
        <w:tc>
          <w:tcPr>
            <w:tcW w:type="dxa" w:w="28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رأس التقرير (§18)</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 كأنها حكم</w:t>
            </w:r>
          </w:p>
        </w:tc>
        <w:tc>
          <w:tcPr>
            <w:tcW w:type="dxa" w:w="47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يبدأ التقرير بـ**«ما سيراه البنك، وما تفعله الشركة قبله»**: الدرجة المتوقعة، وأهم ثلاث نقاط ضعف، والإجراءات بترتيب أثرها وموعدها</w:t>
            </w:r>
          </w:p>
        </w:tc>
      </w:tr>
    </w:tbl>
    <w:p>
      <w:pPr>
        <w:bidi/>
        <w:spacing w:after="120" w:before="0"/>
      </w:pPr>
    </w:p>
    <w:p>
      <w:pPr>
        <w:pStyle w:val="Heading1"/>
        <w:bidi/>
      </w:pPr>
      <w:bookmarkStart w:name="_sec4" w:id="4"/>
      <w:r>
        <w:rPr>
          <w:rFonts w:ascii="Arial" w:cs="Arial" w:eastAsia="Arial" w:hAnsi="Arial"/>
          <w:b/>
          <w:bCs/>
          <w:color w:val="1F3A5F"/>
          <w:sz w:val="32"/>
          <w:szCs w:val="32"/>
          <w:rtl/>
        </w:rPr>
        <w:t xml:space="preserve">4. الفجوات من المنظور الداخلي</w:t>
      </w:r>
      <w:bookmarkEnd w:id="4"/>
    </w:p>
    <w:p>
      <w:pPr>
        <w:pStyle w:val="Heading2"/>
        <w:bidi/>
      </w:pPr>
      <w:bookmarkStart w:name="_sec5" w:id="5"/>
      <w:r>
        <w:rPr>
          <w:rFonts w:ascii="Arial" w:cs="Arial" w:eastAsia="Arial" w:hAnsi="Arial"/>
          <w:b/>
          <w:bCs/>
          <w:color w:val="2B5C8A"/>
          <w:sz w:val="26"/>
          <w:szCs w:val="26"/>
          <w:rtl/>
        </w:rPr>
        <w:t xml:space="preserve">ف1. التقييم قبل الاعتماد النهائي للقوائم</w:t>
      </w:r>
      <w:bookmarkEnd w:id="5"/>
    </w:p>
    <w:p>
      <w:pPr>
        <w:bidi/>
        <w:spacing w:after="110" w:before="0" w:line="312"/>
      </w:pPr>
      <w:r>
        <w:rPr>
          <w:rFonts w:ascii="Arial" w:cs="Arial" w:eastAsia="Arial" w:hAnsi="Arial"/>
          <w:b/>
          <w:bCs/>
          <w:sz w:val="21"/>
          <w:szCs w:val="21"/>
          <w:rtl/>
        </w:rPr>
        <w:t xml:space="preserve">الواقع الآن:</w:t>
      </w:r>
      <w:r>
        <w:rPr>
          <w:rFonts w:ascii="Arial" w:cs="Arial" w:eastAsia="Arial" w:hAnsi="Arial"/>
          <w:b w:val="false"/>
          <w:bCs w:val="false"/>
          <w:sz w:val="21"/>
          <w:szCs w:val="21"/>
          <w:rtl/>
        </w:rPr>
        <w:t xml:space="preserve"> لا يقيّم النظام إلا قائمة </w:t>
      </w:r>
      <w:r>
        <w:rPr>
          <w:rFonts w:ascii="Arial" w:cs="Arial" w:eastAsia="Arial" w:hAnsi="Arial"/>
          <w:b/>
          <w:bCs/>
          <w:sz w:val="21"/>
          <w:szCs w:val="21"/>
          <w:rtl/>
        </w:rPr>
        <w:t xml:space="preserve">معتمدة</w:t>
      </w:r>
      <w:r>
        <w:rPr>
          <w:rFonts w:ascii="Arial" w:cs="Arial" w:eastAsia="Arial" w:hAnsi="Arial"/>
          <w:b w:val="false"/>
          <w:bCs w:val="false"/>
          <w:sz w:val="21"/>
          <w:szCs w:val="21"/>
          <w:rtl/>
        </w:rPr>
        <w:t xml:space="preserve"> (الحارس 50064). وهذا يناقض الغرض: تريد الشركة دراسة قوائمها وهي مسودة، قبل أن يعتمدها المراجع أو الإدارة.</w:t>
      </w:r>
    </w:p>
    <w:p>
      <w:pPr>
        <w:bidi/>
        <w:spacing w:after="110" w:before="0" w:line="312"/>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تقييم تجريبي</w:t>
      </w:r>
      <w:r>
        <w:rPr>
          <w:rFonts w:ascii="Arial" w:cs="Arial" w:eastAsia="Arial" w:hAnsi="Arial"/>
          <w:b w:val="false"/>
          <w:bCs w:val="false"/>
          <w:sz w:val="21"/>
          <w:szCs w:val="21"/>
          <w:rtl/>
        </w:rPr>
        <w:t xml:space="preserve"> على قائمة مسودة أو مقدّمة، مدققة أو داخلية:</w:t>
      </w:r>
    </w:p>
    <w:p>
      <w:pPr>
        <w:pStyle w:val="ListParagraph"/>
        <w:numPr>
          <w:ilvl w:val="0"/>
          <w:numId w:val="3"/>
        </w:numPr>
        <w:bidi/>
        <w:spacing w:after="70" w:before="0" w:line="300"/>
      </w:pPr>
      <w:r>
        <w:rPr>
          <w:rFonts w:ascii="Arial" w:cs="Arial" w:eastAsia="Arial" w:hAnsi="Arial"/>
          <w:b w:val="false"/>
          <w:bCs w:val="false"/>
          <w:sz w:val="21"/>
          <w:szCs w:val="21"/>
          <w:rtl/>
        </w:rPr>
        <w:t xml:space="preserve">يُحسب ويُعاد حسابه كلما تغيّرت المسودة، ويحمل علامة «تقييم تجريبي على قائمة غير معتمدة».</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يُعتمد ولا يُقدَّم خارج الشركة، ولا يدخل في دعم المجموعة ولا في النظرة المقارنة.</w:t>
      </w:r>
    </w:p>
    <w:p>
      <w:pPr>
        <w:pStyle w:val="ListParagraph"/>
        <w:numPr>
          <w:ilvl w:val="0"/>
          <w:numId w:val="3"/>
        </w:numPr>
        <w:bidi/>
        <w:spacing w:after="70" w:before="0" w:line="300"/>
      </w:pPr>
      <w:r>
        <w:rPr>
          <w:rFonts w:ascii="Arial" w:cs="Arial" w:eastAsia="Arial" w:hAnsi="Arial"/>
          <w:b w:val="false"/>
          <w:bCs w:val="false"/>
          <w:sz w:val="21"/>
          <w:szCs w:val="21"/>
          <w:rtl/>
        </w:rPr>
        <w:t xml:space="preserve">حين تُعتمد القائمة يُحسب التقييم الرسمي عليها كما هو الآن.</w:t>
      </w:r>
    </w:p>
    <w:p>
      <w:pPr>
        <w:bidi/>
        <w:spacing w:after="60" w:before="0"/>
      </w:pPr>
    </w:p>
    <w:p>
      <w:pPr>
        <w:pStyle w:val="Heading2"/>
        <w:bidi/>
      </w:pPr>
      <w:bookmarkStart w:name="_sec6" w:id="6"/>
      <w:r>
        <w:rPr>
          <w:rFonts w:ascii="Arial" w:cs="Arial" w:eastAsia="Arial" w:hAnsi="Arial"/>
          <w:b/>
          <w:bCs/>
          <w:color w:val="2B5C8A"/>
          <w:sz w:val="26"/>
          <w:szCs w:val="26"/>
          <w:rtl/>
        </w:rPr>
        <w:t xml:space="preserve">ف2. نسخ عرض بديلة للقوائم ومقارنتها</w:t>
      </w:r>
      <w:bookmarkEnd w:id="6"/>
    </w:p>
    <w:p>
      <w:pPr>
        <w:bidi/>
        <w:spacing w:after="110" w:before="0" w:line="312"/>
      </w:pPr>
      <w:r>
        <w:rPr>
          <w:rFonts w:ascii="Arial" w:cs="Arial" w:eastAsia="Arial" w:hAnsi="Arial"/>
          <w:b/>
          <w:bCs/>
          <w:sz w:val="21"/>
          <w:szCs w:val="21"/>
          <w:rtl/>
        </w:rPr>
        <w:t xml:space="preserve">الواقع الآن:</w:t>
      </w:r>
      <w:r>
        <w:rPr>
          <w:rFonts w:ascii="Arial" w:cs="Arial" w:eastAsia="Arial" w:hAnsi="Arial"/>
          <w:b w:val="false"/>
          <w:bCs w:val="false"/>
          <w:sz w:val="21"/>
          <w:szCs w:val="21"/>
          <w:rtl/>
        </w:rPr>
        <w:t xml:space="preserve"> يحسب النظام القائمة التقديرية لكل حل ولكل خطوة من خطط التقوية، ويحفظ الدرجة بعدها. لكنه لا يحفظ القائمة البديلة نفسها، ولا يحوّلها إلى قائمة يمكن تقديمها.</w:t>
      </w:r>
    </w:p>
    <w:p>
      <w:pPr>
        <w:bidi/>
        <w:spacing w:after="110" w:before="0" w:line="312"/>
      </w:pPr>
      <w:r>
        <w:rPr>
          <w:rFonts w:ascii="Arial" w:cs="Arial" w:eastAsia="Arial" w:hAnsi="Arial"/>
          <w:b/>
          <w:bCs/>
          <w:sz w:val="21"/>
          <w:szCs w:val="21"/>
          <w:rtl/>
        </w:rPr>
        <w:t xml:space="preserve">المقترح:</w:t>
      </w:r>
    </w:p>
    <w:p>
      <w:pPr>
        <w:pStyle w:val="ListParagraph"/>
        <w:numPr>
          <w:ilvl w:val="0"/>
          <w:numId w:val="3"/>
        </w:numPr>
        <w:bidi/>
        <w:spacing w:after="70" w:before="0" w:line="300"/>
      </w:pPr>
      <w:r>
        <w:rPr>
          <w:rFonts w:ascii="Arial" w:cs="Arial" w:eastAsia="Arial" w:hAnsi="Arial"/>
          <w:b/>
          <w:bCs/>
          <w:sz w:val="21"/>
          <w:szCs w:val="21"/>
          <w:rtl/>
        </w:rPr>
        <w:t xml:space="preserve">نسخة عرض</w:t>
      </w:r>
      <w:r>
        <w:rPr>
          <w:rFonts w:ascii="Arial" w:cs="Arial" w:eastAsia="Arial" w:hAnsi="Arial"/>
          <w:b w:val="false"/>
          <w:bCs w:val="false"/>
          <w:sz w:val="21"/>
          <w:szCs w:val="21"/>
          <w:rtl/>
        </w:rPr>
        <w:t xml:space="preserve"> تُبنى من مسودة القائمة: تختار الشركة إعادة التبويب والحلول التي تريدها، فيكتب النظام القائمة البديلة كاملة متوازنة، بندًا بندًا، مع سطر مطابقة لكل نقل وسببه ومستنده.</w:t>
      </w:r>
    </w:p>
    <w:p>
      <w:pPr>
        <w:pStyle w:val="ListParagraph"/>
        <w:numPr>
          <w:ilvl w:val="0"/>
          <w:numId w:val="3"/>
        </w:numPr>
        <w:bidi/>
        <w:spacing w:after="70" w:before="0" w:line="300"/>
      </w:pPr>
      <w:r>
        <w:rPr>
          <w:rFonts w:ascii="Arial" w:cs="Arial" w:eastAsia="Arial" w:hAnsi="Arial"/>
          <w:b/>
          <w:bCs/>
          <w:sz w:val="21"/>
          <w:szCs w:val="21"/>
          <w:rtl/>
        </w:rPr>
        <w:t xml:space="preserve">مقارنة جنبًا إلى جنب</w:t>
      </w:r>
      <w:r>
        <w:rPr>
          <w:rFonts w:ascii="Arial" w:cs="Arial" w:eastAsia="Arial" w:hAnsi="Arial"/>
          <w:b w:val="false"/>
          <w:bCs w:val="false"/>
          <w:sz w:val="21"/>
          <w:szCs w:val="21"/>
          <w:rtl/>
        </w:rPr>
        <w:t xml:space="preserve">: الأصل والنسخة الأولى والثانية، بالدرجة والسيولة والتعهدات والسيناريوهات لكل منها، وما الذي تغيّر في كل بند.</w:t>
      </w:r>
    </w:p>
    <w:p>
      <w:pPr>
        <w:pStyle w:val="ListParagraph"/>
        <w:numPr>
          <w:ilvl w:val="0"/>
          <w:numId w:val="3"/>
        </w:numPr>
        <w:bidi/>
        <w:spacing w:after="70" w:before="0" w:line="300"/>
      </w:pPr>
      <w:r>
        <w:rPr>
          <w:rFonts w:ascii="Arial" w:cs="Arial" w:eastAsia="Arial" w:hAnsi="Arial"/>
          <w:b/>
          <w:bCs/>
          <w:sz w:val="21"/>
          <w:szCs w:val="21"/>
          <w:rtl/>
        </w:rPr>
        <w:t xml:space="preserve">تحويل النسخة المختارة إلى قائمة مسودة جديدة</w:t>
      </w:r>
      <w:r>
        <w:rPr>
          <w:rFonts w:ascii="Arial" w:cs="Arial" w:eastAsia="Arial" w:hAnsi="Arial"/>
          <w:b w:val="false"/>
          <w:bCs w:val="false"/>
          <w:sz w:val="21"/>
          <w:szCs w:val="21"/>
          <w:rtl/>
        </w:rPr>
        <w:t xml:space="preserve"> (إصدار بسبب «إعادة هيكلة») مرتبطة بالتقييم الذي أنتجها، تُرسل إلى المراجع أو تُعتمد داخليًا.</w:t>
      </w:r>
    </w:p>
    <w:p>
      <w:pPr>
        <w:bidi/>
        <w:spacing w:after="60" w:before="0"/>
      </w:pPr>
    </w:p>
    <w:p>
      <w:pPr>
        <w:bidi/>
        <w:spacing w:after="110" w:before="0" w:line="312"/>
      </w:pPr>
      <w:r>
        <w:rPr>
          <w:rFonts w:ascii="Arial" w:cs="Arial" w:eastAsia="Arial" w:hAnsi="Arial"/>
          <w:b/>
          <w:bCs/>
          <w:sz w:val="21"/>
          <w:szCs w:val="21"/>
          <w:rtl/>
        </w:rPr>
        <w:t xml:space="preserve">الحارس، وهو شرط لا يُتنازل عنه:</w:t>
      </w:r>
    </w:p>
    <w:p>
      <w:pPr>
        <w:pStyle w:val="ListParagraph"/>
        <w:numPr>
          <w:ilvl w:val="0"/>
          <w:numId w:val="3"/>
        </w:numPr>
        <w:bidi/>
        <w:spacing w:after="70" w:before="0" w:line="300"/>
      </w:pPr>
      <w:r>
        <w:rPr>
          <w:rFonts w:ascii="Arial" w:cs="Arial" w:eastAsia="Arial" w:hAnsi="Arial"/>
          <w:b/>
          <w:bCs/>
          <w:sz w:val="21"/>
          <w:szCs w:val="21"/>
          <w:rtl/>
        </w:rPr>
        <w:t xml:space="preserve">التبويب</w:t>
      </w:r>
      <w:r>
        <w:rPr>
          <w:rFonts w:ascii="Arial" w:cs="Arial" w:eastAsia="Arial" w:hAnsi="Arial"/>
          <w:b w:val="false"/>
          <w:bCs w:val="false"/>
          <w:sz w:val="21"/>
          <w:szCs w:val="21"/>
          <w:rtl/>
        </w:rPr>
        <w:t xml:space="preserve"> لا يتغير إلا بما تجيزه المعايير المحاسبية: تصنيف متداول وغير متداول بحسب الأجل، وإسناد قرض شريك بعقد، وغير ذلك. ولكل نقل أساس مكتوب ومستند.</w:t>
      </w:r>
    </w:p>
    <w:p>
      <w:pPr>
        <w:pStyle w:val="ListParagraph"/>
        <w:numPr>
          <w:ilvl w:val="0"/>
          <w:numId w:val="3"/>
        </w:numPr>
        <w:bidi/>
        <w:spacing w:after="70" w:before="0" w:line="300"/>
      </w:pPr>
      <w:r>
        <w:rPr>
          <w:rFonts w:ascii="Arial" w:cs="Arial" w:eastAsia="Arial" w:hAnsi="Arial"/>
          <w:b/>
          <w:bCs/>
          <w:sz w:val="21"/>
          <w:szCs w:val="21"/>
          <w:rtl/>
        </w:rPr>
        <w:t xml:space="preserve">الجوهر</w:t>
      </w:r>
      <w:r>
        <w:rPr>
          <w:rFonts w:ascii="Arial" w:cs="Arial" w:eastAsia="Arial" w:hAnsi="Arial"/>
          <w:b w:val="false"/>
          <w:bCs w:val="false"/>
          <w:sz w:val="21"/>
          <w:szCs w:val="21"/>
          <w:rtl/>
        </w:rPr>
        <w:t xml:space="preserve"> لا يتغير إلا بإجراء فعلي موثق: زيادة رأس مال، أو تحويل دين، أو جدولة بموافقة الدائن.</w:t>
      </w:r>
    </w:p>
    <w:p>
      <w:pPr>
        <w:pStyle w:val="ListParagraph"/>
        <w:numPr>
          <w:ilvl w:val="0"/>
          <w:numId w:val="3"/>
        </w:numPr>
        <w:bidi/>
        <w:spacing w:after="70" w:before="0" w:line="300"/>
      </w:pPr>
      <w:r>
        <w:rPr>
          <w:rFonts w:ascii="Arial" w:cs="Arial" w:eastAsia="Arial" w:hAnsi="Arial"/>
          <w:b/>
          <w:bCs/>
          <w:sz w:val="21"/>
          <w:szCs w:val="21"/>
          <w:rtl/>
        </w:rPr>
        <w:t xml:space="preserve">ما لا يتبع الجوهر يُرفض</w:t>
      </w:r>
      <w:r>
        <w:rPr>
          <w:rFonts w:ascii="Arial" w:cs="Arial" w:eastAsia="Arial" w:hAnsi="Arial"/>
          <w:b w:val="false"/>
          <w:bCs w:val="false"/>
          <w:sz w:val="21"/>
          <w:szCs w:val="21"/>
          <w:rtl/>
        </w:rPr>
        <w:t xml:space="preserve">، ويُعلَّم في التقرير بأنه تجميل لا يقوّي الموقف، لأن البنك سيعيد التبويب التحليلي نفسه فيكشفه.</w:t>
      </w:r>
    </w:p>
    <w:p>
      <w:pPr>
        <w:pStyle w:val="ListParagraph"/>
        <w:numPr>
          <w:ilvl w:val="0"/>
          <w:numId w:val="3"/>
        </w:numPr>
        <w:bidi/>
        <w:spacing w:after="70" w:before="0" w:line="300"/>
      </w:pPr>
      <w:r>
        <w:rPr>
          <w:rFonts w:ascii="Arial" w:cs="Arial" w:eastAsia="Arial" w:hAnsi="Arial"/>
          <w:b/>
          <w:bCs/>
          <w:sz w:val="21"/>
          <w:szCs w:val="21"/>
          <w:rtl/>
        </w:rPr>
        <w:t xml:space="preserve">النسخة النهائية المدققة</w:t>
      </w:r>
      <w:r>
        <w:rPr>
          <w:rFonts w:ascii="Arial" w:cs="Arial" w:eastAsia="Arial" w:hAnsi="Arial"/>
          <w:b w:val="false"/>
          <w:bCs w:val="false"/>
          <w:sz w:val="21"/>
          <w:szCs w:val="21"/>
          <w:rtl/>
        </w:rPr>
        <w:t xml:space="preserve"> يعتمدها المراجع الخارجي، ولا يغني النظام عنه.</w:t>
      </w:r>
    </w:p>
    <w:p>
      <w:pPr>
        <w:bidi/>
        <w:spacing w:after="60" w:before="0"/>
      </w:pPr>
    </w:p>
    <w:p>
      <w:pPr>
        <w:pStyle w:val="Heading2"/>
        <w:bidi/>
      </w:pPr>
      <w:bookmarkStart w:name="_sec7" w:id="7"/>
      <w:r>
        <w:rPr>
          <w:rFonts w:ascii="Arial" w:cs="Arial" w:eastAsia="Arial" w:hAnsi="Arial"/>
          <w:b/>
          <w:bCs/>
          <w:color w:val="2B5C8A"/>
          <w:sz w:val="26"/>
          <w:szCs w:val="26"/>
          <w:rtl/>
        </w:rPr>
        <w:t xml:space="preserve">ف3. ملف الجاهزية قبل جهة التمويل</w:t>
      </w:r>
      <w:bookmarkEnd w:id="7"/>
    </w:p>
    <w:p>
      <w:pPr>
        <w:bidi/>
        <w:spacing w:after="110" w:before="0" w:line="312"/>
      </w:pPr>
      <w:r>
        <w:rPr>
          <w:rFonts w:ascii="Arial" w:cs="Arial" w:eastAsia="Arial" w:hAnsi="Arial"/>
          <w:b/>
          <w:bCs/>
          <w:sz w:val="21"/>
          <w:szCs w:val="21"/>
          <w:rtl/>
        </w:rPr>
        <w:t xml:space="preserve">الواقع الآن:</w:t>
      </w:r>
      <w:r>
        <w:rPr>
          <w:rFonts w:ascii="Arial" w:cs="Arial" w:eastAsia="Arial" w:hAnsi="Arial"/>
          <w:b w:val="false"/>
          <w:bCs w:val="false"/>
          <w:sz w:val="21"/>
          <w:szCs w:val="21"/>
          <w:rtl/>
        </w:rPr>
        <w:t xml:space="preserve"> يسرد التقرير البيانات الناقصة ونقاط الضعف، لكنه لا يربطها بموعد.</w:t>
      </w:r>
    </w:p>
    <w:p>
      <w:pPr>
        <w:bidi/>
        <w:spacing w:after="110" w:before="0" w:line="312"/>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لكل تسهيل يقترب تجديده أو اختبار تعهداته:</w:t>
      </w:r>
    </w:p>
    <w:p>
      <w:pPr>
        <w:pStyle w:val="ListParagraph"/>
        <w:numPr>
          <w:ilvl w:val="0"/>
          <w:numId w:val="3"/>
        </w:numPr>
        <w:bidi/>
        <w:spacing w:after="70" w:before="0" w:line="300"/>
      </w:pPr>
      <w:r>
        <w:rPr>
          <w:rFonts w:ascii="Arial" w:cs="Arial" w:eastAsia="Arial" w:hAnsi="Arial"/>
          <w:b w:val="false"/>
          <w:bCs w:val="false"/>
          <w:sz w:val="21"/>
          <w:szCs w:val="21"/>
          <w:rtl/>
        </w:rPr>
        <w:t xml:space="preserve">الدرجة المتوقعة إن بقي الحال، وبعد الخطة المختارة.</w:t>
      </w:r>
    </w:p>
    <w:p>
      <w:pPr>
        <w:pStyle w:val="ListParagraph"/>
        <w:numPr>
          <w:ilvl w:val="0"/>
          <w:numId w:val="3"/>
        </w:numPr>
        <w:bidi/>
        <w:spacing w:after="70" w:before="0" w:line="300"/>
      </w:pPr>
      <w:r>
        <w:rPr>
          <w:rFonts w:ascii="Arial" w:cs="Arial" w:eastAsia="Arial" w:hAnsi="Arial"/>
          <w:b w:val="false"/>
          <w:bCs w:val="false"/>
          <w:sz w:val="21"/>
          <w:szCs w:val="21"/>
          <w:rtl/>
        </w:rPr>
        <w:t xml:space="preserve">ما سيطلبه البنك على الأغلب: الإفصاحات الناقصة، وتقرير سمة، وأعمار الذمم، وبيان الضمانات.</w:t>
      </w:r>
    </w:p>
    <w:p>
      <w:pPr>
        <w:pStyle w:val="ListParagraph"/>
        <w:numPr>
          <w:ilvl w:val="0"/>
          <w:numId w:val="3"/>
        </w:numPr>
        <w:bidi/>
        <w:spacing w:after="70" w:before="0" w:line="300"/>
      </w:pPr>
      <w:r>
        <w:rPr>
          <w:rFonts w:ascii="Arial" w:cs="Arial" w:eastAsia="Arial" w:hAnsi="Arial"/>
          <w:b w:val="false"/>
          <w:bCs w:val="false"/>
          <w:sz w:val="21"/>
          <w:szCs w:val="21"/>
          <w:rtl/>
        </w:rPr>
        <w:t xml:space="preserve">ما ستراه جهة التمويل في القائمة التحليلية ويحتاج شرحًا.</w:t>
      </w:r>
    </w:p>
    <w:p>
      <w:pPr>
        <w:pStyle w:val="ListParagraph"/>
        <w:numPr>
          <w:ilvl w:val="0"/>
          <w:numId w:val="3"/>
        </w:numPr>
        <w:bidi/>
        <w:spacing w:after="70" w:before="0" w:line="300"/>
      </w:pPr>
      <w:r>
        <w:rPr>
          <w:rFonts w:ascii="Arial" w:cs="Arial" w:eastAsia="Arial" w:hAnsi="Arial"/>
          <w:b/>
          <w:bCs/>
          <w:sz w:val="21"/>
          <w:szCs w:val="21"/>
          <w:rtl/>
        </w:rPr>
        <w:t xml:space="preserve">جدول زمني للإجراءات</w:t>
      </w:r>
      <w:r>
        <w:rPr>
          <w:rFonts w:ascii="Arial" w:cs="Arial" w:eastAsia="Arial" w:hAnsi="Arial"/>
          <w:b w:val="false"/>
          <w:bCs w:val="false"/>
          <w:sz w:val="21"/>
          <w:szCs w:val="21"/>
          <w:rtl/>
        </w:rPr>
        <w:t xml:space="preserve"> قبل الموعد، بترتيب أثرها: ما يُنفذ قبل إقفال السنة، وما قبل التدقيق، وما قبل التقديم.</w:t>
      </w:r>
    </w:p>
    <w:p>
      <w:pPr>
        <w:bidi/>
        <w:spacing w:after="60" w:before="0"/>
      </w:pPr>
    </w:p>
    <w:p>
      <w:pPr>
        <w:pStyle w:val="Heading2"/>
        <w:bidi/>
      </w:pPr>
      <w:bookmarkStart w:name="_sec8" w:id="8"/>
      <w:r>
        <w:rPr>
          <w:rFonts w:ascii="Arial" w:cs="Arial" w:eastAsia="Arial" w:hAnsi="Arial"/>
          <w:b/>
          <w:bCs/>
          <w:color w:val="2B5C8A"/>
          <w:sz w:val="26"/>
          <w:szCs w:val="26"/>
          <w:rtl/>
        </w:rPr>
        <w:t xml:space="preserve">ف4. الإنذار المبكر الاستباقي</w:t>
      </w:r>
      <w:bookmarkEnd w:id="8"/>
    </w:p>
    <w:p>
      <w:pPr>
        <w:bidi/>
        <w:spacing w:after="110" w:before="0" w:line="312"/>
      </w:pPr>
      <w:r>
        <w:rPr>
          <w:rFonts w:ascii="Arial" w:cs="Arial" w:eastAsia="Arial" w:hAnsi="Arial"/>
          <w:b/>
          <w:bCs/>
          <w:sz w:val="21"/>
          <w:szCs w:val="21"/>
          <w:rtl/>
        </w:rPr>
        <w:t xml:space="preserve">الواقع الآن:</w:t>
      </w:r>
      <w:r>
        <w:rPr>
          <w:rFonts w:ascii="Arial" w:cs="Arial" w:eastAsia="Arial" w:hAnsi="Arial"/>
          <w:b w:val="false"/>
          <w:bCs w:val="false"/>
          <w:sz w:val="21"/>
          <w:szCs w:val="21"/>
          <w:rtl/>
        </w:rPr>
        <w:t xml:space="preserve"> النظرة والمحفزات موجودة، والتعهدات تُختبر على القائمة المعتمدة.</w:t>
      </w:r>
    </w:p>
    <w:p>
      <w:pPr>
        <w:bidi/>
        <w:spacing w:after="110" w:before="0" w:line="312"/>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تنبيه قبل كل موعد بمدة تحددها الشركة (6 أشهر افتراضًا): إن كان هامش التعهد أو الدرجة المتوقعة يقترب من الحد على المسودة أو على الموازنة، ومعه الحل الأقرب أثرًا.</w:t>
      </w:r>
    </w:p>
    <w:p>
      <w:pPr>
        <w:pStyle w:val="Heading2"/>
        <w:bidi/>
      </w:pPr>
      <w:bookmarkStart w:name="_sec9" w:id="9"/>
      <w:r>
        <w:rPr>
          <w:rFonts w:ascii="Arial" w:cs="Arial" w:eastAsia="Arial" w:hAnsi="Arial"/>
          <w:b/>
          <w:bCs/>
          <w:color w:val="2B5C8A"/>
          <w:sz w:val="26"/>
          <w:szCs w:val="26"/>
          <w:rtl/>
        </w:rPr>
        <w:t xml:space="preserve">ف5. تقييم القوائم التقديرية (الموازنة)</w:t>
      </w:r>
      <w:bookmarkEnd w:id="9"/>
    </w:p>
    <w:p>
      <w:pPr>
        <w:bidi/>
        <w:spacing w:after="110" w:before="0" w:line="312"/>
      </w:pPr>
      <w:r>
        <w:rPr>
          <w:rFonts w:ascii="Arial" w:cs="Arial" w:eastAsia="Arial" w:hAnsi="Arial"/>
          <w:b/>
          <w:bCs/>
          <w:sz w:val="21"/>
          <w:szCs w:val="21"/>
          <w:rtl/>
        </w:rPr>
        <w:t xml:space="preserve">الواقع الآن:</w:t>
      </w:r>
      <w:r>
        <w:rPr>
          <w:rFonts w:ascii="Arial" w:cs="Arial" w:eastAsia="Arial" w:hAnsi="Arial"/>
          <w:b w:val="false"/>
          <w:bCs w:val="false"/>
          <w:sz w:val="21"/>
          <w:szCs w:val="21"/>
          <w:rtl/>
        </w:rPr>
        <w:t xml:space="preserve"> يقيّم النظام سنة مضت.</w:t>
      </w:r>
    </w:p>
    <w:p>
      <w:pPr>
        <w:bidi/>
        <w:spacing w:after="110" w:before="0" w:line="312"/>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تُدخل الشركة قوائم السنة القادمة المقدّرة (الموازنة أو خطة التوسع أو التمويل الجديد)، فيقيّمها النظام قبل تنفيذها: هل يضعف التوسع المموَّل بالدين الدرجة، وهل يخرق تعهدًا، وما البديل الأقوى، كزيادة رأس المال أو تمويل أطول. فتتغير الخطة قبل أن تتغير القوائم.</w:t>
      </w:r>
    </w:p>
    <w:p>
      <w:pPr>
        <w:pStyle w:val="Heading2"/>
        <w:bidi/>
      </w:pPr>
      <w:bookmarkStart w:name="_sec10" w:id="10"/>
      <w:r>
        <w:rPr>
          <w:rFonts w:ascii="Arial" w:cs="Arial" w:eastAsia="Arial" w:hAnsi="Arial"/>
          <w:b/>
          <w:bCs/>
          <w:color w:val="2B5C8A"/>
          <w:sz w:val="26"/>
          <w:szCs w:val="26"/>
          <w:rtl/>
        </w:rPr>
        <w:t xml:space="preserve">ف6. ما تبلغ به جهة التمويل الشركة</w:t>
      </w:r>
      <w:bookmarkEnd w:id="10"/>
    </w:p>
    <w:p>
      <w:pPr>
        <w:bidi/>
        <w:spacing w:after="110" w:before="0" w:line="312"/>
      </w:pPr>
      <w:r>
        <w:rPr>
          <w:rFonts w:ascii="Arial" w:cs="Arial" w:eastAsia="Arial" w:hAnsi="Arial"/>
          <w:b/>
          <w:bCs/>
          <w:sz w:val="21"/>
          <w:szCs w:val="21"/>
          <w:rtl/>
        </w:rPr>
        <w:t xml:space="preserve">الواقع الآن:</w:t>
      </w:r>
      <w:r>
        <w:rPr>
          <w:rFonts w:ascii="Arial" w:cs="Arial" w:eastAsia="Arial" w:hAnsi="Arial"/>
          <w:b w:val="false"/>
          <w:bCs w:val="false"/>
          <w:sz w:val="21"/>
          <w:szCs w:val="21"/>
          <w:rtl/>
        </w:rPr>
        <w:t xml:space="preserve"> القرار 33 يسجل قرار البنك على التسهيل.</w:t>
      </w:r>
    </w:p>
    <w:p>
      <w:pPr>
        <w:bidi/>
        <w:spacing w:after="110" w:before="0" w:line="312"/>
      </w:pPr>
      <w:r>
        <w:rPr>
          <w:rFonts w:ascii="Arial" w:cs="Arial" w:eastAsia="Arial" w:hAnsi="Arial"/>
          <w:b/>
          <w:bCs/>
          <w:sz w:val="21"/>
          <w:szCs w:val="21"/>
          <w:rtl/>
        </w:rPr>
        <w:t xml:space="preserve">المقترح:</w:t>
      </w:r>
      <w:r>
        <w:rPr>
          <w:rFonts w:ascii="Arial" w:cs="Arial" w:eastAsia="Arial" w:hAnsi="Arial"/>
          <w:b w:val="false"/>
          <w:bCs w:val="false"/>
          <w:sz w:val="21"/>
          <w:szCs w:val="21"/>
          <w:rtl/>
        </w:rPr>
        <w:t xml:space="preserve"> يبقى الجدول كما بُني، ويُقرأ من منظور الشركة: إشعار وصلها بمستنده. ويُضاف إليه </w:t>
      </w:r>
      <w:r>
        <w:rPr>
          <w:rFonts w:ascii="Arial" w:cs="Arial" w:eastAsia="Arial" w:hAnsi="Arial"/>
          <w:b/>
          <w:bCs/>
          <w:sz w:val="21"/>
          <w:szCs w:val="21"/>
          <w:rtl/>
        </w:rPr>
        <w:t xml:space="preserve">التصنيف الذي أبلغها به البنك إن أبلغها</w:t>
      </w:r>
      <w:r>
        <w:rPr>
          <w:rFonts w:ascii="Arial" w:cs="Arial" w:eastAsia="Arial" w:hAnsi="Arial"/>
          <w:b w:val="false"/>
          <w:bCs w:val="false"/>
          <w:sz w:val="21"/>
          <w:szCs w:val="21"/>
          <w:rtl/>
        </w:rPr>
        <w:t xml:space="preserve">، فيقارن النظام درجته بدرجة البنك، ويبيّن موضع الفرق: بند أُعيد تبويبه، أو ضمان، أو قطاع.</w:t>
      </w:r>
    </w:p>
    <w:p>
      <w:pPr>
        <w:pStyle w:val="Heading1"/>
        <w:bidi/>
      </w:pPr>
      <w:bookmarkStart w:name="_sec11" w:id="11"/>
      <w:r>
        <w:rPr>
          <w:rFonts w:ascii="Arial" w:cs="Arial" w:eastAsia="Arial" w:hAnsi="Arial"/>
          <w:b/>
          <w:bCs/>
          <w:color w:val="1F3A5F"/>
          <w:sz w:val="32"/>
          <w:szCs w:val="32"/>
          <w:rtl/>
        </w:rPr>
        <w:t xml:space="preserve">5. ما لن يفعله النظام</w:t>
      </w:r>
      <w:bookmarkEnd w:id="11"/>
    </w:p>
    <w:p>
      <w:pPr>
        <w:pStyle w:val="ListParagraph"/>
        <w:numPr>
          <w:ilvl w:val="0"/>
          <w:numId w:val="3"/>
        </w:numPr>
        <w:bidi/>
        <w:spacing w:after="70" w:before="0" w:line="300"/>
      </w:pPr>
      <w:r>
        <w:rPr>
          <w:rFonts w:ascii="Arial" w:cs="Arial" w:eastAsia="Arial" w:hAnsi="Arial"/>
          <w:b w:val="false"/>
          <w:bCs w:val="false"/>
          <w:sz w:val="21"/>
          <w:szCs w:val="21"/>
          <w:rtl/>
        </w:rPr>
        <w:t xml:space="preserve">لا يجمّل القوائم لإخفاء خطر، ولا يقترح نقلًا لا أساس له في المعايير. والتقرير يقول للشركة صراحة إن جهة التمويل ستعيد التبويب التحليلي نفسه.</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يحل محل المراجع الخارجي ولا محل نظام البنك. ودرجاته معايرة النظام الخاصة، لا تصنيف صادر عن وكالة.</w:t>
      </w:r>
    </w:p>
    <w:p>
      <w:pPr>
        <w:pStyle w:val="ListParagraph"/>
        <w:numPr>
          <w:ilvl w:val="0"/>
          <w:numId w:val="3"/>
        </w:numPr>
        <w:bidi/>
        <w:spacing w:after="70" w:before="0" w:line="300"/>
      </w:pPr>
      <w:r>
        <w:rPr>
          <w:rFonts w:ascii="Arial" w:cs="Arial" w:eastAsia="Arial" w:hAnsi="Arial"/>
          <w:b w:val="false"/>
          <w:bCs w:val="false"/>
          <w:sz w:val="21"/>
          <w:szCs w:val="21"/>
          <w:rtl/>
        </w:rPr>
        <w:t xml:space="preserve">لا يرسل شيئًا إلى البنك. ما يخرج من الشركة تقرره الشركة.</w:t>
      </w:r>
    </w:p>
    <w:p>
      <w:pPr>
        <w:bidi/>
        <w:spacing w:after="60" w:before="0"/>
      </w:pPr>
    </w:p>
    <w:p>
      <w:pPr>
        <w:pStyle w:val="Heading1"/>
        <w:bidi/>
      </w:pPr>
      <w:bookmarkStart w:name="_sec12" w:id="12"/>
      <w:r>
        <w:rPr>
          <w:rFonts w:ascii="Arial" w:cs="Arial" w:eastAsia="Arial" w:hAnsi="Arial"/>
          <w:b/>
          <w:bCs/>
          <w:color w:val="1F3A5F"/>
          <w:sz w:val="32"/>
          <w:szCs w:val="32"/>
          <w:rtl/>
        </w:rPr>
        <w:t xml:space="preserve">6. خطة التنفيذ المقترحة</w:t>
      </w:r>
      <w:bookmarkEnd w:id="1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083"/>
        <w:gridCol w:w="4579"/>
        <w:gridCol w:w="2202"/>
      </w:tblGrid>
      <w:tr>
        <w:trPr>
          <w:cantSplit/>
          <w:tblHeader/>
        </w:trPr>
        <w:tc>
          <w:tcPr>
            <w:tcW w:type="dxa" w:w="3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45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يُبنى</w:t>
            </w:r>
          </w:p>
        </w:tc>
        <w:tc>
          <w:tcPr>
            <w:tcW w:type="dxa" w:w="22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يعتمد على</w:t>
            </w:r>
          </w:p>
        </w:tc>
      </w:tr>
      <w:tr>
        <w:trPr>
          <w:cantSplit/>
        </w:trPr>
        <w:tc>
          <w:tcPr>
            <w:tcW w:type="dxa" w:w="3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w:t>
            </w:r>
          </w:p>
        </w:tc>
        <w:tc>
          <w:tcPr>
            <w:tcW w:type="dxa" w:w="4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تصحيح اللغة في المنهجية والقرارين 32 و33 والتقرير (§3)، دون تغيير في الحساب</w:t>
            </w:r>
          </w:p>
        </w:tc>
        <w:tc>
          <w:tcPr>
            <w:tcW w:type="dxa" w:w="2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w:t>
            </w:r>
          </w:p>
        </w:tc>
        <w:tc>
          <w:tcPr>
            <w:tcW w:type="dxa" w:w="4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التجريبي على القوائم غير المعتمدة (ف1)</w:t>
            </w:r>
          </w:p>
        </w:tc>
        <w:tc>
          <w:tcPr>
            <w:tcW w:type="dxa" w:w="2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3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w:t>
            </w:r>
          </w:p>
        </w:tc>
        <w:tc>
          <w:tcPr>
            <w:tcW w:type="dxa" w:w="4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العرض البديلة، ومقارنتها، وتحويل المختارة إلى قائمة مسودة جديدة، مع الحارس (ف2)</w:t>
            </w:r>
          </w:p>
        </w:tc>
        <w:tc>
          <w:tcPr>
            <w:tcW w:type="dxa" w:w="2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w:t>
            </w:r>
          </w:p>
        </w:tc>
      </w:tr>
      <w:tr>
        <w:trPr>
          <w:cantSplit/>
        </w:trPr>
        <w:tc>
          <w:tcPr>
            <w:tcW w:type="dxa" w:w="3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w:t>
            </w:r>
          </w:p>
        </w:tc>
        <w:tc>
          <w:tcPr>
            <w:tcW w:type="dxa" w:w="4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الجاهزية والجدول الزمني قبل التجديد والتعهدات، والإنذار المبكر (ف3، ف4)</w:t>
            </w:r>
          </w:p>
        </w:tc>
        <w:tc>
          <w:tcPr>
            <w:tcW w:type="dxa" w:w="2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w:t>
            </w:r>
          </w:p>
        </w:tc>
      </w:tr>
      <w:tr>
        <w:trPr>
          <w:cantSplit/>
        </w:trPr>
        <w:tc>
          <w:tcPr>
            <w:tcW w:type="dxa" w:w="3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هـ</w:t>
            </w:r>
          </w:p>
        </w:tc>
        <w:tc>
          <w:tcPr>
            <w:tcW w:type="dxa" w:w="45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القوائم التقديرية (ف5)</w:t>
            </w:r>
          </w:p>
        </w:tc>
        <w:tc>
          <w:tcPr>
            <w:tcW w:type="dxa" w:w="22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w:t>
            </w:r>
          </w:p>
        </w:tc>
      </w:tr>
      <w:tr>
        <w:trPr>
          <w:cantSplit/>
        </w:trPr>
        <w:tc>
          <w:tcPr>
            <w:tcW w:type="dxa" w:w="3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w:t>
            </w:r>
          </w:p>
        </w:tc>
        <w:tc>
          <w:tcPr>
            <w:tcW w:type="dxa" w:w="45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الذي أبلغ به البنك ومقارنته (ف6)</w:t>
            </w:r>
          </w:p>
        </w:tc>
        <w:tc>
          <w:tcPr>
            <w:tcW w:type="dxa" w:w="22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ولكل مرحلة جداولها واختباراتها، ولا تتغير الدرجات المحسوبة الآن إلا حيث تغيّر الإدخال.</w:t>
      </w:r>
    </w:p>
    <w:p>
      <w:pPr>
        <w:pStyle w:val="Heading1"/>
        <w:bidi/>
      </w:pPr>
      <w:bookmarkStart w:name="_sec13" w:id="13"/>
      <w:r>
        <w:rPr>
          <w:rFonts w:ascii="Arial" w:cs="Arial" w:eastAsia="Arial" w:hAnsi="Arial"/>
          <w:b/>
          <w:bCs/>
          <w:color w:val="1F3A5F"/>
          <w:sz w:val="32"/>
          <w:szCs w:val="32"/>
          <w:rtl/>
        </w:rPr>
        <w:t xml:space="preserve">7. قرارات المالك (2026-10-20، القرار 34)</w:t>
      </w:r>
      <w:bookmarkEnd w:id="13"/>
    </w:p>
    <w:p>
      <w:pPr>
        <w:pStyle w:val="ListParagraph"/>
        <w:numPr>
          <w:ilvl w:val="0"/>
          <w:numId w:val="4"/>
        </w:numPr>
        <w:bidi/>
        <w:spacing w:after="70" w:before="0" w:line="300"/>
      </w:pPr>
      <w:r>
        <w:rPr>
          <w:rFonts w:ascii="Arial" w:cs="Arial" w:eastAsia="Arial" w:hAnsi="Arial"/>
          <w:b/>
          <w:bCs/>
          <w:sz w:val="21"/>
          <w:szCs w:val="21"/>
          <w:rtl/>
        </w:rPr>
        <w:t xml:space="preserve">نسخة العرض المختارة</w:t>
      </w:r>
      <w:r>
        <w:rPr>
          <w:rFonts w:ascii="Arial" w:cs="Arial" w:eastAsia="Arial" w:hAnsi="Arial"/>
          <w:b w:val="false"/>
          <w:bCs w:val="false"/>
          <w:sz w:val="21"/>
          <w:szCs w:val="21"/>
          <w:rtl/>
        </w:rPr>
        <w:t xml:space="preserve"> يعتمدها شخص من الإدارة المالية غير معدّها.</w:t>
      </w:r>
    </w:p>
    <w:p>
      <w:pPr>
        <w:pStyle w:val="ListParagraph"/>
        <w:numPr>
          <w:ilvl w:val="0"/>
          <w:numId w:val="4"/>
        </w:numPr>
        <w:bidi/>
        <w:spacing w:after="70" w:before="0" w:line="300"/>
      </w:pPr>
      <w:r>
        <w:rPr>
          <w:rFonts w:ascii="Arial" w:cs="Arial" w:eastAsia="Arial" w:hAnsi="Arial"/>
          <w:b/>
          <w:bCs/>
          <w:sz w:val="21"/>
          <w:szCs w:val="21"/>
          <w:rtl/>
        </w:rPr>
        <w:t xml:space="preserve">الإنذار المبكر</w:t>
      </w:r>
      <w:r>
        <w:rPr>
          <w:rFonts w:ascii="Arial" w:cs="Arial" w:eastAsia="Arial" w:hAnsi="Arial"/>
          <w:b w:val="false"/>
          <w:bCs w:val="false"/>
          <w:sz w:val="21"/>
          <w:szCs w:val="21"/>
          <w:rtl/>
        </w:rPr>
        <w:t xml:space="preserve"> 6 أشهر قبل التجديد واختبار التعهدات، وتعدّله كل شركة.</w:t>
      </w:r>
    </w:p>
    <w:p>
      <w:pPr>
        <w:pStyle w:val="ListParagraph"/>
        <w:numPr>
          <w:ilvl w:val="0"/>
          <w:numId w:val="4"/>
        </w:numPr>
        <w:bidi/>
        <w:spacing w:after="70" w:before="0" w:line="300"/>
      </w:pPr>
      <w:r>
        <w:rPr>
          <w:rFonts w:ascii="Arial" w:cs="Arial" w:eastAsia="Arial" w:hAnsi="Arial"/>
          <w:b/>
          <w:bCs/>
          <w:sz w:val="21"/>
          <w:szCs w:val="21"/>
          <w:rtl/>
        </w:rPr>
        <w:t xml:space="preserve">تقييم الموازنة (ف5)</w:t>
      </w:r>
      <w:r>
        <w:rPr>
          <w:rFonts w:ascii="Arial" w:cs="Arial" w:eastAsia="Arial" w:hAnsi="Arial"/>
          <w:b w:val="false"/>
          <w:bCs w:val="false"/>
          <w:sz w:val="21"/>
          <w:szCs w:val="21"/>
          <w:rtl/>
        </w:rPr>
        <w:t xml:space="preserve"> بعد المراحل أ إلى د.</w:t>
      </w:r>
    </w:p>
    <w:p>
      <w:pPr>
        <w:pStyle w:val="ListParagraph"/>
        <w:numPr>
          <w:ilvl w:val="0"/>
          <w:numId w:val="4"/>
        </w:numPr>
        <w:bidi/>
        <w:spacing w:after="70" w:before="0" w:line="300"/>
      </w:pPr>
      <w:r>
        <w:rPr>
          <w:rFonts w:ascii="Arial" w:cs="Arial" w:eastAsia="Arial" w:hAnsi="Arial"/>
          <w:b/>
          <w:bCs/>
          <w:sz w:val="21"/>
          <w:szCs w:val="21"/>
          <w:rtl/>
        </w:rPr>
        <w:t xml:space="preserve">البدء بالمرحلتين أ وب</w:t>
      </w:r>
      <w:r>
        <w:rPr>
          <w:rFonts w:ascii="Arial" w:cs="Arial" w:eastAsia="Arial" w:hAnsi="Arial"/>
          <w:b w:val="false"/>
          <w:bCs w:val="false"/>
          <w:sz w:val="21"/>
          <w:szCs w:val="21"/>
          <w:rtl/>
        </w:rPr>
        <w:t xml:space="preserve">: بُنيتا. المرحلة أ صححت لغة المنهجية (</w:t>
      </w:r>
      <w:r>
        <w:rPr>
          <w:rFonts w:ascii="Courier New" w:cs="Courier New" w:eastAsia="Courier New" w:hAnsi="Courier New"/>
          <w:b w:val="false"/>
          <w:bCs w:val="false"/>
          <w:color w:val="1F2937"/>
          <w:sz w:val="18"/>
          <w:szCs w:val="18"/>
          <w:shd w:fill="F1F3F5" w:color="auto" w:val="clear"/>
          <w:rtl/>
        </w:rPr>
        <w:t xml:space="preserve">‎docs/35‎</w:t>
      </w:r>
      <w:r>
        <w:rPr>
          <w:rFonts w:ascii="Arial" w:cs="Arial" w:eastAsia="Arial" w:hAnsi="Arial"/>
          <w:b w:val="false"/>
          <w:bCs w:val="false"/>
          <w:sz w:val="21"/>
          <w:szCs w:val="21"/>
          <w:rtl/>
        </w:rPr>
        <w:t xml:space="preserve"> §1 و§10 و§11 و§14 و§18 و§20). والمرحلة ب التقييم التجريبي (ADR 0022، FR-FIN-035، BR-FIN-036، الاختبار CA18).</w:t>
      </w:r>
    </w:p>
    <w:p>
      <w:pPr>
        <w:pStyle w:val="ListParagraph"/>
        <w:numPr>
          <w:ilvl w:val="0"/>
          <w:numId w:val="4"/>
        </w:numPr>
        <w:bidi/>
        <w:spacing w:after="70" w:before="0" w:line="300"/>
      </w:pPr>
      <w:r>
        <w:rPr>
          <w:rFonts w:ascii="Arial" w:cs="Arial" w:eastAsia="Arial" w:hAnsi="Arial"/>
          <w:b/>
          <w:bCs/>
          <w:sz w:val="21"/>
          <w:szCs w:val="21"/>
          <w:rtl/>
        </w:rPr>
        <w:t xml:space="preserve">المرحلة ج</w:t>
      </w:r>
      <w:r>
        <w:rPr>
          <w:rFonts w:ascii="Arial" w:cs="Arial" w:eastAsia="Arial" w:hAnsi="Arial"/>
          <w:b w:val="false"/>
          <w:bCs w:val="false"/>
          <w:sz w:val="21"/>
          <w:szCs w:val="21"/>
          <w:rtl/>
        </w:rPr>
        <w:t xml:space="preserve"> (بطلب المالك 2026-10-20): نسخ العرض البديلة ومقارنتها وتحويل المختارة إلى قائمة مسودة (ADR 0023، FR-FIN-036، BR-FIN-037، الاختبار CA19).</w:t>
      </w:r>
    </w:p>
    <w:p>
      <w:pPr>
        <w:pStyle w:val="ListParagraph"/>
        <w:numPr>
          <w:ilvl w:val="0"/>
          <w:numId w:val="4"/>
        </w:numPr>
        <w:bidi/>
        <w:spacing w:after="70" w:before="0" w:line="300"/>
      </w:pPr>
      <w:r>
        <w:rPr>
          <w:rFonts w:ascii="Arial" w:cs="Arial" w:eastAsia="Arial" w:hAnsi="Arial"/>
          <w:b/>
          <w:bCs/>
          <w:sz w:val="21"/>
          <w:szCs w:val="21"/>
          <w:rtl/>
        </w:rPr>
        <w:t xml:space="preserve">المرحلة د</w:t>
      </w:r>
      <w:r>
        <w:rPr>
          <w:rFonts w:ascii="Arial" w:cs="Arial" w:eastAsia="Arial" w:hAnsi="Arial"/>
          <w:b w:val="false"/>
          <w:bCs w:val="false"/>
          <w:sz w:val="21"/>
          <w:szCs w:val="21"/>
          <w:rtl/>
        </w:rPr>
        <w:t xml:space="preserve"> (بطلب المالك 2026-10-20): ملف الجاهزية قبل جهة التمويل، والجدول الزمني، والإنذار المبكر بستة أشهر (ADR 0024، FR-FIN-037، BR-FIN-038، الاختبار CA20).</w:t>
      </w:r>
    </w:p>
    <w:p>
      <w:pPr>
        <w:pStyle w:val="ListParagraph"/>
        <w:numPr>
          <w:ilvl w:val="0"/>
          <w:numId w:val="4"/>
        </w:numPr>
        <w:bidi/>
        <w:spacing w:after="70" w:before="0" w:line="300"/>
      </w:pPr>
      <w:r>
        <w:rPr>
          <w:rFonts w:ascii="Arial" w:cs="Arial" w:eastAsia="Arial" w:hAnsi="Arial"/>
          <w:b/>
          <w:bCs/>
          <w:sz w:val="21"/>
          <w:szCs w:val="21"/>
          <w:rtl/>
        </w:rPr>
        <w:t xml:space="preserve">المرحلة هـ</w:t>
      </w:r>
      <w:r>
        <w:rPr>
          <w:rFonts w:ascii="Arial" w:cs="Arial" w:eastAsia="Arial" w:hAnsi="Arial"/>
          <w:b w:val="false"/>
          <w:bCs w:val="false"/>
          <w:sz w:val="21"/>
          <w:szCs w:val="21"/>
          <w:rtl/>
        </w:rPr>
        <w:t xml:space="preserve"> (بطلب المالك 2026-10-20): تقييم القوائم التقديرية (الموازنة) ومقارنتها بالسنة الفعلية (ADR 0025، FR-FIN-038، BR-FIN-039، الاختبار CA21).</w:t>
      </w:r>
    </w:p>
    <w:p>
      <w:pPr>
        <w:pStyle w:val="ListParagraph"/>
        <w:numPr>
          <w:ilvl w:val="0"/>
          <w:numId w:val="4"/>
        </w:numPr>
        <w:bidi/>
        <w:spacing w:after="70" w:before="0" w:line="300"/>
      </w:pPr>
      <w:r>
        <w:rPr>
          <w:rFonts w:ascii="Arial" w:cs="Arial" w:eastAsia="Arial" w:hAnsi="Arial"/>
          <w:b/>
          <w:bCs/>
          <w:sz w:val="21"/>
          <w:szCs w:val="21"/>
          <w:rtl/>
        </w:rPr>
        <w:t xml:space="preserve">المرحلة و</w:t>
      </w:r>
      <w:r>
        <w:rPr>
          <w:rFonts w:ascii="Arial" w:cs="Arial" w:eastAsia="Arial" w:hAnsi="Arial"/>
          <w:b w:val="false"/>
          <w:bCs w:val="false"/>
          <w:sz w:val="21"/>
          <w:szCs w:val="21"/>
          <w:rtl/>
        </w:rPr>
        <w:t xml:space="preserve"> (بطلب المالك 2026-10-20): التصنيف الذي يبلغ به البنك الشركة ومقارنته بتقييمها وموضع الافتراق (ADR 0026، FR-FIN-039، BR-FIN-040، الاختبار CA22).</w:t>
      </w:r>
    </w:p>
    <w:p>
      <w:pPr>
        <w:pStyle w:val="ListParagraph"/>
        <w:numPr>
          <w:ilvl w:val="0"/>
          <w:numId w:val="4"/>
        </w:numPr>
        <w:bidi/>
        <w:spacing w:after="70" w:before="0" w:line="300"/>
      </w:pPr>
      <w:r>
        <w:rPr>
          <w:rFonts w:ascii="Arial" w:cs="Arial" w:eastAsia="Arial" w:hAnsi="Arial"/>
          <w:b/>
          <w:bCs/>
          <w:sz w:val="21"/>
          <w:szCs w:val="21"/>
          <w:rtl/>
        </w:rPr>
        <w:t xml:space="preserve">مهمة إشعارات الإنذار المبكر</w:t>
      </w:r>
      <w:r>
        <w:rPr>
          <w:rFonts w:ascii="Arial" w:cs="Arial" w:eastAsia="Arial" w:hAnsi="Arial"/>
          <w:b w:val="false"/>
          <w:bCs w:val="false"/>
          <w:sz w:val="21"/>
          <w:szCs w:val="21"/>
          <w:rtl/>
        </w:rPr>
        <w:t xml:space="preserve"> (بطلب المالك 2026-10-20): مهمة يومية </w:t>
      </w:r>
      <w:r>
        <w:rPr>
          <w:rFonts w:ascii="Courier New" w:cs="Courier New" w:eastAsia="Courier New" w:hAnsi="Courier New"/>
          <w:b w:val="false"/>
          <w:bCs w:val="false"/>
          <w:color w:val="1F2937"/>
          <w:sz w:val="18"/>
          <w:szCs w:val="18"/>
          <w:shd w:fill="F1F3F5" w:color="auto" w:val="clear"/>
          <w:rtl/>
        </w:rPr>
        <w:t xml:space="preserve">‎JOB-FIN-READINESS‎</w:t>
      </w:r>
      <w:r>
        <w:rPr>
          <w:rFonts w:ascii="Arial" w:cs="Arial" w:eastAsia="Arial" w:hAnsi="Arial"/>
          <w:b w:val="false"/>
          <w:bCs w:val="false"/>
          <w:sz w:val="21"/>
          <w:szCs w:val="21"/>
          <w:rtl/>
        </w:rPr>
        <w:t xml:space="preserve"> ترسل الإنذار بكل موعد غير جاهز دون أن يفتح أحد ملف الجاهزية. ترسله مرة عند دخول الموعد مدة التنبيه، ثم عند 90 و30 و7 أيام، ومرة أخرى إن ساءت جاهزيته. ولا يتكرر بإعادة التشغيل ولا بعد توقف المهمة (ADR 0027، FR-FIN-040، BR-FIN-041، الاختبار CA23).</w:t>
      </w:r>
    </w:p>
    <w:p>
      <w:pPr>
        <w:pStyle w:val="ListParagraph"/>
        <w:numPr>
          <w:ilvl w:val="0"/>
          <w:numId w:val="4"/>
        </w:numPr>
        <w:bidi/>
        <w:spacing w:after="70" w:before="0" w:line="300"/>
      </w:pPr>
      <w:r>
        <w:rPr>
          <w:rFonts w:ascii="Arial" w:cs="Arial" w:eastAsia="Arial" w:hAnsi="Arial"/>
          <w:b/>
          <w:bCs/>
          <w:sz w:val="21"/>
          <w:szCs w:val="21"/>
          <w:rtl/>
        </w:rPr>
        <w:t xml:space="preserve">قوالب رسائل الإنذار بالعربية والإنجليزية</w:t>
      </w:r>
      <w:r>
        <w:rPr>
          <w:rFonts w:ascii="Arial" w:cs="Arial" w:eastAsia="Arial" w:hAnsi="Arial"/>
          <w:b w:val="false"/>
          <w:bCs w:val="false"/>
          <w:sz w:val="21"/>
          <w:szCs w:val="21"/>
          <w:rtl/>
        </w:rPr>
        <w:t xml:space="preserve"> (بطلب المالك 2026-10-20): رسالة حمراء وأخرى صفراء، في التطبيق وبالبريد، بلغة المستلم. تذكر الموعد ومرجعه والأيام الباقية وسبب الجاهزية ودرجة التقييم، وما يُنصح به قبل الموعد. وهي أول محتوى في حزمة المشترك </w:t>
      </w:r>
      <w:r>
        <w:rPr>
          <w:rFonts w:ascii="Courier New" w:cs="Courier New" w:eastAsia="Courier New" w:hAnsi="Courier New"/>
          <w:b w:val="false"/>
          <w:bCs w:val="false"/>
          <w:color w:val="1F2937"/>
          <w:sz w:val="18"/>
          <w:szCs w:val="18"/>
          <w:shd w:fill="F1F3F5" w:color="auto" w:val="clear"/>
          <w:rtl/>
        </w:rPr>
        <w:t xml:space="preserve">‎NTF.BASE‎</w:t>
      </w:r>
      <w:r>
        <w:rPr>
          <w:rFonts w:ascii="Arial" w:cs="Arial" w:eastAsia="Arial" w:hAnsi="Arial"/>
          <w:b w:val="false"/>
          <w:bCs w:val="false"/>
          <w:sz w:val="21"/>
          <w:szCs w:val="21"/>
          <w:rtl/>
        </w:rPr>
        <w:t xml:space="preserve"> (ADR 0028، FR-FIN-041، BR-FIN-042، الاختبار CA24).</w:t>
      </w:r>
    </w:p>
    <w:p>
      <w:pPr>
        <w:pStyle w:val="ListParagraph"/>
        <w:numPr>
          <w:ilvl w:val="0"/>
          <w:numId w:val="4"/>
        </w:numPr>
        <w:bidi/>
        <w:spacing w:after="70" w:before="0" w:line="300"/>
      </w:pPr>
      <w:r>
        <w:rPr>
          <w:rFonts w:ascii="Arial" w:cs="Arial" w:eastAsia="Arial" w:hAnsi="Arial"/>
          <w:b/>
          <w:bCs/>
          <w:sz w:val="21"/>
          <w:szCs w:val="21"/>
          <w:rtl/>
        </w:rPr>
        <w:t xml:space="preserve">ضوابط من المراجعة المعمارية 3.0</w:t>
      </w:r>
      <w:r>
        <w:rPr>
          <w:rFonts w:ascii="Arial" w:cs="Arial" w:eastAsia="Arial" w:hAnsi="Arial"/>
          <w:b w:val="false"/>
          <w:bCs w:val="false"/>
          <w:sz w:val="21"/>
          <w:szCs w:val="21"/>
          <w:rtl/>
        </w:rPr>
        <w:t xml:space="preserve"> (بطلب المالك 2026-10-20): تصديق التقييم المعتمد قبل استعماله خارج الشركة بيد من هو خارج خط الإعداد والاعتماد، والمدقق الداخلي افتراضًا. وسبب إلزامي لاختيار نسخة العرض. ومعايرة متراكمة بين تقييم الشركة وتصنيفات جهاتها تبيّن ميلها. والرد على المراجعة في </w:t>
      </w:r>
      <w:r>
        <w:rPr>
          <w:rFonts w:ascii="Courier New" w:cs="Courier New" w:eastAsia="Courier New" w:hAnsi="Courier New"/>
          <w:b w:val="false"/>
          <w:bCs w:val="false"/>
          <w:color w:val="1F2937"/>
          <w:sz w:val="18"/>
          <w:szCs w:val="18"/>
          <w:shd w:fill="F1F3F5" w:color="auto" w:val="clear"/>
          <w:rtl/>
        </w:rPr>
        <w:t xml:space="preserve">‎docs/37-review-v3-response.md‎</w:t>
      </w:r>
      <w:r>
        <w:rPr>
          <w:rFonts w:ascii="Arial" w:cs="Arial" w:eastAsia="Arial" w:hAnsi="Arial"/>
          <w:b w:val="false"/>
          <w:bCs w:val="false"/>
          <w:sz w:val="21"/>
          <w:szCs w:val="21"/>
          <w:rtl/>
        </w:rPr>
        <w:t xml:space="preserve"> (ADR 0029، FR-FIN-042 إلى FR-FIN-044، BR-FIN-043 إلى BR-FIN-045، الاختباران CA25 وCA26).</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دراسة التقييم من منظور الشركة · BankFas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التقييم الائتماني من منظور الشركة الداخلي</dc:title>
  <dc:creator>Claude</dc:creator>
  <dc:description>BankFas database design document</dc:description>
  <cp:lastModifiedBy>Un-named</cp:lastModifiedBy>
  <cp:revision>1</cp:revision>
  <dcterms:created xsi:type="dcterms:W3CDTF">2026-10-20T18:14:49.626Z</dcterms:created>
  <dcterms:modified xsi:type="dcterms:W3CDTF">2026-10-20T18:14:49.626Z</dcterms:modified>
</cp:coreProperties>
</file>

<file path=docProps/custom.xml><?xml version="1.0" encoding="utf-8"?>
<Properties xmlns="http://schemas.openxmlformats.org/officeDocument/2006/custom-properties" xmlns:vt="http://schemas.openxmlformats.org/officeDocument/2006/docPropsVTypes"/>
</file>