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الرد على المراجعة المعمارية النقدية (النسخة 3.0)</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54"/>
        <w:gridCol w:w="7610"/>
      </w:tblGrid>
      <w:tr>
        <w:trPr>
          <w:cantSplit/>
          <w:tblHeader/>
        </w:trPr>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المراجعة</w:t>
            </w:r>
          </w:p>
        </w:tc>
        <w:tc>
          <w:tcPr>
            <w:tcW w:type="dxa" w:w="7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«مراجعة نقدية معمّقة لمنصة BankFas لإدارة الخزينة»، النسخة 3.0، 2026-10-20، الحكم «مقبول مشروط» بدرجة 72.6 من 100</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أعدّ الرد</w:t>
            </w:r>
          </w:p>
        </w:tc>
        <w:tc>
          <w:tcPr>
            <w:tcW w:type="dxa" w:w="7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وكيل ذكاء اصطناعي (Claude) بطلب المالك، لا مراجع بشري؛ كل دليل أدناه سطر في المستودع يمكن فتحه</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الإيداع</w:t>
            </w:r>
          </w:p>
        </w:tc>
        <w:tc>
          <w:tcPr>
            <w:tcW w:type="dxa" w:w="7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فرع </w:t>
            </w:r>
            <w:r>
              <w:rPr>
                <w:rFonts w:ascii="Courier New" w:cs="Courier New" w:eastAsia="Courier New" w:hAnsi="Courier New"/>
                <w:b w:val="false"/>
                <w:bCs w:val="false"/>
                <w:color w:val="1F2937"/>
                <w:sz w:val="16"/>
                <w:szCs w:val="16"/>
                <w:shd w:fill="F1F3F5" w:color="auto" w:val="clear"/>
                <w:rtl/>
              </w:rPr>
              <w:t xml:space="preserve">‎claude/quirky-gauss-z7hyro‎</w:t>
            </w:r>
            <w:r>
              <w:rPr>
                <w:rFonts w:ascii="Arial" w:cs="Arial" w:eastAsia="Arial" w:hAnsi="Arial"/>
                <w:b w:val="false"/>
                <w:bCs w:val="false"/>
                <w:sz w:val="18"/>
                <w:szCs w:val="18"/>
                <w:rtl/>
              </w:rPr>
              <w:t xml:space="preserve">، بعد الإيداع </w:t>
            </w:r>
            <w:r>
              <w:rPr>
                <w:rFonts w:ascii="Courier New" w:cs="Courier New" w:eastAsia="Courier New" w:hAnsi="Courier New"/>
                <w:b w:val="false"/>
                <w:bCs w:val="false"/>
                <w:color w:val="1F2937"/>
                <w:sz w:val="16"/>
                <w:szCs w:val="16"/>
                <w:shd w:fill="F1F3F5" w:color="auto" w:val="clear"/>
                <w:rtl/>
              </w:rPr>
              <w:t xml:space="preserve">‎d1ff1b6‎</w:t>
            </w:r>
            <w:r>
              <w:rPr>
                <w:rFonts w:ascii="Arial" w:cs="Arial" w:eastAsia="Arial" w:hAnsi="Arial"/>
                <w:b w:val="false"/>
                <w:bCs w:val="false"/>
                <w:sz w:val="18"/>
                <w:szCs w:val="18"/>
                <w:rtl/>
              </w:rPr>
              <w:t xml:space="preserve"> وإضافات ADR 0029</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7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2026-10-20</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الخلاصة</w:t>
        </w:r>
      </w:hyperlink>
    </w:p>
    <w:p>
      <w:pPr>
        <w:bidi/>
        <w:spacing w:after="50" w:before="0"/>
        <w:ind w:left="0"/>
      </w:pPr>
      <w:hyperlink w:history="1" w:anchor="_sec2">
        <w:r>
          <w:rPr>
            <w:rFonts w:ascii="Arial" w:cs="Arial" w:eastAsia="Arial" w:hAnsi="Arial"/>
            <w:b/>
            <w:bCs/>
            <w:color w:val="1F3A5F"/>
            <w:sz w:val="20"/>
            <w:szCs w:val="20"/>
            <w:rtl/>
          </w:rPr>
          <w:t xml:space="preserve">2. وقائع تحتاج تصحيحًا</w:t>
        </w:r>
      </w:hyperlink>
    </w:p>
    <w:p>
      <w:pPr>
        <w:bidi/>
        <w:spacing w:after="50" w:before="0"/>
        <w:ind w:left="0"/>
      </w:pPr>
      <w:hyperlink w:history="1" w:anchor="_sec9">
        <w:r>
          <w:rPr>
            <w:rFonts w:ascii="Arial" w:cs="Arial" w:eastAsia="Arial" w:hAnsi="Arial"/>
            <w:b/>
            <w:bCs/>
            <w:color w:val="1F3A5F"/>
            <w:sz w:val="20"/>
            <w:szCs w:val="20"/>
            <w:rtl/>
          </w:rPr>
          <w:t xml:space="preserve">3. ملاحظتان تقرآن النظام بمنظور البنك</w:t>
        </w:r>
      </w:hyperlink>
    </w:p>
    <w:p>
      <w:pPr>
        <w:bidi/>
        <w:spacing w:after="50" w:before="0"/>
        <w:ind w:left="0"/>
      </w:pPr>
      <w:hyperlink w:history="1" w:anchor="_sec12">
        <w:r>
          <w:rPr>
            <w:rFonts w:ascii="Arial" w:cs="Arial" w:eastAsia="Arial" w:hAnsi="Arial"/>
            <w:b/>
            <w:bCs/>
            <w:color w:val="1F3A5F"/>
            <w:sz w:val="20"/>
            <w:szCs w:val="20"/>
            <w:rtl/>
          </w:rPr>
          <w:t xml:space="preserve">4. ما قبلناه وبنيناه (ADR 0029)</w:t>
        </w:r>
      </w:hyperlink>
    </w:p>
    <w:p>
      <w:pPr>
        <w:bidi/>
        <w:spacing w:after="50" w:before="0"/>
        <w:ind w:left="0"/>
      </w:pPr>
      <w:hyperlink w:history="1" w:anchor="_sec16">
        <w:r>
          <w:rPr>
            <w:rFonts w:ascii="Arial" w:cs="Arial" w:eastAsia="Arial" w:hAnsi="Arial"/>
            <w:b/>
            <w:bCs/>
            <w:color w:val="1F3A5F"/>
            <w:sz w:val="20"/>
            <w:szCs w:val="20"/>
            <w:rtl/>
          </w:rPr>
          <w:t xml:space="preserve">5. ما يبقى مفتوحًا، ونتفق مع المراجعة فيه</w:t>
        </w:r>
      </w:hyperlink>
    </w:p>
    <w:p>
      <w:pPr>
        <w:bidi/>
        <w:spacing w:after="50" w:before="0"/>
        <w:ind w:left="0"/>
      </w:pPr>
      <w:hyperlink w:history="1" w:anchor="_sec17">
        <w:r>
          <w:rPr>
            <w:rFonts w:ascii="Arial" w:cs="Arial" w:eastAsia="Arial" w:hAnsi="Arial"/>
            <w:b/>
            <w:bCs/>
            <w:color w:val="1F3A5F"/>
            <w:sz w:val="20"/>
            <w:szCs w:val="20"/>
            <w:rtl/>
          </w:rPr>
          <w:t xml:space="preserve">6. أثر ذلك على الدرجة</w:t>
        </w:r>
      </w:hyperlink>
    </w:p>
    <w:p>
      <w:pPr>
        <w:bidi/>
        <w:spacing w:after="50" w:before="0"/>
        <w:ind w:left="0"/>
      </w:pPr>
      <w:hyperlink w:history="1" w:anchor="_sec18">
        <w:r>
          <w:rPr>
            <w:rFonts w:ascii="Arial" w:cs="Arial" w:eastAsia="Arial" w:hAnsi="Arial"/>
            <w:b/>
            <w:bCs/>
            <w:color w:val="1F3A5F"/>
            <w:sz w:val="20"/>
            <w:szCs w:val="20"/>
            <w:rtl/>
          </w:rPr>
          <w:t xml:space="preserve">7. أدلة التشغيل</w:t>
        </w:r>
      </w:hyperlink>
    </w:p>
    <w:p>
      <w:r>
        <w:br w:type="page"/>
      </w:r>
    </w:p>
    <w:p>
      <w:pPr>
        <w:pStyle w:val="Heading1"/>
        <w:bidi/>
      </w:pPr>
      <w:bookmarkStart w:name="_sec1" w:id="1"/>
      <w:r>
        <w:rPr>
          <w:rFonts w:ascii="Arial" w:cs="Arial" w:eastAsia="Arial" w:hAnsi="Arial"/>
          <w:b/>
          <w:bCs/>
          <w:color w:val="1F3A5F"/>
          <w:sz w:val="32"/>
          <w:szCs w:val="32"/>
          <w:rtl/>
        </w:rPr>
        <w:t xml:space="preserve">1. الخلاصة</w:t>
      </w:r>
      <w:bookmarkEnd w:id="1"/>
    </w:p>
    <w:p>
      <w:pPr>
        <w:bidi/>
        <w:spacing w:after="110" w:before="0" w:line="312"/>
      </w:pPr>
      <w:r>
        <w:rPr>
          <w:rFonts w:ascii="Arial" w:cs="Arial" w:eastAsia="Arial" w:hAnsi="Arial"/>
          <w:b w:val="false"/>
          <w:bCs w:val="false"/>
          <w:sz w:val="21"/>
          <w:szCs w:val="21"/>
          <w:rtl/>
        </w:rPr>
        <w:t xml:space="preserve">نشكر المراجع على قراءة دقيقة في أغلبها. قبلنا ثلاث ملاحظات وبنيناها في اليوم نفسه (§4). وصححنا خمس وقائع جاءت في المراجعة على غير ما في المستودع (§2). ونرى أن ملاحظتين تقرآن النظام بمنظور البنك المُقرض، والنظام للشركة المقترضة بقرار المالك 34 (§3). وما يبقى صحيحًا ومفتوحًا هو طبقة التطبيق والقياس والتشغيل (§5).</w:t>
      </w:r>
    </w:p>
    <w:p>
      <w:pPr>
        <w:pStyle w:val="Heading1"/>
        <w:bidi/>
      </w:pPr>
      <w:bookmarkStart w:name="_sec2" w:id="2"/>
      <w:r>
        <w:rPr>
          <w:rFonts w:ascii="Arial" w:cs="Arial" w:eastAsia="Arial" w:hAnsi="Arial"/>
          <w:b/>
          <w:bCs/>
          <w:color w:val="1F3A5F"/>
          <w:sz w:val="32"/>
          <w:szCs w:val="32"/>
          <w:rtl/>
        </w:rPr>
        <w:t xml:space="preserve">2. وقائع تحتاج تصحيحًا</w:t>
      </w:r>
      <w:bookmarkEnd w:id="2"/>
    </w:p>
    <w:p>
      <w:pPr>
        <w:pStyle w:val="Heading2"/>
        <w:bidi/>
      </w:pPr>
      <w:bookmarkStart w:name="_sec3" w:id="3"/>
      <w:r>
        <w:rPr>
          <w:rFonts w:ascii="Arial" w:cs="Arial" w:eastAsia="Arial" w:hAnsi="Arial"/>
          <w:b/>
          <w:bCs/>
          <w:color w:val="2B5C8A"/>
          <w:sz w:val="26"/>
          <w:szCs w:val="26"/>
          <w:rtl/>
        </w:rPr>
        <w:t xml:space="preserve">2.1 فصل المهام قيد في القاعدة، لا نص إداري (G3، والنتيجة 2 من أخطر خمس)</w:t>
      </w:r>
      <w:bookmarkEnd w:id="3"/>
    </w:p>
    <w:p>
      <w:pPr>
        <w:bidi/>
        <w:spacing w:after="110" w:before="0" w:line="312"/>
      </w:pPr>
      <w:r>
        <w:rPr>
          <w:rFonts w:ascii="Arial" w:cs="Arial" w:eastAsia="Arial" w:hAnsi="Arial"/>
          <w:b w:val="false"/>
          <w:bCs w:val="false"/>
          <w:sz w:val="21"/>
          <w:szCs w:val="21"/>
          <w:rtl/>
        </w:rPr>
        <w:t xml:space="preserve">تقول المراجعة إن منع أن يعتمد المُعِدّ عمله «ما زال نصًا إداريًا لا حارسًا في القاعدة». والقيد في القاعدة نفسها، بثلاث طبقات:</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341"/>
        <w:gridCol w:w="8523"/>
      </w:tblGrid>
      <w:tr>
        <w:trPr>
          <w:cantSplit/>
          <w:tblHeader/>
        </w:trPr>
        <w:tc>
          <w:tcPr>
            <w:tcW w:type="dxa" w:w="134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الطبقة</w:t>
            </w:r>
          </w:p>
        </w:tc>
        <w:tc>
          <w:tcPr>
            <w:tcW w:type="dxa" w:w="852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نسخة العرض: من يختار غير من أعدّ</w:t>
            </w:r>
          </w:p>
        </w:tc>
        <w:tc>
          <w:tcPr>
            <w:tcW w:type="dxa" w:w="8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‎db/model/14-collateral-obligations-financials.model:1193‎</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‎ChosenBy IS NULL OR ChosenBy &lt;&gt; PreparedBy‎</w:t>
            </w:r>
          </w:p>
        </w:tc>
      </w:tr>
      <w:tr>
        <w:trPr>
          <w:cantSplit/>
        </w:trPr>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الإجراء يرفض الاختيار بالخطأ 50090 إن كان المختار هو المُعِدّ</w:t>
            </w:r>
          </w:p>
        </w:tc>
        <w:tc>
          <w:tcPr>
            <w:tcW w:type="dxa" w:w="8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‎db/static/048_presentation_versions.sql:232‎</w:t>
            </w:r>
          </w:p>
        </w:tc>
      </w:tr>
      <w:tr>
        <w:trPr>
          <w:cantSplit/>
        </w:trPr>
        <w:tc>
          <w:tcPr>
            <w:tcW w:type="dxa" w:w="134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CHECK على القائمة المالية وعلى التقييم: المعتمِد غير المُعِدّ</w:t>
            </w:r>
          </w:p>
        </w:tc>
        <w:tc>
          <w:tcPr>
            <w:tcW w:type="dxa" w:w="852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‎db/model/14-collateral-obligations-financials.model:481‎</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‎:1066‎</w:t>
            </w:r>
          </w:p>
        </w:tc>
      </w:tr>
      <w:tr>
        <w:trPr>
          <w:cantSplit/>
        </w:trPr>
        <w:tc>
          <w:tcPr>
            <w:tcW w:type="dxa" w:w="134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 يثبت الرفض</w:t>
            </w:r>
          </w:p>
        </w:tc>
        <w:tc>
          <w:tcPr>
            <w:tcW w:type="dxa" w:w="852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‎db/tests/credit_assessment_tests.sql‎</w:t>
            </w:r>
            <w:r>
              <w:rPr>
                <w:rFonts w:ascii="Arial" w:cs="Arial" w:eastAsia="Arial" w:hAnsi="Arial"/>
                <w:b w:val="false"/>
                <w:bCs w:val="false"/>
                <w:sz w:val="18"/>
                <w:szCs w:val="18"/>
                <w:rtl/>
              </w:rPr>
              <w:t xml:space="preserve">، الاختبار CA19 الحالة 2 (50090)</w:t>
            </w:r>
          </w:p>
        </w:tc>
      </w:tr>
    </w:tbl>
    <w:p>
      <w:pPr>
        <w:bidi/>
        <w:spacing w:after="120" w:before="0"/>
      </w:pPr>
    </w:p>
    <w:p>
      <w:pPr>
        <w:bidi/>
        <w:spacing w:after="110" w:before="0" w:line="312"/>
      </w:pPr>
      <w:r>
        <w:rPr>
          <w:rFonts w:ascii="Arial" w:cs="Arial" w:eastAsia="Arial" w:hAnsi="Arial"/>
          <w:b w:val="false"/>
          <w:bCs w:val="false"/>
          <w:sz w:val="21"/>
          <w:szCs w:val="21"/>
          <w:rtl/>
        </w:rPr>
        <w:t xml:space="preserve">ولهذا لا نرى أن البند P0-2 في المراجعة («تحويل فصل المهام إلى قيد») مفتوح. أما «لماذا اختيرت» فكانت ملاحظة صحيحة، وصار السبب إلزاميًا (§4.2).</w:t>
      </w:r>
    </w:p>
    <w:p>
      <w:pPr>
        <w:pStyle w:val="Heading2"/>
        <w:bidi/>
      </w:pPr>
      <w:bookmarkStart w:name="_sec4" w:id="4"/>
      <w:r>
        <w:rPr>
          <w:rFonts w:ascii="Arial" w:cs="Arial" w:eastAsia="Arial" w:hAnsi="Arial"/>
          <w:b/>
          <w:bCs/>
          <w:color w:val="2B5C8A"/>
          <w:sz w:val="26"/>
          <w:szCs w:val="26"/>
          <w:rtl/>
        </w:rPr>
        <w:t xml:space="preserve">2.2 الفعلي والتقديري مفصولان في القاعدة (G6 وR8)</w:t>
      </w:r>
      <w:bookmarkEnd w:id="4"/>
    </w:p>
    <w:p>
      <w:pPr>
        <w:bidi/>
        <w:spacing w:after="110" w:before="0" w:line="312"/>
      </w:pPr>
      <w:r>
        <w:rPr>
          <w:rFonts w:ascii="Arial" w:cs="Arial" w:eastAsia="Arial" w:hAnsi="Arial"/>
          <w:b w:val="false"/>
          <w:bCs w:val="false"/>
          <w:sz w:val="21"/>
          <w:szCs w:val="21"/>
          <w:rtl/>
        </w:rPr>
        <w:t xml:space="preserve">تقول المراجعة إن الوسم «فعلي/تقديري» غير مفروض، وإن الموازنة قد تدخل الدرجة الرسمية. والفصل مفروض:</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677"/>
        <w:gridCol w:w="8187"/>
      </w:tblGrid>
      <w:tr>
        <w:trPr>
          <w:cantSplit/>
          <w:tblHeader/>
        </w:trPr>
        <w:tc>
          <w:tcPr>
            <w:tcW w:type="dxa" w:w="167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الضابط</w:t>
            </w:r>
          </w:p>
        </w:tc>
        <w:tc>
          <w:tcPr>
            <w:tcW w:type="dxa" w:w="818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الدليل</w:t>
            </w:r>
          </w:p>
        </w:tc>
      </w:tr>
      <w:tr>
        <w:trPr>
          <w:cantSplit/>
        </w:trPr>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لكل قائمة نوعها </w:t>
            </w:r>
            <w:r>
              <w:rPr>
                <w:rFonts w:ascii="Courier New" w:cs="Courier New" w:eastAsia="Courier New" w:hAnsi="Courier New"/>
                <w:b w:val="false"/>
                <w:bCs w:val="false"/>
                <w:color w:val="1F2937"/>
                <w:sz w:val="16"/>
                <w:szCs w:val="16"/>
                <w:shd w:fill="F1F3F5" w:color="auto" w:val="clear"/>
                <w:rtl/>
              </w:rPr>
              <w:t xml:space="preserve">‎Nature‎</w:t>
            </w:r>
            <w:r>
              <w:rPr>
                <w:rFonts w:ascii="Arial" w:cs="Arial" w:eastAsia="Arial" w:hAnsi="Arial"/>
                <w:b w:val="false"/>
                <w:bCs w:val="false"/>
                <w:sz w:val="18"/>
                <w:szCs w:val="18"/>
                <w:rtl/>
              </w:rPr>
              <w:t xml:space="preserve"> بقيمتي ACTUAL وBUDGET</w:t>
            </w:r>
          </w:p>
        </w:tc>
        <w:tc>
          <w:tcPr>
            <w:tcW w:type="dxa" w:w="8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‎db/model/14-collateral-obligations-financials.model:448‎</w:t>
            </w:r>
          </w:p>
        </w:tc>
      </w:tr>
      <w:tr>
        <w:trPr>
          <w:cantSplit/>
        </w:trPr>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الموازنة إعداد الإدارة بلا رأي مراجع، وتبقى مسودة لا تُقدَّم ولا تُعتمد</w:t>
            </w:r>
          </w:p>
        </w:tc>
        <w:tc>
          <w:tcPr>
            <w:tcW w:type="dxa" w:w="8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القيد في </w:t>
            </w:r>
            <w:r>
              <w:rPr>
                <w:rFonts w:ascii="Courier New" w:cs="Courier New" w:eastAsia="Courier New" w:hAnsi="Courier New"/>
                <w:b w:val="false"/>
                <w:bCs w:val="false"/>
                <w:color w:val="1F2937"/>
                <w:sz w:val="16"/>
                <w:szCs w:val="16"/>
                <w:shd w:fill="F1F3F5" w:color="auto" w:val="clear"/>
                <w:rtl/>
              </w:rPr>
              <w:t xml:space="preserve">‎:485‎</w:t>
            </w:r>
          </w:p>
        </w:tc>
      </w:tr>
      <w:tr>
        <w:trPr>
          <w:cantSplit/>
        </w:trPr>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الموازنة لا تُقيَّم إلا تقييمًا تجريبيًا (الخطأ 50064)، والتجريبي لا يُقدَّم ولا يُعتمد (50063)</w:t>
            </w:r>
          </w:p>
        </w:tc>
        <w:tc>
          <w:tcPr>
            <w:tcW w:type="dxa" w:w="8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‎db/static/047_credit_engine.sql:1455‎</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‎db/static/046_credit_assessment.sql‎</w:t>
            </w:r>
          </w:p>
        </w:tc>
      </w:tr>
      <w:tr>
        <w:trPr>
          <w:cantSplit/>
        </w:trPr>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ملخص التقرير يبدأ بـ«تقييم تجريبي لقائمة تقديرية (موازنة)»</w:t>
            </w:r>
          </w:p>
        </w:tc>
        <w:tc>
          <w:tcPr>
            <w:tcW w:type="dxa" w:w="8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‎db/static/047_credit_engine.sql:1893‎</w:t>
            </w:r>
          </w:p>
        </w:tc>
      </w:tr>
      <w:tr>
        <w:trPr>
          <w:cantSplit/>
        </w:trPr>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يعرض نوع القائمة وكون التقييم تجريبيًا</w:t>
            </w:r>
          </w:p>
        </w:tc>
        <w:tc>
          <w:tcPr>
            <w:tcW w:type="dxa" w:w="8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‎fin.v_CreditAssessmentReport‎</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‎StatementNature‎</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‎IsTrial‎</w:t>
            </w:r>
          </w:p>
        </w:tc>
      </w:tr>
      <w:tr>
        <w:trPr>
          <w:cantSplit/>
        </w:trPr>
        <w:tc>
          <w:tcPr>
            <w:tcW w:type="dxa" w:w="167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الموازنة لا تطلق إنذارًا مبكرًا، والمقارنة بالتصنيف تقرأ القوائم الفعلية وحدها</w:t>
            </w:r>
          </w:p>
        </w:tc>
        <w:tc>
          <w:tcPr>
            <w:tcW w:type="dxa" w:w="818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‎db/static/049_credit_readiness.sql‎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‎fn_CreditEarlyWarnings‎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‎v_LenderRatingComparison‎</w:t>
            </w:r>
            <w:r>
              <w:rPr>
                <w:rFonts w:ascii="Arial" w:cs="Arial" w:eastAsia="Arial" w:hAnsi="Arial"/>
                <w:b w:val="false"/>
                <w:bCs w:val="false"/>
                <w:sz w:val="18"/>
                <w:szCs w:val="18"/>
                <w:rtl/>
              </w:rPr>
              <w:t xml:space="preserve"> بشرط </w:t>
            </w:r>
            <w:r>
              <w:rPr>
                <w:rFonts w:ascii="Courier New" w:cs="Courier New" w:eastAsia="Courier New" w:hAnsi="Courier New"/>
                <w:b w:val="false"/>
                <w:bCs w:val="false"/>
                <w:color w:val="1F2937"/>
                <w:sz w:val="16"/>
                <w:szCs w:val="16"/>
                <w:shd w:fill="F1F3F5" w:color="auto" w:val="clear"/>
                <w:rtl/>
              </w:rPr>
              <w:t xml:space="preserve">‎Nature = 'ACTUAL'‎</w:t>
            </w:r>
          </w:p>
        </w:tc>
      </w:tr>
      <w:tr>
        <w:trPr>
          <w:cantSplit/>
        </w:trPr>
        <w:tc>
          <w:tcPr>
            <w:tcW w:type="dxa" w:w="167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اختبار</w:t>
            </w:r>
          </w:p>
        </w:tc>
        <w:tc>
          <w:tcPr>
            <w:tcW w:type="dxa" w:w="818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CA21 (التقييم الرسمي للموازنة مرفوض، والموازنة لا تطلق إنذارًا)</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2.3 المخططات موجودة (E1)</w:t>
      </w:r>
      <w:bookmarkEnd w:id="5"/>
    </w:p>
    <w:p>
      <w:pPr>
        <w:bidi/>
        <w:spacing w:after="110" w:before="0" w:line="312"/>
      </w:pPr>
      <w:r>
        <w:rPr>
          <w:rFonts w:ascii="Arial" w:cs="Arial" w:eastAsia="Arial" w:hAnsi="Arial"/>
          <w:b w:val="false"/>
          <w:bCs w:val="false"/>
          <w:sz w:val="21"/>
          <w:szCs w:val="21"/>
          <w:rtl/>
        </w:rPr>
        <w:t xml:space="preserve">تقول المراجعة إن الحزمة بلا مخطط واحد («0 ملف DOT/PNG»)، وإنها «4 ملفات». الحزمة خمسة أجزاء، والمخططات في الجزء الخامس </w:t>
      </w:r>
      <w:r>
        <w:rPr>
          <w:rFonts w:ascii="Courier New" w:cs="Courier New" w:eastAsia="Courier New" w:hAnsi="Courier New"/>
          <w:b w:val="false"/>
          <w:bCs w:val="false"/>
          <w:color w:val="1F2937"/>
          <w:sz w:val="18"/>
          <w:szCs w:val="18"/>
          <w:shd w:fill="F1F3F5" w:color="auto" w:val="clear"/>
          <w:rtl/>
        </w:rPr>
        <w:t xml:space="preserve">‎BankFas-review-part5-diagrams.zip‎</w:t>
      </w:r>
      <w:r>
        <w:rPr>
          <w:rFonts w:ascii="Arial" w:cs="Arial" w:eastAsia="Arial" w:hAnsi="Arial"/>
          <w:b w:val="false"/>
          <w:bCs w:val="false"/>
          <w:sz w:val="21"/>
          <w:szCs w:val="21"/>
          <w:rtl/>
        </w:rPr>
        <w:t xml:space="preserve">، وفيه في </w:t>
      </w:r>
      <w:r>
        <w:rPr>
          <w:rFonts w:ascii="Courier New" w:cs="Courier New" w:eastAsia="Courier New" w:hAnsi="Courier New"/>
          <w:b w:val="false"/>
          <w:bCs w:val="false"/>
          <w:color w:val="1F2937"/>
          <w:sz w:val="18"/>
          <w:szCs w:val="18"/>
          <w:shd w:fill="F1F3F5" w:color="auto" w:val="clear"/>
          <w:rtl/>
        </w:rPr>
        <w:t xml:space="preserve">‎docs/diagrams/‎</w:t>
      </w:r>
      <w:r>
        <w:rPr>
          <w:rFonts w:ascii="Arial" w:cs="Arial" w:eastAsia="Arial" w:hAnsi="Arial"/>
          <w:b w:val="false"/>
          <w:bCs w:val="false"/>
          <w:sz w:val="21"/>
          <w:szCs w:val="21"/>
          <w:rtl/>
        </w:rPr>
        <w:t xml:space="preserve">: 62 ملف DOT، و225 صورة PNG، و81 ملف SVG، و81 ملف Mermaid. ويبدو أن الجزء الخامس لم يصل إلى المراجع أو لم يُفتح. نرجو إعادة تقدير بُعد التوثيق بعد الاطلاع عليه.</w:t>
      </w:r>
    </w:p>
    <w:p>
      <w:pPr>
        <w:pStyle w:val="Heading2"/>
        <w:bidi/>
      </w:pPr>
      <w:bookmarkStart w:name="_sec6" w:id="6"/>
      <w:r>
        <w:rPr>
          <w:rFonts w:ascii="Arial" w:cs="Arial" w:eastAsia="Arial" w:hAnsi="Arial"/>
          <w:b/>
          <w:bCs/>
          <w:color w:val="2B5C8A"/>
          <w:sz w:val="26"/>
          <w:szCs w:val="26"/>
          <w:rtl/>
        </w:rPr>
        <w:t xml:space="preserve">2.4 الأداء ليس «على 20 مستخدمًا فقط»</w:t>
      </w:r>
      <w:bookmarkEnd w:id="6"/>
    </w:p>
    <w:p>
      <w:pPr>
        <w:bidi/>
        <w:spacing w:after="110" w:before="0" w:line="312"/>
      </w:pPr>
      <w:r>
        <w:rPr>
          <w:rFonts w:ascii="Arial" w:cs="Arial" w:eastAsia="Arial" w:hAnsi="Arial"/>
          <w:b w:val="false"/>
          <w:bCs w:val="false"/>
          <w:sz w:val="21"/>
          <w:szCs w:val="21"/>
          <w:rtl/>
        </w:rPr>
        <w:t xml:space="preserve">رقم العشرين يخص الدخول وحده: عشرون دخولًا متزامنًا، لأن كل تجزئة Argon2id تحجز 64 ميغابايت (NFR-PERF-05، </w:t>
      </w:r>
      <w:r>
        <w:rPr>
          <w:rFonts w:ascii="Courier New" w:cs="Courier New" w:eastAsia="Courier New" w:hAnsi="Courier New"/>
          <w:b w:val="false"/>
          <w:bCs w:val="false"/>
          <w:color w:val="1F2937"/>
          <w:sz w:val="18"/>
          <w:szCs w:val="18"/>
          <w:shd w:fill="F1F3F5" w:color="auto" w:val="clear"/>
          <w:rtl/>
        </w:rPr>
        <w:t xml:space="preserve">‎docs/30-readiness/DOC-B03-nfr-specification.md:32‎</w:t>
      </w:r>
      <w:r>
        <w:rPr>
          <w:rFonts w:ascii="Arial" w:cs="Arial" w:eastAsia="Arial" w:hAnsi="Arial"/>
          <w:b w:val="false"/>
          <w:bCs w:val="false"/>
          <w:sz w:val="21"/>
          <w:szCs w:val="21"/>
          <w:rtl/>
        </w:rPr>
        <w:t xml:space="preserve">). أما الأداء العام (NFR-PERF-01، </w:t>
      </w:r>
      <w:r>
        <w:rPr>
          <w:rFonts w:ascii="Courier New" w:cs="Courier New" w:eastAsia="Courier New" w:hAnsi="Courier New"/>
          <w:b w:val="false"/>
          <w:bCs w:val="false"/>
          <w:color w:val="1F2937"/>
          <w:sz w:val="18"/>
          <w:szCs w:val="18"/>
          <w:shd w:fill="F1F3F5" w:color="auto" w:val="clear"/>
          <w:rtl/>
        </w:rPr>
        <w:t xml:space="preserve">‎:28‎</w:t>
      </w:r>
      <w:r>
        <w:rPr>
          <w:rFonts w:ascii="Arial" w:cs="Arial" w:eastAsia="Arial" w:hAnsi="Arial"/>
          <w:b w:val="false"/>
          <w:bCs w:val="false"/>
          <w:sz w:val="21"/>
          <w:szCs w:val="21"/>
          <w:rtl/>
        </w:rPr>
        <w:t xml:space="preserve">) فمحدد على بيانات NFR-SCL-02: 50,000 سجل لكل جدول رئيسي لكل مشترك (</w:t>
      </w:r>
      <w:r>
        <w:rPr>
          <w:rFonts w:ascii="Courier New" w:cs="Courier New" w:eastAsia="Courier New" w:hAnsi="Courier New"/>
          <w:b w:val="false"/>
          <w:bCs w:val="false"/>
          <w:color w:val="1F2937"/>
          <w:sz w:val="18"/>
          <w:szCs w:val="18"/>
          <w:shd w:fill="F1F3F5" w:color="auto" w:val="clear"/>
          <w:rtl/>
        </w:rPr>
        <w:t xml:space="preserve">‎:108‎</w:t>
      </w:r>
      <w:r>
        <w:rPr>
          <w:rFonts w:ascii="Arial" w:cs="Arial" w:eastAsia="Arial" w:hAnsi="Arial"/>
          <w:b w:val="false"/>
          <w:bCs w:val="false"/>
          <w:sz w:val="21"/>
          <w:szCs w:val="21"/>
          <w:rtl/>
        </w:rPr>
        <w:t xml:space="preserve">)، وعلى 300 مشترك في قاعدة واحدة (NFR-SCL-01، </w:t>
      </w:r>
      <w:r>
        <w:rPr>
          <w:rFonts w:ascii="Courier New" w:cs="Courier New" w:eastAsia="Courier New" w:hAnsi="Courier New"/>
          <w:b w:val="false"/>
          <w:bCs w:val="false"/>
          <w:color w:val="1F2937"/>
          <w:sz w:val="18"/>
          <w:szCs w:val="18"/>
          <w:shd w:fill="F1F3F5" w:color="auto" w:val="clear"/>
          <w:rtl/>
        </w:rPr>
        <w:t xml:space="preserve">‎:107‎</w:t>
      </w:r>
      <w:r>
        <w:rPr>
          <w:rFonts w:ascii="Arial" w:cs="Arial" w:eastAsia="Arial" w:hAnsi="Arial"/>
          <w:b w:val="false"/>
          <w:bCs w:val="false"/>
          <w:sz w:val="21"/>
          <w:szCs w:val="21"/>
          <w:rtl/>
        </w:rPr>
        <w:t xml:space="preserve">). والملاحظة صحيحة في أن اختبار الحمل لم يُنفَّذ بعد (§5).</w:t>
      </w:r>
    </w:p>
    <w:p>
      <w:pPr>
        <w:pStyle w:val="Heading2"/>
        <w:bidi/>
      </w:pPr>
      <w:bookmarkStart w:name="_sec7" w:id="7"/>
      <w:r>
        <w:rPr>
          <w:rFonts w:ascii="Arial" w:cs="Arial" w:eastAsia="Arial" w:hAnsi="Arial"/>
          <w:b/>
          <w:bCs/>
          <w:color w:val="2B5C8A"/>
          <w:sz w:val="26"/>
          <w:szCs w:val="26"/>
          <w:rtl/>
        </w:rPr>
        <w:t xml:space="preserve">2.5 مراقبة غياب التشغيل مصممة، وقبول تعارض الاستمرارية موقَّع</w:t>
      </w:r>
      <w:bookmarkEnd w:id="7"/>
    </w:p>
    <w:p>
      <w:pPr>
        <w:pStyle w:val="ListParagraph"/>
        <w:numPr>
          <w:ilvl w:val="0"/>
          <w:numId w:val="2"/>
        </w:numPr>
        <w:bidi/>
        <w:spacing w:after="70" w:before="0" w:line="300"/>
      </w:pPr>
      <w:r>
        <w:rPr>
          <w:rFonts w:ascii="Arial" w:cs="Arial" w:eastAsia="Arial" w:hAnsi="Arial"/>
          <w:b/>
          <w:bCs/>
          <w:sz w:val="21"/>
          <w:szCs w:val="21"/>
          <w:rtl/>
        </w:rPr>
        <w:t xml:space="preserve">غياب تشغيل المهمة (R9):</w:t>
      </w:r>
      <w:r>
        <w:rPr>
          <w:rFonts w:ascii="Arial" w:cs="Arial" w:eastAsia="Arial" w:hAnsi="Arial"/>
          <w:b w:val="false"/>
          <w:bCs w:val="false"/>
          <w:sz w:val="21"/>
          <w:szCs w:val="21"/>
          <w:rtl/>
        </w:rPr>
        <w:t xml:space="preserve"> القاعدة AL-11 تنبّه إلى «مهمة لم تبدأ خلال ضعف دوريتها» (</w:t>
      </w:r>
      <w:r>
        <w:rPr>
          <w:rFonts w:ascii="Courier New" w:cs="Courier New" w:eastAsia="Courier New" w:hAnsi="Courier New"/>
          <w:b w:val="false"/>
          <w:bCs w:val="false"/>
          <w:color w:val="1F2937"/>
          <w:sz w:val="18"/>
          <w:szCs w:val="18"/>
          <w:shd w:fill="F1F3F5" w:color="auto" w:val="clear"/>
          <w:rtl/>
        </w:rPr>
        <w:t xml:space="preserve">‎docs/30-readiness/DOC-S12-logging-monitoring-audit.md:223‎</w:t>
      </w:r>
      <w:r>
        <w:rPr>
          <w:rFonts w:ascii="Arial" w:cs="Arial" w:eastAsia="Arial" w:hAnsi="Arial"/>
          <w:b w:val="false"/>
          <w:bCs w:val="false"/>
          <w:sz w:val="21"/>
          <w:szCs w:val="21"/>
          <w:rtl/>
        </w:rPr>
        <w:t xml:space="preserve">). المهمة اليومية JOB-FIN-READINESS داخلة فيها. الناقص تشغيل المراقبة نفسها، وهو بند P2-1 في المراجعة، ونتفق معه.</w:t>
      </w:r>
    </w:p>
    <w:p>
      <w:pPr>
        <w:pStyle w:val="ListParagraph"/>
        <w:numPr>
          <w:ilvl w:val="0"/>
          <w:numId w:val="2"/>
        </w:numPr>
        <w:bidi/>
        <w:spacing w:after="70" w:before="0" w:line="300"/>
      </w:pPr>
      <w:r>
        <w:rPr>
          <w:rFonts w:ascii="Arial" w:cs="Arial" w:eastAsia="Arial" w:hAnsi="Arial"/>
          <w:b/>
          <w:bCs/>
          <w:sz w:val="21"/>
          <w:szCs w:val="21"/>
          <w:rtl/>
        </w:rPr>
        <w:t xml:space="preserve">تعارض زمن الاستعادة مع هدف التوفر:</w:t>
      </w:r>
      <w:r>
        <w:rPr>
          <w:rFonts w:ascii="Arial" w:cs="Arial" w:eastAsia="Arial" w:hAnsi="Arial"/>
          <w:b w:val="false"/>
          <w:bCs w:val="false"/>
          <w:sz w:val="21"/>
          <w:szCs w:val="21"/>
          <w:rtl/>
        </w:rPr>
        <w:t xml:space="preserve"> القبول المكتوب الذي تطلبه المراجعة موجود. اعتمد المالك في 2026-10-12 هدف 99.5% مع خادم واحد وزمن استعادة 4 ساعات، مع قبول أن كارثة واحدة تتجاوز ميزانية الشهر (DQ-B03-3، </w:t>
      </w:r>
      <w:r>
        <w:rPr>
          <w:rFonts w:ascii="Courier New" w:cs="Courier New" w:eastAsia="Courier New" w:hAnsi="Courier New"/>
          <w:b w:val="false"/>
          <w:bCs w:val="false"/>
          <w:color w:val="1F2937"/>
          <w:sz w:val="18"/>
          <w:szCs w:val="18"/>
          <w:shd w:fill="F1F3F5" w:color="auto" w:val="clear"/>
          <w:rtl/>
        </w:rPr>
        <w:t xml:space="preserve">‎docs/30-readiness/DOC-B03-nfr-specification.md:162‎</w:t>
      </w:r>
      <w:r>
        <w:rPr>
          <w:rFonts w:ascii="Arial" w:cs="Arial" w:eastAsia="Arial" w:hAnsi="Arial"/>
          <w:b w:val="false"/>
          <w:bCs w:val="false"/>
          <w:sz w:val="21"/>
          <w:szCs w:val="21"/>
          <w:rtl/>
        </w:rPr>
        <w:t xml:space="preserve">؛ والقرار 18 في </w:t>
      </w:r>
      <w:r>
        <w:rPr>
          <w:rFonts w:ascii="Courier New" w:cs="Courier New" w:eastAsia="Courier New" w:hAnsi="Courier New"/>
          <w:b w:val="false"/>
          <w:bCs w:val="false"/>
          <w:color w:val="1F2937"/>
          <w:sz w:val="18"/>
          <w:szCs w:val="18"/>
          <w:shd w:fill="F1F3F5" w:color="auto" w:val="clear"/>
          <w:rtl/>
        </w:rPr>
        <w:t xml:space="preserve">‎docs/31-owner-decisions.md‎</w:t>
      </w:r>
      <w:r>
        <w:rPr>
          <w:rFonts w:ascii="Arial" w:cs="Arial" w:eastAsia="Arial" w:hAnsi="Arial"/>
          <w:b w:val="false"/>
          <w:bCs w:val="false"/>
          <w:sz w:val="21"/>
          <w:szCs w:val="21"/>
          <w:rtl/>
        </w:rPr>
        <w:t xml:space="preserve">). ما يبقى هو التمرين المقاس (§5).</w:t>
      </w:r>
    </w:p>
    <w:p>
      <w:pPr>
        <w:bidi/>
        <w:spacing w:after="60" w:before="0"/>
      </w:pPr>
    </w:p>
    <w:p>
      <w:pPr>
        <w:pStyle w:val="Heading2"/>
        <w:bidi/>
      </w:pPr>
      <w:bookmarkStart w:name="_sec8" w:id="8"/>
      <w:r>
        <w:rPr>
          <w:rFonts w:ascii="Arial" w:cs="Arial" w:eastAsia="Arial" w:hAnsi="Arial"/>
          <w:b/>
          <w:bCs/>
          <w:color w:val="2B5C8A"/>
          <w:sz w:val="26"/>
          <w:szCs w:val="26"/>
          <w:rtl/>
        </w:rPr>
        <w:t xml:space="preserve">2.6 ملاحظة صغيرة</w:t>
      </w:r>
      <w:bookmarkEnd w:id="8"/>
    </w:p>
    <w:p>
      <w:pPr>
        <w:bidi/>
        <w:spacing w:after="110" w:before="0" w:line="312"/>
      </w:pPr>
      <w:r>
        <w:rPr>
          <w:rFonts w:ascii="Arial" w:cs="Arial" w:eastAsia="Arial" w:hAnsi="Arial"/>
          <w:b w:val="false"/>
          <w:bCs w:val="false"/>
          <w:sz w:val="21"/>
          <w:szCs w:val="21"/>
          <w:rtl/>
        </w:rPr>
        <w:t xml:space="preserve">المقتطف من </w:t>
      </w:r>
      <w:r>
        <w:rPr>
          <w:rFonts w:ascii="Courier New" w:cs="Courier New" w:eastAsia="Courier New" w:hAnsi="Courier New"/>
          <w:b w:val="false"/>
          <w:bCs w:val="false"/>
          <w:color w:val="1F2937"/>
          <w:sz w:val="18"/>
          <w:szCs w:val="18"/>
          <w:shd w:fill="F1F3F5" w:color="auto" w:val="clear"/>
          <w:rtl/>
        </w:rPr>
        <w:t xml:space="preserve">‎051_early_warning_job.sql‎</w:t>
      </w:r>
      <w:r>
        <w:rPr>
          <w:rFonts w:ascii="Arial" w:cs="Arial" w:eastAsia="Arial" w:hAnsi="Arial"/>
          <w:b w:val="false"/>
          <w:bCs w:val="false"/>
          <w:sz w:val="21"/>
          <w:szCs w:val="21"/>
          <w:rtl/>
        </w:rPr>
        <w:t xml:space="preserve"> صحيح على الإيداع الذي قرأته المراجعة. وتغيّر بعده: صار الحدث حدثين، </w:t>
      </w:r>
      <w:r>
        <w:rPr>
          <w:rFonts w:ascii="Courier New" w:cs="Courier New" w:eastAsia="Courier New" w:hAnsi="Courier New"/>
          <w:b w:val="false"/>
          <w:bCs w:val="false"/>
          <w:color w:val="1F2937"/>
          <w:sz w:val="18"/>
          <w:szCs w:val="18"/>
          <w:shd w:fill="F1F3F5" w:color="auto" w:val="clear"/>
          <w:rtl/>
        </w:rPr>
        <w:t xml:space="preserve">‎FIN.READINESS_RED‎</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‎FIN.READINESS_AMBER‎</w:t>
      </w:r>
      <w:r>
        <w:rPr>
          <w:rFonts w:ascii="Arial" w:cs="Arial" w:eastAsia="Arial" w:hAnsi="Arial"/>
          <w:b w:val="false"/>
          <w:bCs w:val="false"/>
          <w:sz w:val="21"/>
          <w:szCs w:val="21"/>
          <w:rtl/>
        </w:rPr>
        <w:t xml:space="preserve">، ومعه سبب الجاهزية وقوالب الرسائل (ADR 0028).</w:t>
      </w:r>
    </w:p>
    <w:p>
      <w:pPr>
        <w:pStyle w:val="Heading1"/>
        <w:bidi/>
      </w:pPr>
      <w:bookmarkStart w:name="_sec9" w:id="9"/>
      <w:r>
        <w:rPr>
          <w:rFonts w:ascii="Arial" w:cs="Arial" w:eastAsia="Arial" w:hAnsi="Arial"/>
          <w:b/>
          <w:bCs/>
          <w:color w:val="1F3A5F"/>
          <w:sz w:val="32"/>
          <w:szCs w:val="32"/>
          <w:rtl/>
        </w:rPr>
        <w:t xml:space="preserve">3. ملاحظتان تقرآن النظام بمنظور البنك</w:t>
      </w:r>
      <w:bookmarkEnd w:id="9"/>
    </w:p>
    <w:p>
      <w:pPr>
        <w:pStyle w:val="Heading2"/>
        <w:bidi/>
      </w:pPr>
      <w:bookmarkStart w:name="_sec10" w:id="10"/>
      <w:r>
        <w:rPr>
          <w:rFonts w:ascii="Arial" w:cs="Arial" w:eastAsia="Arial" w:hAnsi="Arial"/>
          <w:b/>
          <w:bCs/>
          <w:color w:val="2B5C8A"/>
          <w:sz w:val="26"/>
          <w:szCs w:val="26"/>
          <w:rtl/>
        </w:rPr>
        <w:t xml:space="preserve">3.1 IFRS 9 ونموذج الخسارة الائتمانية المتوقعة (G5 وR5 وP0-3)</w:t>
      </w:r>
      <w:bookmarkEnd w:id="10"/>
    </w:p>
    <w:p>
      <w:pPr>
        <w:bidi/>
        <w:spacing w:after="110" w:before="0" w:line="312"/>
      </w:pPr>
      <w:r>
        <w:rPr>
          <w:rFonts w:ascii="Arial" w:cs="Arial" w:eastAsia="Arial" w:hAnsi="Arial"/>
          <w:b w:val="false"/>
          <w:bCs w:val="false"/>
          <w:sz w:val="21"/>
          <w:szCs w:val="21"/>
          <w:rtl/>
        </w:rPr>
        <w:t xml:space="preserve">المراحل الثلاث وPD وLGD وEAD نموذج قياس لمن يُقرض: يقيس به خسارته المتوقعة على قروضه. أما الشركة في هذا النظام فهي المقترضة.</w:t>
      </w:r>
    </w:p>
    <w:p>
      <w:pPr>
        <w:pStyle w:val="ListParagraph"/>
        <w:numPr>
          <w:ilvl w:val="0"/>
          <w:numId w:val="2"/>
        </w:numPr>
        <w:bidi/>
        <w:spacing w:after="70" w:before="0" w:line="300"/>
      </w:pPr>
      <w:r>
        <w:rPr>
          <w:rFonts w:ascii="Arial" w:cs="Arial" w:eastAsia="Arial" w:hAnsi="Arial"/>
          <w:b w:val="false"/>
          <w:bCs w:val="false"/>
          <w:sz w:val="21"/>
          <w:szCs w:val="21"/>
          <w:rtl/>
        </w:rPr>
        <w:t xml:space="preserve">ما يخصها من IFRS 9 هو مخصص خسائر ذممها التجارية، بالمنهج المبسط عادة.</w:t>
      </w:r>
    </w:p>
    <w:p>
      <w:pPr>
        <w:pStyle w:val="ListParagraph"/>
        <w:numPr>
          <w:ilvl w:val="0"/>
          <w:numId w:val="2"/>
        </w:numPr>
        <w:bidi/>
        <w:spacing w:after="70" w:before="0" w:line="300"/>
      </w:pPr>
      <w:r>
        <w:rPr>
          <w:rFonts w:ascii="Arial" w:cs="Arial" w:eastAsia="Arial" w:hAnsi="Arial"/>
          <w:b w:val="false"/>
          <w:bCs w:val="false"/>
          <w:sz w:val="21"/>
          <w:szCs w:val="21"/>
          <w:rtl/>
        </w:rPr>
        <w:t xml:space="preserve">هذا المخصص يُعدّ في نظامها المحاسبي ويراجعه مراجعها الخارجي، فلا نرى أن يحسبه النظام.</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النظام يقرأ المخصص كما في القوائم، ويقيس كفايته مقابل أعمار الذمم: المقياس </w:t>
      </w:r>
      <w:r>
        <w:rPr>
          <w:rFonts w:ascii="Courier New" w:cs="Courier New" w:eastAsia="Courier New" w:hAnsi="Courier New"/>
          <w:b w:val="false"/>
          <w:bCs w:val="false"/>
          <w:color w:val="1F2937"/>
          <w:sz w:val="18"/>
          <w:szCs w:val="18"/>
          <w:shd w:fill="F1F3F5" w:color="auto" w:val="clear"/>
          <w:rtl/>
        </w:rPr>
        <w:t xml:space="preserve">‎AR_ECL_ALLOWANCE ÷ (AR_AGE_OVER_365 − AR_AGE_OVER_365_GOV)‎</w:t>
      </w:r>
      <w:r>
        <w:rPr>
          <w:rFonts w:ascii="Arial" w:cs="Arial" w:eastAsia="Arial" w:hAnsi="Arial"/>
          <w:b w:val="false"/>
          <w:bCs w:val="false"/>
          <w:sz w:val="21"/>
          <w:szCs w:val="21"/>
          <w:rtl/>
        </w:rPr>
        <w:t xml:space="preserve"> في </w:t>
      </w:r>
      <w:r>
        <w:rPr>
          <w:rFonts w:ascii="Courier New" w:cs="Courier New" w:eastAsia="Courier New" w:hAnsi="Courier New"/>
          <w:b w:val="false"/>
          <w:bCs w:val="false"/>
          <w:color w:val="1F2937"/>
          <w:sz w:val="18"/>
          <w:szCs w:val="18"/>
          <w:shd w:fill="F1F3F5" w:color="auto" w:val="clear"/>
          <w:rtl/>
        </w:rPr>
        <w:t xml:space="preserve">‎db/seed/104_credit_scorecard.sql:485‎</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val="false"/>
          <w:bCs w:val="false"/>
          <w:sz w:val="21"/>
          <w:szCs w:val="21"/>
          <w:rtl/>
        </w:rPr>
        <w:t xml:space="preserve">لذلك نقترح بدل بناء نموذج ECL:</w:t>
      </w:r>
    </w:p>
    <w:p>
      <w:pPr>
        <w:pStyle w:val="ListParagraph"/>
        <w:numPr>
          <w:ilvl w:val="0"/>
          <w:numId w:val="2"/>
        </w:numPr>
        <w:bidi/>
        <w:spacing w:after="70" w:before="0" w:line="300"/>
      </w:pPr>
      <w:r>
        <w:rPr>
          <w:rFonts w:ascii="Arial" w:cs="Arial" w:eastAsia="Arial" w:hAnsi="Arial"/>
          <w:b w:val="false"/>
          <w:bCs w:val="false"/>
          <w:sz w:val="21"/>
          <w:szCs w:val="21"/>
          <w:rtl/>
        </w:rPr>
        <w:t xml:space="preserve">قرارًا موثقًا بحدود الاستعمال: النظام أداة داخلية، ولا يدخل مخرجه في القوائم المالية ولا في العقود، ولا يصدر تصنيفًا ائتمانيًا.</w:t>
      </w:r>
    </w:p>
    <w:p>
      <w:pPr>
        <w:pStyle w:val="ListParagraph"/>
        <w:numPr>
          <w:ilvl w:val="0"/>
          <w:numId w:val="2"/>
        </w:numPr>
        <w:bidi/>
        <w:spacing w:after="70" w:before="0" w:line="300"/>
      </w:pPr>
      <w:r>
        <w:rPr>
          <w:rFonts w:ascii="Arial" w:cs="Arial" w:eastAsia="Arial" w:hAnsi="Arial"/>
          <w:b w:val="false"/>
          <w:bCs w:val="false"/>
          <w:sz w:val="21"/>
          <w:szCs w:val="21"/>
          <w:rtl/>
        </w:rPr>
        <w:t xml:space="preserve">وحين يلزم تقديم التقييم لجهة خارجية، فبالتصديق الذي بُني الآن (§4.1).</w:t>
      </w:r>
    </w:p>
    <w:p>
      <w:pPr>
        <w:pStyle w:val="ListParagraph"/>
        <w:numPr>
          <w:ilvl w:val="0"/>
          <w:numId w:val="2"/>
        </w:numPr>
        <w:bidi/>
        <w:spacing w:after="70" w:before="0" w:line="300"/>
      </w:pPr>
      <w:r>
        <w:rPr>
          <w:rFonts w:ascii="Arial" w:cs="Arial" w:eastAsia="Arial" w:hAnsi="Arial"/>
          <w:b w:val="false"/>
          <w:bCs w:val="false"/>
          <w:sz w:val="21"/>
          <w:szCs w:val="21"/>
          <w:rtl/>
        </w:rPr>
        <w:t xml:space="preserve">وقد يُضاف لاحقًا اقتراح مخصص بمصفوفة أعمار مبسطة ميزةً للشركة، لا شرطًا للاستعمال.</w:t>
      </w:r>
    </w:p>
    <w:p>
      <w:pPr>
        <w:bidi/>
        <w:spacing w:after="60" w:before="0"/>
      </w:pPr>
    </w:p>
    <w:p>
      <w:pPr>
        <w:pStyle w:val="Heading2"/>
        <w:bidi/>
      </w:pPr>
      <w:bookmarkStart w:name="_sec11" w:id="11"/>
      <w:r>
        <w:rPr>
          <w:rFonts w:ascii="Arial" w:cs="Arial" w:eastAsia="Arial" w:hAnsi="Arial"/>
          <w:b/>
          <w:bCs/>
          <w:color w:val="2B5C8A"/>
          <w:sz w:val="26"/>
          <w:szCs w:val="26"/>
          <w:rtl/>
        </w:rPr>
        <w:t xml:space="preserve">3.2 «المُقيِّم هو المستفيد» (G1 وR1)</w:t>
      </w:r>
      <w:bookmarkEnd w:id="11"/>
    </w:p>
    <w:p>
      <w:pPr>
        <w:bidi/>
        <w:spacing w:after="110" w:before="0" w:line="312"/>
      </w:pPr>
      <w:r>
        <w:rPr>
          <w:rFonts w:ascii="Arial" w:cs="Arial" w:eastAsia="Arial" w:hAnsi="Arial"/>
          <w:b w:val="false"/>
          <w:bCs w:val="false"/>
          <w:sz w:val="21"/>
          <w:szCs w:val="21"/>
          <w:rtl/>
        </w:rPr>
        <w:t xml:space="preserve">في نظام البنك يكون هذا تعارض مصالح حقيقيًا، لأن من يقرر المنح غير من يُقيَّم. أما هنا فالشركة تقيّم نفسها لنفسها لتستعد لجهات تمويلها: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النظام لا يرسل شيئًا إلى البنك (</w:t>
      </w:r>
      <w:r>
        <w:rPr>
          <w:rFonts w:ascii="Courier New" w:cs="Courier New" w:eastAsia="Courier New" w:hAnsi="Courier New"/>
          <w:b w:val="false"/>
          <w:bCs w:val="false"/>
          <w:color w:val="1F2937"/>
          <w:sz w:val="18"/>
          <w:szCs w:val="18"/>
          <w:shd w:fill="F1F3F5" w:color="auto" w:val="clear"/>
          <w:rtl/>
        </w:rPr>
        <w:t xml:space="preserve">‎docs/36-internal-perspective-study.md:104‎</w:t>
      </w:r>
      <w:r>
        <w:rPr>
          <w:rFonts w:ascii="Arial" w:cs="Arial" w:eastAsia="Arial" w:hAnsi="Arial"/>
          <w:b w:val="false"/>
          <w:bCs w:val="false"/>
          <w:sz w:val="21"/>
          <w:szCs w:val="21"/>
          <w:rtl/>
        </w:rPr>
        <w:t xml:space="preserve">).</w:t>
      </w:r>
    </w:p>
    <w:p>
      <w:pPr>
        <w:pStyle w:val="ListParagraph"/>
        <w:numPr>
          <w:ilvl w:val="0"/>
          <w:numId w:val="2"/>
        </w:numPr>
        <w:bidi/>
        <w:spacing w:after="70" w:before="0" w:line="300"/>
      </w:pPr>
      <w:r>
        <w:rPr>
          <w:rFonts w:ascii="Arial" w:cs="Arial" w:eastAsia="Arial" w:hAnsi="Arial"/>
          <w:b w:val="false"/>
          <w:bCs w:val="false"/>
          <w:sz w:val="21"/>
          <w:szCs w:val="21"/>
          <w:rtl/>
        </w:rPr>
        <w:t xml:space="preserve">والتقرير يقول إن الدرجة معايرة داخلية وإن البنك سيعيد التبويب التحليلي نفسه.</w:t>
      </w:r>
    </w:p>
    <w:p>
      <w:pPr>
        <w:bidi/>
        <w:spacing w:after="60" w:before="0"/>
      </w:pPr>
    </w:p>
    <w:p>
      <w:pPr>
        <w:bidi/>
        <w:spacing w:after="110" w:before="0" w:line="312"/>
      </w:pPr>
      <w:r>
        <w:rPr>
          <w:rFonts w:ascii="Arial" w:cs="Arial" w:eastAsia="Arial" w:hAnsi="Arial"/>
          <w:b w:val="false"/>
          <w:bCs w:val="false"/>
          <w:sz w:val="21"/>
          <w:szCs w:val="21"/>
          <w:rtl/>
        </w:rPr>
        <w:t xml:space="preserve">الخطر الحقيقي في هذا السياق اثنان، ونتفق مع المراجعة فيهما:</w:t>
      </w:r>
    </w:p>
    <w:p>
      <w:pPr>
        <w:pStyle w:val="ListParagraph"/>
        <w:numPr>
          <w:ilvl w:val="0"/>
          <w:numId w:val="2"/>
        </w:numPr>
        <w:bidi/>
        <w:spacing w:after="70" w:before="0" w:line="300"/>
      </w:pPr>
      <w:r>
        <w:rPr>
          <w:rFonts w:ascii="Arial" w:cs="Arial" w:eastAsia="Arial" w:hAnsi="Arial"/>
          <w:b w:val="false"/>
          <w:bCs w:val="false"/>
          <w:sz w:val="21"/>
          <w:szCs w:val="21"/>
          <w:rtl/>
        </w:rPr>
        <w:t xml:space="preserve">أن تخدع الشركة نفسها بتفاؤل التقدير. عالجناه بالمعايرة المتراكمة (§4.3)، مع ما كان قائمًا: لا يُحتسب حل إلا بمستند مؤرخ قبل نهاية الفترة (ADR 0023).</w:t>
      </w:r>
    </w:p>
    <w:p>
      <w:pPr>
        <w:pStyle w:val="ListParagraph"/>
        <w:numPr>
          <w:ilvl w:val="0"/>
          <w:numId w:val="2"/>
        </w:numPr>
        <w:bidi/>
        <w:spacing w:after="70" w:before="0" w:line="300"/>
      </w:pPr>
      <w:r>
        <w:rPr>
          <w:rFonts w:ascii="Arial" w:cs="Arial" w:eastAsia="Arial" w:hAnsi="Arial"/>
          <w:b w:val="false"/>
          <w:bCs w:val="false"/>
          <w:sz w:val="21"/>
          <w:szCs w:val="21"/>
          <w:rtl/>
        </w:rPr>
        <w:t xml:space="preserve">أن يُعرض التقييم خارج الشركة على أنه رأي مستقل. عالجناه بالتصديق من خارج الخط (§4.1).</w:t>
      </w:r>
    </w:p>
    <w:p>
      <w:pPr>
        <w:bidi/>
        <w:spacing w:after="60" w:before="0"/>
      </w:pPr>
    </w:p>
    <w:p>
      <w:pPr>
        <w:bidi/>
        <w:spacing w:after="110" w:before="0" w:line="312"/>
      </w:pPr>
      <w:r>
        <w:rPr>
          <w:rFonts w:ascii="Arial" w:cs="Arial" w:eastAsia="Arial" w:hAnsi="Arial"/>
          <w:b w:val="false"/>
          <w:bCs w:val="false"/>
          <w:sz w:val="21"/>
          <w:szCs w:val="21"/>
          <w:rtl/>
        </w:rPr>
        <w:t xml:space="preserve">أما وظيفة مخاطر مستقلة ولجنة تدقيق بمسار تصعيد فقرار تنظيمي لكل شركة. والنظام يتيحه دون أن يفرضه: صلاحية التصديق تُسند لأي دور خارج خط الإعداد والاعتماد.</w:t>
      </w:r>
    </w:p>
    <w:p>
      <w:pPr>
        <w:pStyle w:val="Heading1"/>
        <w:bidi/>
      </w:pPr>
      <w:bookmarkStart w:name="_sec12" w:id="12"/>
      <w:r>
        <w:rPr>
          <w:rFonts w:ascii="Arial" w:cs="Arial" w:eastAsia="Arial" w:hAnsi="Arial"/>
          <w:b/>
          <w:bCs/>
          <w:color w:val="1F3A5F"/>
          <w:sz w:val="32"/>
          <w:szCs w:val="32"/>
          <w:rtl/>
        </w:rPr>
        <w:t xml:space="preserve">4. ما قبلناه وبنيناه (ADR 0029)</w:t>
      </w:r>
      <w:bookmarkEnd w:id="12"/>
    </w:p>
    <w:p>
      <w:pPr>
        <w:pStyle w:val="Heading2"/>
        <w:bidi/>
      </w:pPr>
      <w:bookmarkStart w:name="_sec13" w:id="13"/>
      <w:r>
        <w:rPr>
          <w:rFonts w:ascii="Arial" w:cs="Arial" w:eastAsia="Arial" w:hAnsi="Arial"/>
          <w:b/>
          <w:bCs/>
          <w:color w:val="2B5C8A"/>
          <w:sz w:val="26"/>
          <w:szCs w:val="26"/>
          <w:rtl/>
        </w:rPr>
        <w:t xml:space="preserve">4.1 تصديق التقييم لاستعماله خارج الشركة</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24"/>
        <w:gridCol w:w="7940"/>
      </w:tblGrid>
      <w:tr>
        <w:trPr>
          <w:cantSplit/>
          <w:tblHeader/>
        </w:trPr>
        <w:tc>
          <w:tcPr>
            <w:tcW w:type="dxa" w:w="192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94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التفصيل</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الصلاحية</w:t>
            </w:r>
          </w:p>
        </w:tc>
        <w:tc>
          <w:tcPr>
            <w:tcW w:type="dxa" w:w="7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‎fin.credit.endorse‎</w:t>
            </w:r>
            <w:r>
              <w:rPr>
                <w:rFonts w:ascii="Arial" w:cs="Arial" w:eastAsia="Arial" w:hAnsi="Arial"/>
                <w:b w:val="false"/>
                <w:bCs w:val="false"/>
                <w:sz w:val="18"/>
                <w:szCs w:val="18"/>
                <w:rtl/>
              </w:rPr>
              <w:t xml:space="preserve"> (الصلاحيات صارت 143)، يحملها افتراضيًا المدقق الداخلي AU في مصفوفة أدوار المواصفة 12، ويجوز للمشترك منحها لدور آخر خارج الخط، كالمدير المالي أو عضو لجنة التدقيق</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الإجراء</w:t>
            </w:r>
          </w:p>
        </w:tc>
        <w:tc>
          <w:tcPr>
            <w:tcW w:type="dxa" w:w="7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‎fin.usp_EndorseCreditAssessment‎</w:t>
            </w:r>
            <w:r>
              <w:rPr>
                <w:rFonts w:ascii="Arial" w:cs="Arial" w:eastAsia="Arial" w:hAnsi="Arial"/>
                <w:b w:val="false"/>
                <w:bCs w:val="false"/>
                <w:sz w:val="18"/>
                <w:szCs w:val="18"/>
                <w:rtl/>
              </w:rPr>
              <w:t xml:space="preserve"> في </w:t>
            </w:r>
            <w:r>
              <w:rPr>
                <w:rFonts w:ascii="Courier New" w:cs="Courier New" w:eastAsia="Courier New" w:hAnsi="Courier New"/>
                <w:b w:val="false"/>
                <w:bCs w:val="false"/>
                <w:color w:val="1F2937"/>
                <w:sz w:val="16"/>
                <w:szCs w:val="16"/>
                <w:shd w:fill="F1F3F5" w:color="auto" w:val="clear"/>
                <w:rtl/>
              </w:rPr>
              <w:t xml:space="preserve">‎db/static/052_review_controls.sql‎</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شروط المصدِّق</w:t>
            </w:r>
          </w:p>
        </w:tc>
        <w:tc>
          <w:tcPr>
            <w:tcW w:type="dxa" w:w="7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يحمل </w:t>
            </w:r>
            <w:r>
              <w:rPr>
                <w:rFonts w:ascii="Courier New" w:cs="Courier New" w:eastAsia="Courier New" w:hAnsi="Courier New"/>
                <w:b w:val="false"/>
                <w:bCs w:val="false"/>
                <w:color w:val="1F2937"/>
                <w:sz w:val="16"/>
                <w:szCs w:val="16"/>
                <w:shd w:fill="F1F3F5" w:color="auto" w:val="clear"/>
                <w:rtl/>
              </w:rPr>
              <w:t xml:space="preserve">‎fin.credit.assess‎</w:t>
            </w:r>
            <w:r>
              <w:rPr>
                <w:rFonts w:ascii="Arial" w:cs="Arial" w:eastAsia="Arial" w:hAnsi="Arial"/>
                <w:b w:val="false"/>
                <w:bCs w:val="false"/>
                <w:sz w:val="18"/>
                <w:szCs w:val="18"/>
                <w:rtl/>
              </w:rPr>
              <w:t xml:space="preserve"> ولا </w:t>
            </w:r>
            <w:r>
              <w:rPr>
                <w:rFonts w:ascii="Courier New" w:cs="Courier New" w:eastAsia="Courier New" w:hAnsi="Courier New"/>
                <w:b w:val="false"/>
                <w:bCs w:val="false"/>
                <w:color w:val="1F2937"/>
                <w:sz w:val="16"/>
                <w:szCs w:val="16"/>
                <w:shd w:fill="F1F3F5" w:color="auto" w:val="clear"/>
                <w:rtl/>
              </w:rPr>
              <w:t xml:space="preserve">‎fin.credit.approve‎</w:t>
            </w:r>
            <w:r>
              <w:rPr>
                <w:rFonts w:ascii="Arial" w:cs="Arial" w:eastAsia="Arial" w:hAnsi="Arial"/>
                <w:b w:val="false"/>
                <w:bCs w:val="false"/>
                <w:sz w:val="18"/>
                <w:szCs w:val="18"/>
                <w:rtl/>
              </w:rPr>
              <w:t xml:space="preserve">، وليس المُعِدّ ولا المعتمِد (قيد CHECK أيضًا)</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شروط التقييم</w:t>
            </w:r>
          </w:p>
        </w:tc>
        <w:tc>
          <w:tcPr>
            <w:tcW w:type="dxa" w:w="7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معتمد، لقائمة فعلية، غير تجريبي؛ ويُصدَّق مرة واحدة بسبب ونطاق إلزاميين، ولا يتغير التصديق بعدها (قادح 046)</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ما يمنع التحايل</w:t>
            </w:r>
          </w:p>
        </w:tc>
        <w:tc>
          <w:tcPr>
            <w:tcW w:type="dxa" w:w="7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التطبيق ممنوع من كتابة أعمدة التصديق مباشرة (DENY)، فلا طريق إلا الإجراء</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ما يراه القارئ</w:t>
            </w:r>
          </w:p>
        </w:tc>
        <w:tc>
          <w:tcPr>
            <w:tcW w:type="dxa" w:w="794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التقرير يعرض </w:t>
            </w:r>
            <w:r>
              <w:rPr>
                <w:rFonts w:ascii="Courier New" w:cs="Courier New" w:eastAsia="Courier New" w:hAnsi="Courier New"/>
                <w:b w:val="false"/>
                <w:bCs w:val="false"/>
                <w:color w:val="1F2937"/>
                <w:sz w:val="16"/>
                <w:szCs w:val="16"/>
                <w:shd w:fill="F1F3F5" w:color="auto" w:val="clear"/>
                <w:rtl/>
              </w:rPr>
              <w:t xml:space="preserve">‎UseScope‎</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‎ENDORSED‎</w:t>
            </w:r>
            <w:r>
              <w:rPr>
                <w:rFonts w:ascii="Arial" w:cs="Arial" w:eastAsia="Arial" w:hAnsi="Arial"/>
                <w:b w:val="false"/>
                <w:bCs w:val="false"/>
                <w:sz w:val="18"/>
                <w:szCs w:val="18"/>
                <w:rtl/>
              </w:rPr>
              <w:t xml:space="preserve"> أو </w:t>
            </w:r>
            <w:r>
              <w:rPr>
                <w:rFonts w:ascii="Courier New" w:cs="Courier New" w:eastAsia="Courier New" w:hAnsi="Courier New"/>
                <w:b w:val="false"/>
                <w:bCs w:val="false"/>
                <w:color w:val="1F2937"/>
                <w:sz w:val="16"/>
                <w:szCs w:val="16"/>
                <w:shd w:fill="F1F3F5" w:color="auto" w:val="clear"/>
                <w:rtl/>
              </w:rPr>
              <w:t xml:space="preserve">‎INTERNAL_ONLY‎</w:t>
            </w:r>
          </w:p>
        </w:tc>
      </w:tr>
      <w:tr>
        <w:trPr>
          <w:cantSplit/>
        </w:trPr>
        <w:tc>
          <w:tcPr>
            <w:tcW w:type="dxa" w:w="192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الاختبار</w:t>
            </w:r>
          </w:p>
        </w:tc>
        <w:tc>
          <w:tcPr>
            <w:tcW w:type="dxa" w:w="794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CA25، ست حالات: التصديق من المدقق، ورفض من يحمل صلاحية الإعداد، ورفض المعتمِد، ورفض المقدَّم غير المعتمد، ورفض التصديق بلا سبب، ورفض التصديق الثاني والكتابة المباشرة</w:t>
            </w:r>
          </w:p>
        </w:tc>
      </w:tr>
    </w:tbl>
    <w:p>
      <w:pPr>
        <w:bidi/>
        <w:spacing w:after="120" w:before="0"/>
      </w:pPr>
    </w:p>
    <w:p>
      <w:pPr>
        <w:pStyle w:val="Heading2"/>
        <w:bidi/>
      </w:pPr>
      <w:bookmarkStart w:name="_sec14" w:id="14"/>
      <w:r>
        <w:rPr>
          <w:rFonts w:ascii="Arial" w:cs="Arial" w:eastAsia="Arial" w:hAnsi="Arial"/>
          <w:b/>
          <w:bCs/>
          <w:color w:val="2B5C8A"/>
          <w:sz w:val="26"/>
          <w:szCs w:val="26"/>
          <w:rtl/>
        </w:rPr>
        <w:t xml:space="preserve">4.2 سبب اختيار نسخة العرض إلزامي</w:t>
      </w:r>
      <w:bookmarkEnd w:id="14"/>
    </w:p>
    <w:p>
      <w:pPr>
        <w:pStyle w:val="ListParagraph"/>
        <w:numPr>
          <w:ilvl w:val="0"/>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‎fin.PresentationVersion.ChoiceReason‎</w:t>
      </w:r>
      <w:r>
        <w:rPr>
          <w:rFonts w:ascii="Arial" w:cs="Arial" w:eastAsia="Arial" w:hAnsi="Arial"/>
          <w:b w:val="false"/>
          <w:bCs w:val="false"/>
          <w:sz w:val="21"/>
          <w:szCs w:val="21"/>
          <w:rtl/>
        </w:rPr>
        <w:t xml:space="preserve">: لا تُختار نسخة بلا سبب، بقيد CHECK وفي الإجراء معًا.</w:t>
      </w:r>
    </w:p>
    <w:p>
      <w:pPr>
        <w:pStyle w:val="ListParagraph"/>
        <w:numPr>
          <w:ilvl w:val="0"/>
          <w:numId w:val="2"/>
        </w:numPr>
        <w:bidi/>
        <w:spacing w:after="70" w:before="0" w:line="300"/>
      </w:pPr>
      <w:r>
        <w:rPr>
          <w:rFonts w:ascii="Arial" w:cs="Arial" w:eastAsia="Arial" w:hAnsi="Arial"/>
          <w:b w:val="false"/>
          <w:bCs w:val="false"/>
          <w:sz w:val="21"/>
          <w:szCs w:val="21"/>
          <w:rtl/>
        </w:rPr>
        <w:t xml:space="preserve">التطبيق ممنوع من كتابة السبب خارج الإجراء.</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 CA19 الحالة 7.</w:t>
      </w:r>
    </w:p>
    <w:p>
      <w:pPr>
        <w:bidi/>
        <w:spacing w:after="60" w:before="0"/>
      </w:pPr>
    </w:p>
    <w:p>
      <w:pPr>
        <w:pStyle w:val="Heading2"/>
        <w:bidi/>
      </w:pPr>
      <w:bookmarkStart w:name="_sec15" w:id="15"/>
      <w:r>
        <w:rPr>
          <w:rFonts w:ascii="Arial" w:cs="Arial" w:eastAsia="Arial" w:hAnsi="Arial"/>
          <w:b/>
          <w:bCs/>
          <w:color w:val="2B5C8A"/>
          <w:sz w:val="26"/>
          <w:szCs w:val="26"/>
          <w:rtl/>
        </w:rPr>
        <w:t xml:space="preserve">4.3 المعايرة المتراكمة مع تصنيفات جهات التمويل</w:t>
      </w:r>
      <w:bookmarkEnd w:id="15"/>
    </w:p>
    <w:p>
      <w:pPr>
        <w:bidi/>
        <w:spacing w:after="110" w:before="0" w:line="312"/>
      </w:pPr>
      <w:r>
        <w:rPr>
          <w:rFonts w:ascii="Arial" w:cs="Arial" w:eastAsia="Arial" w:hAnsi="Arial"/>
          <w:b w:val="false"/>
          <w:bCs w:val="false"/>
          <w:sz w:val="21"/>
          <w:szCs w:val="21"/>
          <w:rtl/>
        </w:rPr>
        <w:t xml:space="preserve">العرض </w:t>
      </w:r>
      <w:r>
        <w:rPr>
          <w:rFonts w:ascii="Courier New" w:cs="Courier New" w:eastAsia="Courier New" w:hAnsi="Courier New"/>
          <w:b w:val="false"/>
          <w:bCs w:val="false"/>
          <w:color w:val="1F2937"/>
          <w:sz w:val="18"/>
          <w:szCs w:val="18"/>
          <w:shd w:fill="F1F3F5" w:color="auto" w:val="clear"/>
          <w:rtl/>
        </w:rPr>
        <w:t xml:space="preserve">‎fin.v_LenderRatingCalibration‎</w:t>
      </w:r>
      <w:r>
        <w:rPr>
          <w:rFonts w:ascii="Arial" w:cs="Arial" w:eastAsia="Arial" w:hAnsi="Arial"/>
          <w:b w:val="false"/>
          <w:bCs w:val="false"/>
          <w:sz w:val="21"/>
          <w:szCs w:val="21"/>
          <w:rtl/>
        </w:rPr>
        <w:t xml:space="preserve"> يجمع لكل شركة (لكل الجهات، ولكل جهة) ما يلي:</w:t>
      </w:r>
    </w:p>
    <w:p>
      <w:pPr>
        <w:pStyle w:val="ListParagraph"/>
        <w:numPr>
          <w:ilvl w:val="0"/>
          <w:numId w:val="2"/>
        </w:numPr>
        <w:bidi/>
        <w:spacing w:after="70" w:before="0" w:line="300"/>
      </w:pPr>
      <w:r>
        <w:rPr>
          <w:rFonts w:ascii="Arial" w:cs="Arial" w:eastAsia="Arial" w:hAnsi="Arial"/>
          <w:b w:val="false"/>
          <w:bCs w:val="false"/>
          <w:sz w:val="21"/>
          <w:szCs w:val="21"/>
          <w:rtl/>
        </w:rPr>
        <w:t xml:space="preserve">عدد التصنيفات المقارنة، ومتوسط الفرق بالدرجات (الموجب يعني أن الجهة أشد)، ومتوسط آخر ثلاثة، وآخر فرق.</w:t>
      </w:r>
    </w:p>
    <w:p>
      <w:pPr>
        <w:pStyle w:val="ListParagraph"/>
        <w:numPr>
          <w:ilvl w:val="0"/>
          <w:numId w:val="2"/>
        </w:numPr>
        <w:bidi/>
        <w:spacing w:after="70" w:before="0" w:line="300"/>
      </w:pPr>
      <w:r>
        <w:rPr>
          <w:rFonts w:ascii="Arial" w:cs="Arial" w:eastAsia="Arial" w:hAnsi="Arial"/>
          <w:b w:val="false"/>
          <w:bCs w:val="false"/>
          <w:sz w:val="21"/>
          <w:szCs w:val="21"/>
          <w:rtl/>
        </w:rPr>
        <w:t xml:space="preserve">الميل:</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‎OPTIMISTIC‎</w:t>
      </w:r>
      <w:r>
        <w:rPr>
          <w:rFonts w:ascii="Arial" w:cs="Arial" w:eastAsia="Arial" w:hAnsi="Arial"/>
          <w:b w:val="false"/>
          <w:bCs w:val="false"/>
          <w:sz w:val="21"/>
          <w:szCs w:val="21"/>
          <w:rtl/>
        </w:rPr>
        <w:t xml:space="preserve">: الشركة تقيّم نفسها أعلى من جهاتها بدرجة فأكثر في المتوسط.</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‎CONSERVATIVE‎</w:t>
      </w:r>
      <w:r>
        <w:rPr>
          <w:rFonts w:ascii="Arial" w:cs="Arial" w:eastAsia="Arial" w:hAnsi="Arial"/>
          <w:b w:val="false"/>
          <w:bCs w:val="false"/>
          <w:sz w:val="21"/>
          <w:szCs w:val="21"/>
          <w:rtl/>
        </w:rPr>
        <w:t xml:space="preserve">: أدنى منها بدرجة فأكثر.</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‎ALIGNED‎</w:t>
      </w:r>
      <w:r>
        <w:rPr>
          <w:rFonts w:ascii="Arial" w:cs="Arial" w:eastAsia="Arial" w:hAnsi="Arial"/>
          <w:b w:val="false"/>
          <w:bCs w:val="false"/>
          <w:sz w:val="21"/>
          <w:szCs w:val="21"/>
          <w:rtl/>
        </w:rPr>
        <w:t xml:space="preserve">: ما بينهما.</w:t>
      </w:r>
    </w:p>
    <w:p>
      <w:pPr>
        <w:pStyle w:val="ListParagraph"/>
        <w:numPr>
          <w:ilvl w:val="1"/>
          <w:numId w:val="2"/>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‎INSUFFICIENT‎</w:t>
      </w:r>
      <w:r>
        <w:rPr>
          <w:rFonts w:ascii="Arial" w:cs="Arial" w:eastAsia="Arial" w:hAnsi="Arial"/>
          <w:b w:val="false"/>
          <w:bCs w:val="false"/>
          <w:sz w:val="21"/>
          <w:szCs w:val="21"/>
          <w:rtl/>
        </w:rPr>
        <w:t xml:space="preserve">: أقل من ثلاثة تصنيفات.</w:t>
      </w:r>
    </w:p>
    <w:p>
      <w:pPr>
        <w:pStyle w:val="ListParagraph"/>
        <w:numPr>
          <w:ilvl w:val="0"/>
          <w:numId w:val="2"/>
        </w:numPr>
        <w:bidi/>
        <w:spacing w:after="70" w:before="0" w:line="300"/>
      </w:pPr>
      <w:r>
        <w:rPr>
          <w:rFonts w:ascii="Arial" w:cs="Arial" w:eastAsia="Arial" w:hAnsi="Arial"/>
          <w:b w:val="false"/>
          <w:bCs w:val="false"/>
          <w:sz w:val="21"/>
          <w:szCs w:val="21"/>
          <w:rtl/>
        </w:rPr>
        <w:t xml:space="preserve">الاختبار: CA26.</w:t>
      </w:r>
    </w:p>
    <w:p>
      <w:pPr>
        <w:bidi/>
        <w:spacing w:after="60" w:before="0"/>
      </w:pPr>
    </w:p>
    <w:p>
      <w:pPr>
        <w:pStyle w:val="Heading1"/>
        <w:bidi/>
      </w:pPr>
      <w:bookmarkStart w:name="_sec16" w:id="16"/>
      <w:r>
        <w:rPr>
          <w:rFonts w:ascii="Arial" w:cs="Arial" w:eastAsia="Arial" w:hAnsi="Arial"/>
          <w:b/>
          <w:bCs/>
          <w:color w:val="1F3A5F"/>
          <w:sz w:val="32"/>
          <w:szCs w:val="32"/>
          <w:rtl/>
        </w:rPr>
        <w:t xml:space="preserve">5. ما يبقى مفتوحًا، ونتفق مع المراجعة فيه</w:t>
      </w:r>
      <w:bookmarkEnd w:id="16"/>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4668"/>
        <w:gridCol w:w="5196"/>
      </w:tblGrid>
      <w:tr>
        <w:trPr>
          <w:cantSplit/>
          <w:tblHeader/>
        </w:trPr>
        <w:tc>
          <w:tcPr>
            <w:tcW w:type="dxa" w:w="46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519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الحال</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طبقة الخدمة والواجهات</w:t>
            </w:r>
          </w:p>
        </w:tc>
        <w:tc>
          <w:tcPr>
            <w:tcW w:type="dxa" w:w="5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تُبنَ. التصميم في DOC-F01 وDOC-B07</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اختبار الحمل على أحجام NFR-SCL-01 وNFR-SCL-02</w:t>
            </w:r>
          </w:p>
        </w:tc>
        <w:tc>
          <w:tcPr>
            <w:tcW w:type="dxa" w:w="5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لم يُنفَّذ</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تمرين استعادة مقاس بأرقام فعلية</w:t>
            </w:r>
          </w:p>
        </w:tc>
        <w:tc>
          <w:tcPr>
            <w:tcW w:type="dxa" w:w="5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 كل ربع سنة (DOC-S09)، ولم يُجرَ على بيئة إنتاج</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تشغيل مراقبة قواعد AL-01 إلى AL-18</w:t>
            </w:r>
          </w:p>
        </w:tc>
        <w:tc>
          <w:tcPr>
            <w:tcW w:type="dxa" w:w="5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القواعد معرَّفة، والتشغيل ينتظر DQ-S12-1 وDQ-S12-2</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التحقق المستقل من معاملات المحرك</w:t>
            </w:r>
          </w:p>
        </w:tc>
        <w:tc>
          <w:tcPr>
            <w:tcW w:type="dxa" w:w="519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المحرك يطابق مرجع Python رقمًا برقم (142 حالة)، لكن المرجع والمعاملات من الفريق نفسه؛ والمعايرة تنتظر الخزينة</w:t>
            </w:r>
          </w:p>
        </w:tc>
      </w:tr>
      <w:tr>
        <w:trPr>
          <w:cantSplit/>
        </w:trPr>
        <w:tc>
          <w:tcPr>
            <w:tcW w:type="dxa" w:w="4668"/>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حجم البيانات المستهدف</w:t>
            </w:r>
          </w:p>
        </w:tc>
        <w:tc>
          <w:tcPr>
            <w:tcW w:type="dxa" w:w="519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إداري تطلبه المراجعة بحق، والرقمان الحاليان </w:t>
            </w:r>
            <w:r>
              <w:rPr>
                <w:rFonts w:ascii="Arial" w:cs="Arial" w:eastAsia="Arial" w:hAnsi="Arial"/>
                <w:color w:val="E0A800"/>
                <w:sz w:val="18"/>
                <w:szCs w:val="18"/>
                <w:rtl/>
              </w:rPr>
              <w:t xml:space="preserve">●</w:t>
            </w:r>
            <w:r>
              <w:rPr>
                <w:rFonts w:ascii="Arial" w:cs="Arial" w:eastAsia="Arial" w:hAnsi="Arial"/>
                <w:b w:val="false"/>
                <w:bCs w:val="false"/>
                <w:sz w:val="18"/>
                <w:szCs w:val="18"/>
                <w:rtl/>
              </w:rPr>
              <w:t xml:space="preserve"> مقترحان</w:t>
            </w:r>
          </w:p>
        </w:tc>
      </w:tr>
    </w:tbl>
    <w:p>
      <w:pPr>
        <w:bidi/>
        <w:spacing w:after="120" w:before="0"/>
      </w:pPr>
    </w:p>
    <w:p>
      <w:pPr>
        <w:pStyle w:val="Heading1"/>
        <w:bidi/>
      </w:pPr>
      <w:bookmarkStart w:name="_sec17" w:id="17"/>
      <w:r>
        <w:rPr>
          <w:rFonts w:ascii="Arial" w:cs="Arial" w:eastAsia="Arial" w:hAnsi="Arial"/>
          <w:b/>
          <w:bCs/>
          <w:color w:val="1F3A5F"/>
          <w:sz w:val="32"/>
          <w:szCs w:val="32"/>
          <w:rtl/>
        </w:rPr>
        <w:t xml:space="preserve">6. أثر ذلك على الدرجة</w:t>
      </w:r>
      <w:bookmarkEnd w:id="17"/>
    </w:p>
    <w:p>
      <w:pPr>
        <w:bidi/>
        <w:spacing w:after="110" w:before="0" w:line="312"/>
      </w:pPr>
      <w:r>
        <w:rPr>
          <w:rFonts w:ascii="Arial" w:cs="Arial" w:eastAsia="Arial" w:hAnsi="Arial"/>
          <w:b w:val="false"/>
          <w:bCs w:val="false"/>
          <w:sz w:val="21"/>
          <w:szCs w:val="21"/>
          <w:rtl/>
        </w:rPr>
        <w:t xml:space="preserve">لا نعيد ترجيح أوزان المراجع، فالترجيح حكمه. لكن البُعدين 3 (الحوكمة) و12 (التوثيق) قُدّرا على وقائع صححناها في §2:</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البُعد 3 خُفّض لغياب قيد فصل المهام، والقيد موجود.</w:t>
      </w:r>
    </w:p>
    <w:p>
      <w:pPr>
        <w:pStyle w:val="ListParagraph"/>
        <w:numPr>
          <w:ilvl w:val="0"/>
          <w:numId w:val="2"/>
        </w:numPr>
        <w:bidi/>
        <w:spacing w:after="70" w:before="0" w:line="300"/>
      </w:pPr>
      <w:r>
        <w:rPr>
          <w:rFonts w:ascii="Arial" w:cs="Arial" w:eastAsia="Arial" w:hAnsi="Arial"/>
          <w:b w:val="false"/>
          <w:bCs w:val="false"/>
          <w:sz w:val="21"/>
          <w:szCs w:val="21"/>
          <w:rtl/>
        </w:rPr>
        <w:t xml:space="preserve">البُعد 12 خُفّض لغياب المخططات، والمخططات موجودة.</w:t>
      </w:r>
    </w:p>
    <w:p>
      <w:pPr>
        <w:bidi/>
        <w:spacing w:after="60" w:before="0"/>
      </w:pPr>
    </w:p>
    <w:p>
      <w:pPr>
        <w:bidi/>
        <w:spacing w:after="110" w:before="0" w:line="312"/>
      </w:pPr>
      <w:r>
        <w:rPr>
          <w:rFonts w:ascii="Arial" w:cs="Arial" w:eastAsia="Arial" w:hAnsi="Arial"/>
          <w:b w:val="false"/>
          <w:bCs w:val="false"/>
          <w:sz w:val="21"/>
          <w:szCs w:val="21"/>
          <w:rtl/>
        </w:rPr>
        <w:t xml:space="preserve">ثم أُضيف اليوم التصديق والسبب الإلزامي والمعايرة المتراكمة. نرجو إعادة تقدير البعدين على الإيداع الحالي.</w:t>
      </w:r>
    </w:p>
    <w:p>
      <w:pPr>
        <w:pStyle w:val="Heading1"/>
        <w:bidi/>
      </w:pPr>
      <w:bookmarkStart w:name="_sec18" w:id="18"/>
      <w:r>
        <w:rPr>
          <w:rFonts w:ascii="Arial" w:cs="Arial" w:eastAsia="Arial" w:hAnsi="Arial"/>
          <w:b/>
          <w:bCs/>
          <w:color w:val="1F3A5F"/>
          <w:sz w:val="32"/>
          <w:szCs w:val="32"/>
          <w:rtl/>
        </w:rPr>
        <w:t xml:space="preserve">7. أدلة التشغيل</w:t>
      </w:r>
      <w:bookmarkEnd w:id="18"/>
    </w:p>
    <w:p>
      <w:pPr>
        <w:pStyle w:val="ListParagraph"/>
        <w:numPr>
          <w:ilvl w:val="0"/>
          <w:numId w:val="2"/>
        </w:numPr>
        <w:bidi/>
        <w:spacing w:after="70" w:before="0" w:line="300"/>
      </w:pPr>
      <w:r>
        <w:rPr>
          <w:rFonts w:ascii="Arial" w:cs="Arial" w:eastAsia="Arial" w:hAnsi="Arial"/>
          <w:b w:val="false"/>
          <w:bCs w:val="false"/>
          <w:sz w:val="21"/>
          <w:szCs w:val="21"/>
          <w:rtl/>
        </w:rPr>
        <w:t xml:space="preserve">تشغيل </w:t>
      </w:r>
      <w:r>
        <w:rPr>
          <w:rFonts w:ascii="Courier New" w:cs="Courier New" w:eastAsia="Courier New" w:hAnsi="Courier New"/>
          <w:b w:val="false"/>
          <w:bCs w:val="false"/>
          <w:color w:val="1F2937"/>
          <w:sz w:val="18"/>
          <w:szCs w:val="18"/>
          <w:shd w:fill="F1F3F5" w:color="auto" w:val="clear"/>
          <w:rtl/>
        </w:rPr>
        <w:t xml:space="preserve">‎tools/ci/db_ci.sh‎</w:t>
      </w:r>
      <w:r>
        <w:rPr>
          <w:rFonts w:ascii="Arial" w:cs="Arial" w:eastAsia="Arial" w:hAnsi="Arial"/>
          <w:b w:val="false"/>
          <w:bCs w:val="false"/>
          <w:sz w:val="21"/>
          <w:szCs w:val="21"/>
          <w:rtl/>
        </w:rPr>
        <w:t xml:space="preserve"> كاملًا على SQL Server 2025 محليًا:</w:t>
      </w:r>
    </w:p>
    <w:p>
      <w:pPr>
        <w:pStyle w:val="ListParagraph"/>
        <w:numPr>
          <w:ilvl w:val="1"/>
          <w:numId w:val="2"/>
        </w:numPr>
        <w:bidi/>
        <w:spacing w:after="70" w:before="0" w:line="300"/>
      </w:pPr>
      <w:r>
        <w:rPr>
          <w:rFonts w:ascii="Arial" w:cs="Arial" w:eastAsia="Arial" w:hAnsi="Arial"/>
          <w:b w:val="false"/>
          <w:bCs w:val="false"/>
          <w:sz w:val="21"/>
          <w:szCs w:val="21"/>
          <w:rtl/>
        </w:rPr>
        <w:t xml:space="preserve">26 اختبار تقييم عبر الجداول.</w:t>
      </w:r>
    </w:p>
    <w:p>
      <w:pPr>
        <w:pStyle w:val="ListParagraph"/>
        <w:numPr>
          <w:ilvl w:val="1"/>
          <w:numId w:val="2"/>
        </w:numPr>
        <w:bidi/>
        <w:spacing w:after="70" w:before="0" w:line="300"/>
      </w:pPr>
      <w:r>
        <w:rPr>
          <w:rFonts w:ascii="Arial" w:cs="Arial" w:eastAsia="Arial" w:hAnsi="Arial"/>
          <w:b w:val="false"/>
          <w:bCs w:val="false"/>
          <w:sz w:val="21"/>
          <w:szCs w:val="21"/>
          <w:rtl/>
        </w:rPr>
        <w:t xml:space="preserve">142 حالة مطابقة بين المحرك والمرجع.</w:t>
      </w:r>
    </w:p>
    <w:p>
      <w:pPr>
        <w:pStyle w:val="ListParagraph"/>
        <w:numPr>
          <w:ilvl w:val="1"/>
          <w:numId w:val="2"/>
        </w:numPr>
        <w:bidi/>
        <w:spacing w:after="70" w:before="0" w:line="300"/>
      </w:pPr>
      <w:r>
        <w:rPr>
          <w:rFonts w:ascii="Arial" w:cs="Arial" w:eastAsia="Arial" w:hAnsi="Arial"/>
          <w:b w:val="false"/>
          <w:bCs w:val="false"/>
          <w:sz w:val="21"/>
          <w:szCs w:val="21"/>
          <w:rtl/>
        </w:rPr>
        <w:t xml:space="preserve">«all database checks passed».</w:t>
      </w:r>
    </w:p>
    <w:p>
      <w:pPr>
        <w:pStyle w:val="ListParagraph"/>
        <w:numPr>
          <w:ilvl w:val="0"/>
          <w:numId w:val="2"/>
        </w:numPr>
        <w:bidi/>
        <w:spacing w:after="70" w:before="0" w:line="300"/>
      </w:pPr>
      <w:r>
        <w:rPr>
          <w:rFonts w:ascii="Arial" w:cs="Arial" w:eastAsia="Arial" w:hAnsi="Arial"/>
          <w:b w:val="false"/>
          <w:bCs w:val="false"/>
          <w:sz w:val="21"/>
          <w:szCs w:val="21"/>
          <w:rtl/>
        </w:rPr>
        <w:t xml:space="preserve">فحص الحزمة </w:t>
      </w:r>
      <w:r>
        <w:rPr>
          <w:rFonts w:ascii="Courier New" w:cs="Courier New" w:eastAsia="Courier New" w:hAnsi="Courier New"/>
          <w:b w:val="false"/>
          <w:bCs w:val="false"/>
          <w:color w:val="1F2937"/>
          <w:sz w:val="18"/>
          <w:szCs w:val="18"/>
          <w:shd w:fill="F1F3F5" w:color="auto" w:val="clear"/>
          <w:rtl/>
        </w:rPr>
        <w:t xml:space="preserve">‎tools/dbgen/ntf_pack.py‎</w:t>
      </w:r>
      <w:r>
        <w:rPr>
          <w:rFonts w:ascii="Arial" w:cs="Arial" w:eastAsia="Arial" w:hAnsi="Arial"/>
          <w:b w:val="false"/>
          <w:bCs w:val="false"/>
          <w:sz w:val="21"/>
          <w:szCs w:val="21"/>
          <w:rtl/>
        </w:rPr>
        <w:t xml:space="preserve"> وفحص الصلاحيات </w:t>
      </w: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ضمنه.</w:t>
      </w:r>
    </w:p>
    <w:p>
      <w:pPr>
        <w:bidi/>
        <w:spacing w:after="60" w:before="0"/>
      </w:pP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الرد على المراجعة المعمارية 3.0 · BankFas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الرد على المراجعة المعمارية النقدية (النسخة 3.0)</dc:title>
  <dc:creator>Claude</dc:creator>
  <dc:description>BankFas database design document</dc:description>
  <cp:lastModifiedBy>Un-named</cp:lastModifiedBy>
  <cp:revision>1</cp:revision>
  <dcterms:created xsi:type="dcterms:W3CDTF">2026-10-20T18:14:36.931Z</dcterms:created>
  <dcterms:modified xsi:type="dcterms:W3CDTF">2026-10-20T18:14:36.937Z</dcterms:modified>
</cp:coreProperties>
</file>

<file path=docProps/custom.xml><?xml version="1.0" encoding="utf-8"?>
<Properties xmlns="http://schemas.openxmlformats.org/officeDocument/2006/custom-properties" xmlns:vt="http://schemas.openxmlformats.org/officeDocument/2006/docPropsVTypes"/>
</file>