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منهجية التقييم الائتماني للميزانية على سلّم موديز</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2026-10-18</w:t>
            </w:r>
          </w:p>
        </w:tc>
      </w:tr>
      <w:tr>
        <w:trPr>
          <w:cantSplit/>
        </w:trPr>
        <w:tc>
          <w:tcPr>
            <w:tcW w:type="dxa" w:w="18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معايرة بالخبرة لا بالإحصاء، روجعت مراجعة آلية مستقلة وعُدّلت بها (§13)، ولم يراجعها محلل بشري بعد. تنتظر اعتماد المالك وتحقق إدارة مخاطر الائتمان في البنك (§12)</w:t>
            </w:r>
          </w:p>
        </w:tc>
      </w:tr>
      <w:tr>
        <w:trPr>
          <w:cantSplit/>
        </w:trPr>
        <w:tc>
          <w:tcPr>
            <w:tcW w:type="dxa" w:w="18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الطلب</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في 2026-10-18: «عند دراسة الميزانية يضع النظام تقييمًا شاملًا لها، ونقاط القوة بناءً على النسب المالية ومدى توافقها مع النسب، والمخاطر الناتجة في تقرير؛ والمعايير على أسس وكالة موديز: وزن لكل نسبة، ودرجات مخاطر لكل بند من الميزانية والتحليلات الناتجة عنها»</w:t>
            </w:r>
          </w:p>
        </w:tc>
      </w:tr>
      <w:tr>
        <w:trPr>
          <w:cantSplit/>
        </w:trPr>
        <w:tc>
          <w:tcPr>
            <w:tcW w:type="dxa" w:w="18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مصدر الحقيقة</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كل رقم في هذه الوثيقة منه، والجداول بين علامات </w:t>
            </w:r>
            <w:r>
              <w:rPr>
                <w:rFonts w:ascii="Courier New" w:cs="Courier New" w:eastAsia="Courier New" w:hAnsi="Courier New"/>
                <w:b w:val="false"/>
                <w:bCs w:val="false"/>
                <w:color w:val="1F2937"/>
                <w:sz w:val="16"/>
                <w:szCs w:val="16"/>
                <w:shd w:fill="F1F3F5" w:color="auto" w:val="clear"/>
                <w:rtl/>
              </w:rPr>
              <w:t xml:space="preserve">‎gen:‎</w:t>
            </w:r>
            <w:r>
              <w:rPr>
                <w:rFonts w:ascii="Arial" w:cs="Arial" w:eastAsia="Arial" w:hAnsi="Arial"/>
                <w:b w:val="false"/>
                <w:bCs w:val="false"/>
                <w:sz w:val="18"/>
                <w:szCs w:val="18"/>
                <w:rtl/>
              </w:rPr>
              <w:t xml:space="preserve"> يكتبها </w:t>
            </w:r>
            <w:r>
              <w:rPr>
                <w:rFonts w:ascii="Courier New" w:cs="Courier New" w:eastAsia="Courier New" w:hAnsi="Courier New"/>
                <w:b w:val="false"/>
                <w:bCs w:val="false"/>
                <w:color w:val="1F2937"/>
                <w:sz w:val="16"/>
                <w:szCs w:val="16"/>
                <w:shd w:fill="F1F3F5" w:color="auto" w:val="clear"/>
                <w:rtl/>
              </w:rPr>
              <w:t xml:space="preserve">‎tools/dbgen/gen_credit_seed.py --doc‎</w:t>
            </w:r>
          </w:p>
        </w:tc>
      </w:tr>
      <w:tr>
        <w:trPr>
          <w:cantSplit/>
        </w:trPr>
        <w:tc>
          <w:tcPr>
            <w:tcW w:type="dxa" w:w="18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r>
              <w:rPr>
                <w:rFonts w:ascii="Arial" w:cs="Arial" w:eastAsia="Arial" w:hAnsi="Arial"/>
                <w:b w:val="false"/>
                <w:bCs w:val="false"/>
                <w:sz w:val="18"/>
                <w:szCs w:val="18"/>
                <w:rtl/>
              </w:rPr>
              <w:t xml:space="preserve"> (الحساب والحراس والتقرير)، و</w:t>
            </w:r>
            <w:r>
              <w:rPr>
                <w:rFonts w:ascii="Courier New" w:cs="Courier New" w:eastAsia="Courier New" w:hAnsi="Courier New"/>
                <w:b w:val="false"/>
                <w:bCs w:val="false"/>
                <w:color w:val="1F2937"/>
                <w:sz w:val="16"/>
                <w:szCs w:val="16"/>
                <w:shd w:fill="F1F3F5" w:color="auto" w:val="clear"/>
                <w:rtl/>
              </w:rPr>
              <w:t xml:space="preserve">‎db/seed/104_credit_scorecard.sql‎</w:t>
            </w:r>
            <w:r>
              <w:rPr>
                <w:rFonts w:ascii="Arial" w:cs="Arial" w:eastAsia="Arial" w:hAnsi="Arial"/>
                <w:b w:val="false"/>
                <w:bCs w:val="false"/>
                <w:sz w:val="18"/>
                <w:szCs w:val="18"/>
                <w:rtl/>
              </w:rPr>
              <w:t xml:space="preserve"> (المنهجية بذرةً للمنصة)</w:t>
            </w:r>
          </w:p>
        </w:tc>
      </w:tr>
      <w:tr>
        <w:trPr>
          <w:cantSplit/>
        </w:trPr>
        <w:tc>
          <w:tcPr>
            <w:tcW w:type="dxa" w:w="18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التحقق</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يحسب الشيء نفسه بلغة Python؛ واختبارات CA1 إلى CA12 (الخطوة 19c في CI) تتوقع أرقامه؛ و</w:t>
            </w:r>
            <w:r>
              <w:rPr>
                <w:rFonts w:ascii="Courier New" w:cs="Courier New" w:eastAsia="Courier New" w:hAnsi="Courier New"/>
                <w:b w:val="false"/>
                <w:bCs w:val="false"/>
                <w:color w:val="1F2937"/>
                <w:sz w:val="16"/>
                <w:szCs w:val="16"/>
                <w:shd w:fill="F1F3F5" w:color="auto" w:val="clear"/>
                <w:rtl/>
              </w:rPr>
              <w:t xml:space="preserve">‎tools/dbgen/credit_stress.py‎</w:t>
            </w:r>
            <w:r>
              <w:rPr>
                <w:rFonts w:ascii="Arial" w:cs="Arial" w:eastAsia="Arial" w:hAnsi="Arial"/>
                <w:b w:val="false"/>
                <w:bCs w:val="false"/>
                <w:sz w:val="18"/>
                <w:szCs w:val="18"/>
                <w:rtl/>
              </w:rPr>
              <w:t xml:space="preserve"> يمرر حالات المراجعة المستقلة (الخطوة 3)</w:t>
            </w:r>
          </w:p>
        </w:tc>
      </w:tr>
      <w:tr>
        <w:trPr>
          <w:cantSplit/>
        </w:trPr>
        <w:tc>
          <w:tcPr>
            <w:tcW w:type="dxa" w:w="18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القرار المعماري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‎docs/adr/0017-credit-assessment.md‎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سلّم الدرجات</w:t>
        </w:r>
      </w:hyperlink>
    </w:p>
    <w:p>
      <w:pPr>
        <w:bidi/>
        <w:spacing w:after="50" w:before="0"/>
        <w:ind w:left="0"/>
      </w:pPr>
      <w:hyperlink w:history="1" w:anchor="_sec3">
        <w:r>
          <w:rPr>
            <w:rFonts w:ascii="Arial" w:cs="Arial" w:eastAsia="Arial" w:hAnsi="Arial"/>
            <w:b/>
            <w:bCs/>
            <w:color w:val="1F3A5F"/>
            <w:sz w:val="20"/>
            <w:szCs w:val="20"/>
            <w:rtl/>
          </w:rPr>
          <w:t xml:space="preserve">3. طريقة الحساب</w:t>
        </w:r>
      </w:hyperlink>
    </w:p>
    <w:p>
      <w:pPr>
        <w:bidi/>
        <w:spacing w:after="50" w:before="0"/>
        <w:ind w:left="0"/>
      </w:pPr>
      <w:hyperlink w:history="1" w:anchor="_sec4">
        <w:r>
          <w:rPr>
            <w:rFonts w:ascii="Arial" w:cs="Arial" w:eastAsia="Arial" w:hAnsi="Arial"/>
            <w:b/>
            <w:bCs/>
            <w:color w:val="1F3A5F"/>
            <w:sz w:val="20"/>
            <w:szCs w:val="20"/>
            <w:rtl/>
          </w:rPr>
          <w:t xml:space="preserve">4. المقاييس وتعريفاتها</w:t>
        </w:r>
      </w:hyperlink>
    </w:p>
    <w:p>
      <w:pPr>
        <w:bidi/>
        <w:spacing w:after="50" w:before="0"/>
        <w:ind w:left="0"/>
      </w:pPr>
      <w:hyperlink w:history="1" w:anchor="_sec8">
        <w:r>
          <w:rPr>
            <w:rFonts w:ascii="Arial" w:cs="Arial" w:eastAsia="Arial" w:hAnsi="Arial"/>
            <w:b/>
            <w:bCs/>
            <w:color w:val="1F3A5F"/>
            <w:sz w:val="20"/>
            <w:szCs w:val="20"/>
            <w:rtl/>
          </w:rPr>
          <w:t xml:space="preserve">5. بطاقات القطاعات</w:t>
        </w:r>
      </w:hyperlink>
    </w:p>
    <w:p>
      <w:pPr>
        <w:bidi/>
        <w:spacing w:after="50" w:before="0"/>
        <w:ind w:left="0"/>
      </w:pPr>
      <w:hyperlink w:history="1" w:anchor="_sec12">
        <w:r>
          <w:rPr>
            <w:rFonts w:ascii="Arial" w:cs="Arial" w:eastAsia="Arial" w:hAnsi="Arial"/>
            <w:b/>
            <w:bCs/>
            <w:color w:val="1F3A5F"/>
            <w:sz w:val="20"/>
            <w:szCs w:val="20"/>
            <w:rtl/>
          </w:rPr>
          <w:t xml:space="preserve">6. مخاطر بنود الميزانية</w:t>
        </w:r>
      </w:hyperlink>
    </w:p>
    <w:p>
      <w:pPr>
        <w:bidi/>
        <w:spacing w:after="50" w:before="0"/>
        <w:ind w:left="0"/>
      </w:pPr>
      <w:hyperlink w:history="1" w:anchor="_sec16">
        <w:r>
          <w:rPr>
            <w:rFonts w:ascii="Arial" w:cs="Arial" w:eastAsia="Arial" w:hAnsi="Arial"/>
            <w:b/>
            <w:bCs/>
            <w:color w:val="1F3A5F"/>
            <w:sz w:val="20"/>
            <w:szCs w:val="20"/>
            <w:rtl/>
          </w:rPr>
          <w:t xml:space="preserve">7. التعديلات وترتيبها</w:t>
        </w:r>
      </w:hyperlink>
    </w:p>
    <w:p>
      <w:pPr>
        <w:bidi/>
        <w:spacing w:after="50" w:before="0"/>
        <w:ind w:left="0"/>
      </w:pPr>
      <w:hyperlink w:history="1" w:anchor="_sec17">
        <w:r>
          <w:rPr>
            <w:rFonts w:ascii="Arial" w:cs="Arial" w:eastAsia="Arial" w:hAnsi="Arial"/>
            <w:b/>
            <w:bCs/>
            <w:color w:val="1F3A5F"/>
            <w:sz w:val="20"/>
            <w:szCs w:val="20"/>
            <w:rtl/>
          </w:rPr>
          <w:t xml:space="preserve">8. نقاط القوة والضعف والمخاطر</w:t>
        </w:r>
      </w:hyperlink>
    </w:p>
    <w:p>
      <w:pPr>
        <w:bidi/>
        <w:spacing w:after="50" w:before="0"/>
        <w:ind w:left="0"/>
      </w:pPr>
      <w:hyperlink w:history="1" w:anchor="_sec18">
        <w:r>
          <w:rPr>
            <w:rFonts w:ascii="Arial" w:cs="Arial" w:eastAsia="Arial" w:hAnsi="Arial"/>
            <w:b/>
            <w:bCs/>
            <w:color w:val="1F3A5F"/>
            <w:sz w:val="20"/>
            <w:szCs w:val="20"/>
            <w:rtl/>
          </w:rPr>
          <w:t xml:space="preserve">9. التوافق مع التعهدات والسيولة المحوَّلة</w:t>
        </w:r>
      </w:hyperlink>
    </w:p>
    <w:p>
      <w:pPr>
        <w:bidi/>
        <w:spacing w:after="50" w:before="0"/>
        <w:ind w:left="0"/>
      </w:pPr>
      <w:hyperlink w:history="1" w:anchor="_sec19">
        <w:r>
          <w:rPr>
            <w:rFonts w:ascii="Arial" w:cs="Arial" w:eastAsia="Arial" w:hAnsi="Arial"/>
            <w:b/>
            <w:bCs/>
            <w:color w:val="1F3A5F"/>
            <w:sz w:val="20"/>
            <w:szCs w:val="20"/>
            <w:rtl/>
          </w:rPr>
          <w:t xml:space="preserve">10. القابضة والقوائم الموحدة</w:t>
        </w:r>
      </w:hyperlink>
    </w:p>
    <w:p>
      <w:pPr>
        <w:bidi/>
        <w:spacing w:after="50" w:before="0"/>
        <w:ind w:left="0"/>
      </w:pPr>
      <w:hyperlink w:history="1" w:anchor="_sec20">
        <w:r>
          <w:rPr>
            <w:rFonts w:ascii="Arial" w:cs="Arial" w:eastAsia="Arial" w:hAnsi="Arial"/>
            <w:b/>
            <w:bCs/>
            <w:color w:val="1F3A5F"/>
            <w:sz w:val="20"/>
            <w:szCs w:val="20"/>
            <w:rtl/>
          </w:rPr>
          <w:t xml:space="preserve">11. التقرير</w:t>
        </w:r>
      </w:hyperlink>
    </w:p>
    <w:p>
      <w:pPr>
        <w:bidi/>
        <w:spacing w:after="50" w:before="0"/>
        <w:ind w:left="0"/>
      </w:pPr>
      <w:hyperlink w:history="1" w:anchor="_sec21">
        <w:r>
          <w:rPr>
            <w:rFonts w:ascii="Arial" w:cs="Arial" w:eastAsia="Arial" w:hAnsi="Arial"/>
            <w:b/>
            <w:bCs/>
            <w:color w:val="1F3A5F"/>
            <w:sz w:val="20"/>
            <w:szCs w:val="20"/>
            <w:rtl/>
          </w:rPr>
          <w:t xml:space="preserve">12. الحوكمة والتحقق</w:t>
        </w:r>
      </w:hyperlink>
    </w:p>
    <w:p>
      <w:pPr>
        <w:bidi/>
        <w:spacing w:after="50" w:before="0"/>
        <w:ind w:left="0"/>
      </w:pPr>
      <w:hyperlink w:history="1" w:anchor="_sec22">
        <w:r>
          <w:rPr>
            <w:rFonts w:ascii="Arial" w:cs="Arial" w:eastAsia="Arial" w:hAnsi="Arial"/>
            <w:b/>
            <w:bCs/>
            <w:color w:val="1F3A5F"/>
            <w:sz w:val="20"/>
            <w:szCs w:val="20"/>
            <w:rtl/>
          </w:rPr>
          <w:t xml:space="preserve">13. المراجعة المستقلة</w:t>
        </w:r>
      </w:hyperlink>
    </w:p>
    <w:p>
      <w:pPr>
        <w:bidi/>
        <w:spacing w:after="50" w:before="0"/>
        <w:ind w:left="0"/>
      </w:pPr>
      <w:hyperlink w:history="1" w:anchor="_sec23">
        <w:r>
          <w:rPr>
            <w:rFonts w:ascii="Arial" w:cs="Arial" w:eastAsia="Arial" w:hAnsi="Arial"/>
            <w:b/>
            <w:bCs/>
            <w:color w:val="1F3A5F"/>
            <w:sz w:val="20"/>
            <w:szCs w:val="20"/>
            <w:rtl/>
          </w:rPr>
          <w:t xml:space="preserve">14. مثال محسوب</w:t>
        </w:r>
      </w:hyperlink>
    </w:p>
    <w:p>
      <w:pPr>
        <w:bidi/>
        <w:spacing w:after="50" w:before="0"/>
        <w:ind w:left="0"/>
      </w:pPr>
      <w:hyperlink w:history="1" w:anchor="_sec24">
        <w:r>
          <w:rPr>
            <w:rFonts w:ascii="Arial" w:cs="Arial" w:eastAsia="Arial" w:hAnsi="Arial"/>
            <w:b/>
            <w:bCs/>
            <w:color w:val="1F3A5F"/>
            <w:sz w:val="20"/>
            <w:szCs w:val="20"/>
            <w:rtl/>
          </w:rPr>
          <w:t xml:space="preserve">15. أسئلة للمالك</w:t>
        </w:r>
      </w:hyperlink>
    </w:p>
    <w:p>
      <w:pPr>
        <w:bidi/>
        <w:spacing w:after="50" w:before="0"/>
        <w:ind w:left="0"/>
      </w:pPr>
      <w:hyperlink w:history="1" w:anchor="_sec25">
        <w:r>
          <w:rPr>
            <w:rFonts w:ascii="Arial" w:cs="Arial" w:eastAsia="Arial" w:hAnsi="Arial"/>
            <w:b/>
            <w:bCs/>
            <w:color w:val="1F3A5F"/>
            <w:sz w:val="20"/>
            <w:szCs w:val="20"/>
            <w:rtl/>
          </w:rPr>
          <w:t xml:space="preserve">16. حدود معروفة</w:t>
        </w:r>
      </w:hyperlink>
    </w:p>
    <w:p>
      <w:pPr>
        <w:bidi/>
        <w:spacing w:after="50" w:before="0"/>
        <w:ind w:left="0"/>
      </w:pPr>
      <w:hyperlink w:history="1" w:anchor="_sec26">
        <w:r>
          <w:rPr>
            <w:rFonts w:ascii="Arial" w:cs="Arial" w:eastAsia="Arial" w:hAnsi="Arial"/>
            <w:b/>
            <w:bCs/>
            <w:color w:val="1F3A5F"/>
            <w:sz w:val="20"/>
            <w:szCs w:val="20"/>
            <w:rtl/>
          </w:rPr>
          <w:t xml:space="preserve">17. المراجع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عند اعتماد قائمة مالية لشركة أو لقابضة، يحسب النظام من بنودها نسب التحليل الائتماني، ويضع لكل نسبة درجة على سلّم موديز، ويجمعها بأوزانها في درجة واحدة، ثم يطبق تعديلات التدقيق والقِدم والخروقات والسقوف، ويكتب تقريرًا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الدرجة النهائية وفئة مخاطرها، والدرجة المالية وحدها، والدرجة المنفردة قبل دعم المجموعة؛</w:t>
      </w:r>
    </w:p>
    <w:p>
      <w:pPr>
        <w:pStyle w:val="ListParagraph"/>
        <w:numPr>
          <w:ilvl w:val="0"/>
          <w:numId w:val="2"/>
        </w:numPr>
        <w:bidi/>
        <w:spacing w:after="70" w:before="0" w:line="300"/>
      </w:pPr>
      <w:r>
        <w:rPr>
          <w:rFonts w:ascii="Arial" w:cs="Arial" w:eastAsia="Arial" w:hAnsi="Arial"/>
          <w:b w:val="false"/>
          <w:bCs w:val="false"/>
          <w:sz w:val="21"/>
          <w:szCs w:val="21"/>
          <w:rtl/>
        </w:rPr>
        <w:t xml:space="preserve">نقاط القوة، ونقاط المراقبة، ونقاط الضعف، والمخاطر الحرجة، بنص عربي وإنجليزي؛</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بند من بنود الميزانية: قيمته، وقيمته في سنة المقارنة، وتغيّره، ونسبته من الأصول أو الإيرادات، ومستوى خطره؛</w:t>
      </w:r>
    </w:p>
    <w:p>
      <w:pPr>
        <w:pStyle w:val="ListParagraph"/>
        <w:numPr>
          <w:ilvl w:val="0"/>
          <w:numId w:val="2"/>
        </w:numPr>
        <w:bidi/>
        <w:spacing w:after="70" w:before="0" w:line="300"/>
      </w:pPr>
      <w:r>
        <w:rPr>
          <w:rFonts w:ascii="Arial" w:cs="Arial" w:eastAsia="Arial" w:hAnsi="Arial"/>
          <w:b w:val="false"/>
          <w:bCs w:val="false"/>
          <w:sz w:val="21"/>
          <w:szCs w:val="21"/>
          <w:rtl/>
        </w:rPr>
        <w:t xml:space="preserve">توافق القائمة مع التعهدات البنكية التي اختُبرت عليها، وسجل الخروقات، وأداء السيولة المحوَّلة إلى البنك.</w:t>
      </w:r>
    </w:p>
    <w:p>
      <w:pPr>
        <w:bidi/>
        <w:spacing w:after="60" w:before="0"/>
      </w:pPr>
    </w:p>
    <w:p>
      <w:pPr>
        <w:bidi/>
        <w:spacing w:after="110" w:before="0" w:line="312"/>
      </w:pPr>
      <w:r>
        <w:rPr>
          <w:rFonts w:ascii="Arial" w:cs="Arial" w:eastAsia="Arial" w:hAnsi="Arial"/>
          <w:b/>
          <w:bCs/>
          <w:sz w:val="21"/>
          <w:szCs w:val="21"/>
          <w:rtl/>
        </w:rPr>
        <w:t xml:space="preserve">ما ليس هو.</w:t>
      </w:r>
      <w:r>
        <w:rPr>
          <w:rFonts w:ascii="Arial" w:cs="Arial" w:eastAsia="Arial" w:hAnsi="Arial"/>
          <w:b w:val="false"/>
          <w:bCs w:val="false"/>
          <w:sz w:val="21"/>
          <w:szCs w:val="21"/>
          <w:rtl/>
        </w:rPr>
        <w:t xml:space="preserve"> ليس تصنيفًا صادرًا عن موديز ولا عن أي وكالة، ولا نموذجًا داخليًا معتمدًا لأغراض كفاية رأس المال، ولا يحل محل التصنيف الداخلي للبنك. يتبع طريقة البطاقات المنشورة لدى موديز: درجة لكل مقياس على خط مستمر، ووزن لكل عامل، وسلّم من 21 درجة. أما حدود كل مقياس في كل قطاع فمعايرة بخبرة المحلل للسوق السعودية، لأن شبكات موديز التفصيلية ليست متاحة لنا، ولا يصح نقلها (§17).</w:t>
      </w:r>
    </w:p>
    <w:p>
      <w:pPr>
        <w:bidi/>
        <w:spacing w:after="110" w:before="0" w:line="312"/>
      </w:pPr>
      <w:r>
        <w:rPr>
          <w:rFonts w:ascii="Arial" w:cs="Arial" w:eastAsia="Arial" w:hAnsi="Arial"/>
          <w:b/>
          <w:bCs/>
          <w:sz w:val="21"/>
          <w:szCs w:val="21"/>
          <w:rtl/>
        </w:rPr>
        <w:t xml:space="preserve">الربط بنظام التقييم الائتماني الخارجي</w:t>
      </w:r>
      <w:r>
        <w:rPr>
          <w:rFonts w:ascii="Arial" w:cs="Arial" w:eastAsia="Arial" w:hAnsi="Arial"/>
          <w:b w:val="false"/>
          <w:bCs w:val="false"/>
          <w:sz w:val="21"/>
          <w:szCs w:val="21"/>
          <w:rtl/>
        </w:rPr>
        <w:t xml:space="preserve"> يبقى مرحلة لاحقة كما قرر المالك (المواصفة 12 §11). هذا التقييم داخلي يقرؤه ذلك النظام لاحقًا بمفاتيح ثابتة.</w:t>
      </w:r>
    </w:p>
    <w:p>
      <w:pPr>
        <w:pStyle w:val="Heading1"/>
        <w:bidi/>
      </w:pPr>
      <w:bookmarkStart w:name="_sec2" w:id="2"/>
      <w:r>
        <w:rPr>
          <w:rFonts w:ascii="Arial" w:cs="Arial" w:eastAsia="Arial" w:hAnsi="Arial"/>
          <w:b/>
          <w:bCs/>
          <w:color w:val="1F3A5F"/>
          <w:sz w:val="32"/>
          <w:szCs w:val="32"/>
          <w:rtl/>
        </w:rPr>
        <w:t xml:space="preserve">2. سلّم الدرجات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5"/>
        <w:gridCol w:w="1265"/>
        <w:gridCol w:w="1054"/>
        <w:gridCol w:w="1265"/>
        <w:gridCol w:w="1476"/>
        <w:gridCol w:w="1476"/>
        <w:gridCol w:w="2063"/>
      </w:tblGrid>
      <w:tr>
        <w:trPr>
          <w:cantSplit/>
          <w:tblHeader/>
        </w:trPr>
        <w:tc>
          <w:tcPr>
            <w:tcW w:type="dxa" w:w="1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الرتبة</w:t>
            </w:r>
          </w:p>
        </w:tc>
        <w:tc>
          <w:tcPr>
            <w:tcW w:type="dxa" w:w="10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 على الخط</w:t>
            </w:r>
          </w:p>
        </w:tc>
        <w:tc>
          <w:tcPr>
            <w:tcW w:type="dxa" w:w="1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المخاطر</w:t>
            </w:r>
          </w:p>
        </w:tc>
        <w:tc>
          <w:tcPr>
            <w:tcW w:type="dxa" w:w="1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درجة استثمار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&lt; 1.5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جودة ائتمانية، وأدنى مخاطر</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Aa1</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x &lt; 2.5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x &lt; 3.5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x &lt; 4.5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x &lt; 5.5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 ≤ x &lt; 6.5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x &lt; 7.5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x &lt; 8.5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x &lt; 9.5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x &lt; 10.5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x &lt; 11.5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 x &lt; 12.5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 x &lt; 13.5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 ≤ x &lt; 14.5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 ≤ x &lt; 15.5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 ≤ x &lt; 16.5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 ≤ x &lt; 17.5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 ≤ x &lt; 18.5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 ≤ x &lt; 19.5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 19.5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للغاية، في التعثر أو قريبة منه مع احتمال استرداد</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درجة، متعثرة عادة مع احتمال استرداد ضئيل؛ لا تبلغها البطاقة بالحساب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الخط المستمر.</w:t>
      </w:r>
      <w:r>
        <w:rPr>
          <w:rFonts w:ascii="Arial" w:cs="Arial" w:eastAsia="Arial" w:hAnsi="Arial"/>
          <w:b w:val="false"/>
          <w:bCs w:val="false"/>
          <w:sz w:val="21"/>
          <w:szCs w:val="21"/>
          <w:rtl/>
        </w:rPr>
        <w:t xml:space="preserve"> لكل درجة مجال من نقطة واحدة على خط من 0.5 إلى 20.5. Aaa أقل من 1.5، ثم درجة لكل نقطة، وCa من 19.5. وفئات Aa وA وBaa وBa وB وCaa عرض كل منها ثلاث نقاط، ومنتصفاتها 3 و6 و9 و12 و15 و18، وهو ما تفعله بطاقات موديز المنشورة.</w:t>
      </w:r>
    </w:p>
    <w:p>
      <w:pPr>
        <w:pStyle w:val="ListParagraph"/>
        <w:numPr>
          <w:ilvl w:val="0"/>
          <w:numId w:val="2"/>
        </w:numPr>
        <w:bidi/>
        <w:spacing w:after="70" w:before="0" w:line="300"/>
      </w:pPr>
      <w:r>
        <w:rPr>
          <w:rFonts w:ascii="Arial" w:cs="Arial" w:eastAsia="Arial" w:hAnsi="Arial"/>
          <w:b/>
          <w:bCs/>
          <w:sz w:val="21"/>
          <w:szCs w:val="21"/>
          <w:rtl/>
        </w:rPr>
        <w:t xml:space="preserve">C</w:t>
      </w:r>
      <w:r>
        <w:rPr>
          <w:rFonts w:ascii="Arial" w:cs="Arial" w:eastAsia="Arial" w:hAnsi="Arial"/>
          <w:b w:val="false"/>
          <w:bCs w:val="false"/>
          <w:sz w:val="21"/>
          <w:szCs w:val="21"/>
          <w:rtl/>
        </w:rPr>
        <w:t xml:space="preserve"> لا تبلغها البطاقة بالحساب. هي للتعثر الفعلي، ويسجله البنك لا هذا التقييم.</w:t>
      </w:r>
    </w:p>
    <w:p>
      <w:pPr>
        <w:pStyle w:val="ListParagraph"/>
        <w:numPr>
          <w:ilvl w:val="0"/>
          <w:numId w:val="2"/>
        </w:numPr>
        <w:bidi/>
        <w:spacing w:after="70" w:before="0" w:line="300"/>
      </w:pPr>
      <w:r>
        <w:rPr>
          <w:rFonts w:ascii="Arial" w:cs="Arial" w:eastAsia="Arial" w:hAnsi="Arial"/>
          <w:b/>
          <w:bCs/>
          <w:sz w:val="21"/>
          <w:szCs w:val="21"/>
          <w:rtl/>
        </w:rPr>
        <w:t xml:space="preserve">فئات المخاطر الخمس</w:t>
      </w:r>
      <w:r>
        <w:rPr>
          <w:rFonts w:ascii="Arial" w:cs="Arial" w:eastAsia="Arial" w:hAnsi="Arial"/>
          <w:b w:val="false"/>
          <w:bCs w:val="false"/>
          <w:sz w:val="21"/>
          <w:szCs w:val="21"/>
          <w:rtl/>
        </w:rPr>
        <w:t xml:space="preserve"> للتقرير: منخفضة (Aaa إلى A3)، ومعتدلة (Baa)، وجوهرية (Ba)، ومرتفعة (B)، ومرتفعة جدًا (Caa فما دون). وآخر درجة استثمار Baa3.</w:t>
      </w:r>
    </w:p>
    <w:p>
      <w:pPr>
        <w:bidi/>
        <w:spacing w:after="60" w:before="0"/>
      </w:pPr>
    </w:p>
    <w:p>
      <w:pPr>
        <w:pStyle w:val="Heading1"/>
        <w:bidi/>
      </w:pPr>
      <w:bookmarkStart w:name="_sec3" w:id="3"/>
      <w:r>
        <w:rPr>
          <w:rFonts w:ascii="Arial" w:cs="Arial" w:eastAsia="Arial" w:hAnsi="Arial"/>
          <w:b/>
          <w:bCs/>
          <w:color w:val="1F3A5F"/>
          <w:sz w:val="32"/>
          <w:szCs w:val="32"/>
          <w:rtl/>
        </w:rPr>
        <w:t xml:space="preserve">3. طريقة الحساب</w:t>
      </w:r>
      <w:bookmarkEnd w:id="3"/>
    </w:p>
    <w:p>
      <w:pPr>
        <w:pStyle w:val="ListParagraph"/>
        <w:numPr>
          <w:ilvl w:val="0"/>
          <w:numId w:val="3"/>
        </w:numPr>
        <w:bidi/>
        <w:spacing w:after="70" w:before="0" w:line="300"/>
      </w:pPr>
      <w:r>
        <w:rPr>
          <w:rFonts w:ascii="Arial" w:cs="Arial" w:eastAsia="Arial" w:hAnsi="Arial"/>
          <w:b/>
          <w:bCs/>
          <w:sz w:val="21"/>
          <w:szCs w:val="21"/>
          <w:rtl/>
        </w:rPr>
        <w:t xml:space="preserve">المقاييس.</w:t>
      </w:r>
      <w:r>
        <w:rPr>
          <w:rFonts w:ascii="Arial" w:cs="Arial" w:eastAsia="Arial" w:hAnsi="Arial"/>
          <w:b w:val="false"/>
          <w:bCs w:val="false"/>
          <w:sz w:val="21"/>
          <w:szCs w:val="21"/>
          <w:rtl/>
        </w:rPr>
        <w:t xml:space="preserve"> يحسب النظام كل مقياس من بنود القائمة المعتمدة، وبنود قائمة المقارنة: المعتمدة للشركة والأساس ونوع الفترة نفسها قبل سنة، ما لم يحدد المحلل غيرها (§4).</w:t>
      </w:r>
    </w:p>
    <w:p>
      <w:pPr>
        <w:pStyle w:val="ListParagraph"/>
        <w:numPr>
          <w:ilvl w:val="0"/>
          <w:numId w:val="3"/>
        </w:numPr>
        <w:bidi/>
        <w:spacing w:after="70" w:before="0" w:line="300"/>
      </w:pPr>
      <w:r>
        <w:rPr>
          <w:rFonts w:ascii="Arial" w:cs="Arial" w:eastAsia="Arial" w:hAnsi="Arial"/>
          <w:b/>
          <w:bCs/>
          <w:sz w:val="21"/>
          <w:szCs w:val="21"/>
          <w:rtl/>
        </w:rPr>
        <w:t xml:space="preserve">درجة كل مقياس.</w:t>
      </w:r>
      <w:r>
        <w:rPr>
          <w:rFonts w:ascii="Arial" w:cs="Arial" w:eastAsia="Arial" w:hAnsi="Arial"/>
          <w:b w:val="false"/>
          <w:bCs w:val="false"/>
          <w:sz w:val="21"/>
          <w:szCs w:val="21"/>
          <w:rtl/>
        </w:rPr>
        <w:t xml:space="preserve"> لكل مقياس كمي في البطاقة تسعة حدود: الحد الأفضل، ثم حدود Aaa|Aa وAa|A وA|Baa وBaa|Ba وBa|B وB|Caa وCaa|Ca، ثم الحد الأسوأ. ودرجاتها على الخط 0.5 و1.5 و4.5 و7.5 و10.5 و13.5 و16.5 و19.5 و20.5. وتقع القيمة بين حدين فتأخذ درجتها بالتناسب الخطي بينهما، وما جاوز الحد الأفضل 0.5 وما جاوز الأسوأ 20.5. وترتيب الحدود يحدد الاتجاه: تصاعدي حين يكون الأدنى أفضل، وتنازلي حين يكون الأعلى أفضل.</w:t>
      </w:r>
    </w:p>
    <w:p>
      <w:pPr>
        <w:pStyle w:val="ListParagraph"/>
        <w:numPr>
          <w:ilvl w:val="0"/>
          <w:numId w:val="3"/>
        </w:numPr>
        <w:bidi/>
        <w:spacing w:after="70" w:before="0" w:line="300"/>
      </w:pPr>
      <w:r>
        <w:rPr>
          <w:rFonts w:ascii="Arial" w:cs="Arial" w:eastAsia="Arial" w:hAnsi="Arial"/>
          <w:b/>
          <w:bCs/>
          <w:sz w:val="21"/>
          <w:szCs w:val="21"/>
          <w:rtl/>
        </w:rPr>
        <w:t xml:space="preserve">العوامل النوعية.</w:t>
      </w:r>
      <w:r>
        <w:rPr>
          <w:rFonts w:ascii="Arial" w:cs="Arial" w:eastAsia="Arial" w:hAnsi="Arial"/>
          <w:b w:val="false"/>
          <w:bCs w:val="false"/>
          <w:sz w:val="21"/>
          <w:szCs w:val="21"/>
          <w:rtl/>
        </w:rPr>
        <w:t xml:space="preserve"> يعطي المحلل لكل عامل نوعي درجة من السلّم بمبرّر مكتوب، فتأخذ منتصف مجالها (Baa3 تساوي 10).</w:t>
      </w:r>
    </w:p>
    <w:p>
      <w:pPr>
        <w:pStyle w:val="ListParagraph"/>
        <w:numPr>
          <w:ilvl w:val="0"/>
          <w:numId w:val="3"/>
        </w:numPr>
        <w:bidi/>
        <w:spacing w:after="70" w:before="0" w:line="300"/>
      </w:pPr>
      <w:r>
        <w:rPr>
          <w:rFonts w:ascii="Arial" w:cs="Arial" w:eastAsia="Arial" w:hAnsi="Arial"/>
          <w:b/>
          <w:bCs/>
          <w:sz w:val="21"/>
          <w:szCs w:val="21"/>
          <w:rtl/>
        </w:rPr>
        <w:t xml:space="preserve">الدرجة المالية.</w:t>
      </w:r>
      <w:r>
        <w:rPr>
          <w:rFonts w:ascii="Arial" w:cs="Arial" w:eastAsia="Arial" w:hAnsi="Arial"/>
          <w:b w:val="false"/>
          <w:bCs w:val="false"/>
          <w:sz w:val="21"/>
          <w:szCs w:val="21"/>
          <w:rtl/>
        </w:rPr>
        <w:t xml:space="preserve"> متوسط درجات المقاييس الكمية بأوزانها، يوزَّع فيه وزن ما لم يُحسب على ما حُسب. ولا درجة إن غطت المقاييس المحسوبة أقل من 85% من الأوزان الكمية، فتكون النتيجة «بيانات غير كافية».</w:t>
      </w:r>
    </w:p>
    <w:p>
      <w:pPr>
        <w:pStyle w:val="ListParagraph"/>
        <w:numPr>
          <w:ilvl w:val="0"/>
          <w:numId w:val="3"/>
        </w:numPr>
        <w:bidi/>
        <w:spacing w:after="70" w:before="0" w:line="300"/>
      </w:pPr>
      <w:r>
        <w:rPr>
          <w:rFonts w:ascii="Arial" w:cs="Arial" w:eastAsia="Arial" w:hAnsi="Arial"/>
          <w:b/>
          <w:bCs/>
          <w:sz w:val="21"/>
          <w:szCs w:val="21"/>
          <w:rtl/>
        </w:rPr>
        <w:t xml:space="preserve">الدرجة المؤشرة.</w:t>
      </w:r>
      <w:r>
        <w:rPr>
          <w:rFonts w:ascii="Arial" w:cs="Arial" w:eastAsia="Arial" w:hAnsi="Arial"/>
          <w:b w:val="false"/>
          <w:bCs w:val="false"/>
          <w:sz w:val="21"/>
          <w:szCs w:val="21"/>
          <w:rtl/>
        </w:rPr>
        <w:t xml:space="preserve"> متوسط كل المقاييس بأوزانها، الكمية والنوعية. ولا درجة نهائية قبل أن يُدخل المحلل العاملين النوعيين، فتكون النتيجة «استرشادية» بالدرجة المالية وحدها، ولا تُقدَّم للاعتماد. وكل درجة نوعية تبعد عن الدرجة المالية أكثر من ثلاث درجات تحتاج مستندًا مؤيدًا، وإلا رُفض الحساب. والسبب أن الشركة تقيّم نفسها (§12).</w:t>
      </w:r>
    </w:p>
    <w:p>
      <w:pPr>
        <w:pStyle w:val="ListParagraph"/>
        <w:numPr>
          <w:ilvl w:val="0"/>
          <w:numId w:val="3"/>
        </w:numPr>
        <w:bidi/>
        <w:spacing w:after="70" w:before="0" w:line="300"/>
      </w:pPr>
      <w:r>
        <w:rPr>
          <w:rFonts w:ascii="Arial" w:cs="Arial" w:eastAsia="Arial" w:hAnsi="Arial"/>
          <w:b/>
          <w:bCs/>
          <w:sz w:val="21"/>
          <w:szCs w:val="21"/>
          <w:rtl/>
        </w:rPr>
        <w:t xml:space="preserve">التنزيل.</w:t>
      </w:r>
      <w:r>
        <w:rPr>
          <w:rFonts w:ascii="Arial" w:cs="Arial" w:eastAsia="Arial" w:hAnsi="Arial"/>
          <w:b w:val="false"/>
          <w:bCs w:val="false"/>
          <w:sz w:val="21"/>
          <w:szCs w:val="21"/>
          <w:rtl/>
        </w:rPr>
        <w:t xml:space="preserve"> تُطبق كل قاعدة تنزيل تنطبق (§7)، وكل تنزيل يزيد الرتبة درجة.</w:t>
      </w:r>
    </w:p>
    <w:p>
      <w:pPr>
        <w:pStyle w:val="ListParagraph"/>
        <w:numPr>
          <w:ilvl w:val="0"/>
          <w:numId w:val="3"/>
        </w:numPr>
        <w:bidi/>
        <w:spacing w:after="70" w:before="0" w:line="300"/>
      </w:pPr>
      <w:r>
        <w:rPr>
          <w:rFonts w:ascii="Arial" w:cs="Arial" w:eastAsia="Arial" w:hAnsi="Arial"/>
          <w:b/>
          <w:bCs/>
          <w:sz w:val="21"/>
          <w:szCs w:val="21"/>
          <w:rtl/>
        </w:rPr>
        <w:t xml:space="preserve">السقوف المنفردة.</w:t>
      </w:r>
      <w:r>
        <w:rPr>
          <w:rFonts w:ascii="Arial" w:cs="Arial" w:eastAsia="Arial" w:hAnsi="Arial"/>
          <w:b w:val="false"/>
          <w:bCs w:val="false"/>
          <w:sz w:val="21"/>
          <w:szCs w:val="21"/>
          <w:rtl/>
        </w:rPr>
        <w:t xml:space="preserve"> تُطبق السقوف التي تخص المنشأة نفسها: الاستمرارية، وحقوق الملكية السالبة، وخسارة نصف رأس المال، والحجم، والقطاع. فلا تكون الدرجة أفضل من أشدها، وتنتج </w:t>
      </w:r>
      <w:r>
        <w:rPr>
          <w:rFonts w:ascii="Arial" w:cs="Arial" w:eastAsia="Arial" w:hAnsi="Arial"/>
          <w:b/>
          <w:bCs/>
          <w:sz w:val="21"/>
          <w:szCs w:val="21"/>
          <w:rtl/>
        </w:rPr>
        <w:t xml:space="preserve">الدرجة المنفردة</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دعم المجموعة.</w:t>
      </w:r>
      <w:r>
        <w:rPr>
          <w:rFonts w:ascii="Arial" w:cs="Arial" w:eastAsia="Arial" w:hAnsi="Arial"/>
          <w:b w:val="false"/>
          <w:bCs w:val="false"/>
          <w:sz w:val="21"/>
          <w:szCs w:val="21"/>
          <w:rtl/>
        </w:rPr>
        <w:t xml:space="preserve"> للتابعة رفع درجة أو درجتين من التقييم المعتمد للأم أو للقابضة التي توحّدها، على ألا يكون أقدم من 12 شهرًا. والرفع لا يتجاوز درجة الأم، ولا يخفض الدرجة أبدًا.</w:t>
      </w:r>
    </w:p>
    <w:p>
      <w:pPr>
        <w:pStyle w:val="ListParagraph"/>
        <w:numPr>
          <w:ilvl w:val="0"/>
          <w:numId w:val="3"/>
        </w:numPr>
        <w:bidi/>
        <w:spacing w:after="70" w:before="0" w:line="300"/>
      </w:pPr>
      <w:r>
        <w:rPr>
          <w:rFonts w:ascii="Arial" w:cs="Arial" w:eastAsia="Arial" w:hAnsi="Arial"/>
          <w:b/>
          <w:bCs/>
          <w:sz w:val="21"/>
          <w:szCs w:val="21"/>
          <w:rtl/>
        </w:rPr>
        <w:t xml:space="preserve">تجاوز المحلل.</w:t>
      </w:r>
      <w:r>
        <w:rPr>
          <w:rFonts w:ascii="Arial" w:cs="Arial" w:eastAsia="Arial" w:hAnsi="Arial"/>
          <w:b w:val="false"/>
          <w:bCs w:val="false"/>
          <w:sz w:val="21"/>
          <w:szCs w:val="21"/>
          <w:rtl/>
        </w:rPr>
        <w:t xml:space="preserve"> تنزيل درجة أو درجتين، أو رفع درجة واحدة، بمبرّر مكتوب. وحد الرفع درجة واحدة لأن الشركة تقيّم نفسها.</w:t>
      </w:r>
    </w:p>
    <w:p>
      <w:pPr>
        <w:pStyle w:val="ListParagraph"/>
        <w:numPr>
          <w:ilvl w:val="0"/>
          <w:numId w:val="3"/>
        </w:numPr>
        <w:bidi/>
        <w:spacing w:after="70" w:before="0" w:line="300"/>
      </w:pPr>
      <w:r>
        <w:rPr>
          <w:rFonts w:ascii="Arial" w:cs="Arial" w:eastAsia="Arial" w:hAnsi="Arial"/>
          <w:b/>
          <w:bCs/>
          <w:sz w:val="21"/>
          <w:szCs w:val="21"/>
          <w:rtl/>
        </w:rPr>
        <w:t xml:space="preserve">السقوف المطلقة.</w:t>
      </w:r>
      <w:r>
        <w:rPr>
          <w:rFonts w:ascii="Arial" w:cs="Arial" w:eastAsia="Arial" w:hAnsi="Arial"/>
          <w:b w:val="false"/>
          <w:bCs w:val="false"/>
          <w:sz w:val="21"/>
          <w:szCs w:val="21"/>
          <w:rtl/>
        </w:rPr>
        <w:t xml:space="preserve"> رأي المراجع السلبي أو الامتناع عن الرأي (Caa1)، والسقف السيادي للمملكة (Aa3). لا يتجاوزها دعم ولا تجاوز.</w:t>
      </w:r>
    </w:p>
    <w:p>
      <w:pPr>
        <w:bidi/>
        <w:spacing w:after="60" w:before="0"/>
      </w:pPr>
    </w:p>
    <w:p>
      <w:pPr>
        <w:bidi/>
        <w:spacing w:after="110" w:before="0" w:line="312"/>
      </w:pPr>
      <w:r>
        <w:rPr>
          <w:rFonts w:ascii="Arial" w:cs="Arial" w:eastAsia="Arial" w:hAnsi="Arial"/>
          <w:b w:val="false"/>
          <w:bCs w:val="false"/>
          <w:sz w:val="21"/>
          <w:szCs w:val="21"/>
          <w:rtl/>
        </w:rPr>
        <w:t xml:space="preserve">والدرجة النهائية بين Aaa وCa. ويحفظ التقييم لقطة كاملة لما قرأه: البنود، ومعامل التحويل إلى سنة، وسعر الصرف، وإصدار البطاقة.</w:t>
      </w:r>
    </w:p>
    <w:p>
      <w:pPr>
        <w:pStyle w:val="Heading1"/>
        <w:bidi/>
      </w:pPr>
      <w:bookmarkStart w:name="_sec4" w:id="4"/>
      <w:r>
        <w:rPr>
          <w:rFonts w:ascii="Arial" w:cs="Arial" w:eastAsia="Arial" w:hAnsi="Arial"/>
          <w:b/>
          <w:bCs/>
          <w:color w:val="1F3A5F"/>
          <w:sz w:val="32"/>
          <w:szCs w:val="32"/>
          <w:rtl/>
        </w:rPr>
        <w:t xml:space="preserve">4. المقاييس وتعريفاتها</w:t>
      </w:r>
      <w:bookmarkEnd w:id="4"/>
    </w:p>
    <w:p>
      <w:pPr>
        <w:pStyle w:val="Heading2"/>
        <w:bidi/>
      </w:pPr>
      <w:bookmarkStart w:name="_sec5" w:id="5"/>
      <w:r>
        <w:rPr>
          <w:rFonts w:ascii="Arial" w:cs="Arial" w:eastAsia="Arial" w:hAnsi="Arial"/>
          <w:b/>
          <w:bCs/>
          <w:color w:val="2B5C8A"/>
          <w:sz w:val="26"/>
          <w:szCs w:val="26"/>
          <w:rtl/>
        </w:rPr>
        <w:t xml:space="preserve">4.1 الكميات الأساسية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71"/>
        <w:gridCol w:w="6293"/>
      </w:tblGrid>
      <w:tr>
        <w:trPr>
          <w:cantSplit/>
          <w:tblHeader/>
        </w:trPr>
        <w:tc>
          <w:tcPr>
            <w:tcW w:type="dxa" w:w="3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الكمية</w:t>
            </w:r>
          </w:p>
        </w:tc>
        <w:tc>
          <w:tcPr>
            <w:tcW w:type="dxa" w:w="6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w:t>
            </w:r>
          </w:p>
        </w:tc>
        <w:tc>
          <w:tcPr>
            <w:tcW w:type="dxa" w:w="6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 الاستهلاك والإطفاء (كل الاستهلاك ومنه حق الاستخدام)، فلا يتأثر بإدراج الاستهلاك في تكلفة المبيعات. وبلا الربح التشغيلي يُقرأ بند EBITDA</w:t>
            </w:r>
          </w:p>
        </w:tc>
      </w:tr>
      <w:tr>
        <w:trPr>
          <w:cantSplit/>
        </w:trPr>
        <w:tc>
          <w:tcPr>
            <w:tcW w:type="dxa" w:w="3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الدين</w:t>
            </w:r>
          </w:p>
        </w:tc>
        <w:tc>
          <w:tcPr>
            <w:tcW w:type="dxa" w:w="6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الجزء المتداول من القروض طويلة الأجل + القروض طويلة الأجل + التزامات الإيجار + المستحق لأطراف ذات علاقة غير المساند. ويدخل فيه التمويل بالمرابحة والتورق والإجارة والصكوك أينما عُرض</w:t>
            </w:r>
          </w:p>
        </w:tc>
      </w:tr>
      <w:tr>
        <w:trPr>
          <w:cantSplit/>
        </w:trPr>
        <w:tc>
          <w:tcPr>
            <w:tcW w:type="dxa" w:w="3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وشبهها</w:t>
            </w:r>
          </w:p>
        </w:tc>
        <w:tc>
          <w:tcPr>
            <w:tcW w:type="dxa" w:w="6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ولا تُقبل القروض مساندةً إلا بخطاب تبعية لصالح البنوك (يتحقق منه المحلل)</w:t>
            </w:r>
          </w:p>
        </w:tc>
      </w:tr>
      <w:tr>
        <w:trPr>
          <w:cantSplit/>
        </w:trPr>
        <w:tc>
          <w:tcPr>
            <w:tcW w:type="dxa" w:w="3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الملموسة المعدَّلة</w:t>
            </w:r>
          </w:p>
        </w:tc>
        <w:tc>
          <w:tcPr>
            <w:tcW w:type="dxa" w:w="6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وشبهها − الأصول غير الملموسة − المستحق من أطراف ذات علاقة − احتياطي إعادة التقييم</w:t>
            </w:r>
          </w:p>
        </w:tc>
      </w:tr>
      <w:tr>
        <w:trPr>
          <w:cantSplit/>
        </w:trPr>
        <w:tc>
          <w:tcPr>
            <w:tcW w:type="dxa" w:w="3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6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 + خطابات الضمان الحسنة التنفيذ + خطابات الضمان المالية + الكفالات المقدَّمة للغير، بالقيمة الإجمالية</w:t>
            </w:r>
          </w:p>
        </w:tc>
      </w:tr>
      <w:tr>
        <w:trPr>
          <w:cantSplit/>
        </w:trPr>
        <w:tc>
          <w:tcPr>
            <w:tcW w:type="dxa" w:w="3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الفترة المرحلية</w:t>
            </w:r>
          </w:p>
        </w:tc>
        <w:tc>
          <w:tcPr>
            <w:tcW w:type="dxa" w:w="6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الدخل والتدفقات تُحوَّل إلى سنة بمعامل 12 ÷ أشهر الفترة. وأيام الدوران على 365 يومًا</w:t>
            </w:r>
          </w:p>
        </w:tc>
      </w:tr>
      <w:tr>
        <w:trPr>
          <w:cantSplit/>
        </w:trPr>
        <w:tc>
          <w:tcPr>
            <w:tcW w:type="dxa" w:w="3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التدفقات</w:t>
            </w:r>
          </w:p>
        </w:tc>
        <w:tc>
          <w:tcPr>
            <w:tcW w:type="dxa" w:w="6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مقدَّمة إن كان فيها بند غير صفري. وما لم يُدخل من بنودها صفر، فلا يُسقط غياب بند واحد قائمة كاملة</w:t>
            </w:r>
          </w:p>
        </w:tc>
      </w:tr>
      <w:tr>
        <w:trPr>
          <w:cantSplit/>
        </w:trPr>
        <w:tc>
          <w:tcPr>
            <w:tcW w:type="dxa" w:w="3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الاختيارية</w:t>
            </w:r>
          </w:p>
        </w:tc>
        <w:tc>
          <w:tcPr>
            <w:tcW w:type="dxa" w:w="6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الاثنا عشر المضافة للتقييم (§4.3) صفر إن لم تُدخل. أما البنود الأساسية الـ39 فغيابها يجعل المقياس الذي يحتاجها «لا يُحسب»</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قاموس المقاييس</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9"/>
        <w:gridCol w:w="1464"/>
        <w:gridCol w:w="988"/>
        <w:gridCol w:w="1024"/>
        <w:gridCol w:w="2579"/>
      </w:tblGrid>
      <w:tr>
        <w:trPr>
          <w:cantSplit/>
          <w:tblHeader/>
        </w:trPr>
        <w:tc>
          <w:tcPr>
            <w:tcW w:type="dxa" w:w="3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2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السنوية بعملة البطاقة وبوحدتها (مليون): الإيرادات × معامل التحويل إلى سنة × سعر الصرف ÷ وحدة البطاقة. إيرادات غير موجبة: أسوأ درجة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(الربح التشغيلي + الاستهلاك والإطفاء) ÷ الإيرادات × 100. إيرادات غير موجبة: لا يُحسب</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السنوي ÷ متوسط إجمالي الأصول في الفترتين (أو أصول نهاية الفترة بلا قائمة مقارنة) × 100</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إلى EBITDA</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الدين ÷ EBITDA السنوي. إجمالي الدين = القروض قصيرة الأجل + القبولات البنكية + الجزء المتداول + القروض طويلة الأجل + التزامات الإيجار + المستحق لأطراف ذات علاقة غير المساند (ويدخل فيه التمويل بالمرابحة والتورق والإجارة والصكوك أينما عُرض). لا دين مع EBITDA موجب: أفضل درجة؛ لا دين مع EBITDA غير موجب، أو EBITDA غير موجب مع دين: أسوأ درجة</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إلى صافي الثروة الملموسة المعدَّلة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 − قروض الشركاء المساندة) ÷ صافي الثروة الملموسة المعدَّلة. صافي الثروة الملموسة المعدَّلة = إجمالي حقوق الملكية + قروض الشركاء المساندة − الأصول غير الملموسة − المستحق من أطراف ذات علاقة − احتياطي إعادة التقييم. صافي ثروة غير موجب: أسوأ درجة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 تكاليف التمويل (الأعلى من المصروف في قائمة الدخل والمدفوع في قائمة التدفقات، فلا تُفلت الأرباح المرسملة). لا تكاليف مع EBITDA موجب: أفضل درجة؛ وإلا مع EBITDA غير موجب: أسوأ درجة</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 الزكاة والضريبة) ÷ (أقساط أصل الدين المجدولة + تكاليف التمويل). الأقساط المجدولة = الجزء المتداول من القروض طويلة الأجل في قائمة المقارنة، وإلا في القائمة نفسها؛ لا أقساط أصل الدين المسددة في قائمة التدفقات، لأنها تشمل تدوير المرابحات قصيرة الأجل. لا خدمة دين مع بسط موجب: أفضل درجة؛ وإلا بسط غير موجب: أسوأ درجة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(متوسط السنتين إن كان للمقارنة قائمة تدفقات) ÷ إجمالي الدين × 100. تُعد قائمة التدفقات مقدَّمة إن كان فيها بند غير صفري، والناقص منها صفر؛ لا دين مع تدفق غير سالب: أفضل درجة، ومع تدفق سالب: أسوأ درجة</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المتداولة ÷ إجمالي الخصوم المتداولة. لا خصوم متداولة: أفضل درجة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 أيام المخزون − أيام السداد. أيام التحصيل = (الذمم المدينة + أصول العقود والمحتجزات) ÷ الإيرادات × 365؛ والمخزون والسداد على تكلفة المبيعات. إيرادات أو تكلفة غير موجبة: لا يُحسب</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 بدرجة من السلّم، بمبرّر مكتوب: مكانة الشركة في سوقها، وتنوّع منتجاتها وعملائها ومورديها وأسواقها، واستقرار الطلب ومخاطر القطاع، والاعتماد على عميل أو عقد واحد</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 بدرجة من السلّم، بمبرّر مكتوب: سياسة التوزيعات والاستحواذات والرفع المستهدف، وجودة الحوكمة والإفصاح وتوقيت القوائم، وتعاملات الأطراف ذات العلاقة، وسجل الالتزام مع البنوك</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النقد للدين قصير الأجل</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 (القروض قصيرة الأجل + القبولات البنكية + الجزء المتداول). لا دين قصير الأجل: منخفضة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 أصول العقود والمحتجزات) ÷ الإيرادات السنوية × 365. إيرادات غير موجبة: لا يُحسب</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 تكلفة المبيعات السنوية × 365. تكلفة مبيعات غير موجبة: لا يُحسب</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 تكلفة المبيعات السنوية × 365. الأيام الطويلة تدل على تأخر السداد للموردين</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أطراف ذات علاقة ÷ (إجمالي حقوق الملكية + قروض الشركاء المساندة − الأصول غير الملموسة) × 100. أساس غير موجب مع مستحق: حرجة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 ÷ (إجمالي حقوق الملكية + قروض الشركاء المساندة) × 100. أساس غير موجب مع أصول غير ملموسة: حرجة</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إلى إجمالي الأصول</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 الخصوم المتداولة) ÷ إجمالي الأصول × 100. السالب يدل على تمويل أصول طويلة بخصوم قصيرة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الجزء المتداول) ÷ إجمالي الدين × 100: مخاطر إعادة التمويل خلال سنة. لا دين: منخفضة</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 الجزء المتداول من القروض طويلة الأجل. يلزم قائمة تدفقات؛ لا أقساط مستحقة: منخفضة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السالبة (بالقيمة المطلقة) ÷ رأس المال × 100. أرباح مبقاة غير سالبة: منخفضة. بلوغ النصف يستوجب إجراءات نظام الشركات</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 إجمالي الأصول × 100</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إيرادات الفترة المقارنة) ÷ إيرادات الفترة المقارنة × 100، بعد التحويل إلى سنة. تلزم قائمة مقارنة</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 ناقص هامشه في الفترة المقارنة، بالنقاط المئوية. تلزم قائمة مقارنة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 الإيرادات × 100</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 EBITDA × 100: جودة الأرباح. يلزم قائمة تدفقات؛ EBITDA غير موجب مع تدفق سالب: حرجة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 صافي الربح × 100. لا توزيعات مع ربح: منخفضة؛ لا توزيعات ولا ربح: لا يُقيَّم؛ توزيعات مع ربح غير موجب: حرجة</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 + خطابات الضمان الحسنة التنفيذ + خطابات الضمان المالية + الكفالات المقدَّمة للغير) ÷ صافي الثروة الملموسة المعدَّلة، بالقيمة الإجمالية. صافي الثروة الملموسة المعدَّلة = إجمالي حقوق الملكية + قروض الشركاء المساندة − الأصول غير الملموسة − المستحق من أطراف ذات علاقة − احتياطي إعادة التقييم. صافي ثروة غير موجب مع التزامات: أسوأ درجة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(الذمم المدينة + المخزون) × 100: هل تغطي الأصول ذاتية التسييل خطوط التجارة. لا أصول تجارية مع دين: حرجة</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 غير الممول ÷ صافي الثروة الملموسة المعدَّلة × 100: التزام شبيه بالدين. صافي ثروة غير موجب مع مخصص: حرجة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 ÷ صافي الثروة الملموسة المعدَّلة × 100. صافي ثروة غير موجب مع ربوط: حرجة</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المساند ÷ صافي الثروة الملموسة المعدَّلة × 100: تمويل قد يُسحب قبل البنوك. صافي ثروة غير موجب مع مستحق: حرجة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 إجمالي الأصول المتداولة × 100: قد تخفي دفعات مقدمة لأطراف ذات علاقة. لا أصول متداولة: لا يُحسب</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 الإيرادات السنوية × 100. إيرادات غير موجبة: لا يُحسب</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والضمانات المقدَّمة لالتزامات أطراف أخرى (غالبًا ذات علاقة) ÷ صافي الثروة الملموسة المعدَّلة × 100. صافي ثروة غير موجب مع كفالات: حرجة</w:t>
            </w:r>
          </w:p>
        </w:tc>
      </w:tr>
    </w:tbl>
    <w:p>
      <w:pPr>
        <w:bidi/>
        <w:spacing w:after="120" w:before="0"/>
      </w:pPr>
    </w:p>
    <w:p>
      <w:pPr>
        <w:bidi/>
        <w:spacing w:after="110" w:before="0" w:line="312"/>
      </w:pPr>
      <w:r>
        <w:rPr>
          <w:rFonts w:ascii="Arial" w:cs="Arial" w:eastAsia="Arial" w:hAnsi="Arial"/>
          <w:b/>
          <w:bCs/>
          <w:sz w:val="21"/>
          <w:szCs w:val="21"/>
          <w:rtl/>
        </w:rPr>
        <w:t xml:space="preserve">الحالات الحدية.</w:t>
      </w:r>
      <w:r>
        <w:rPr>
          <w:rFonts w:ascii="Arial" w:cs="Arial" w:eastAsia="Arial" w:hAnsi="Arial"/>
          <w:b w:val="false"/>
          <w:bCs w:val="false"/>
          <w:sz w:val="21"/>
          <w:szCs w:val="21"/>
          <w:rtl/>
        </w:rPr>
        <w:t xml:space="preserve"> النسبة التي لا معنى لها تأخذ طرف الخط بحالة «طرفية» وسبب مكتوب، ولا تُترك فارغة: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دين مع EBITDA موجب: أفضل درجة للرفع والتغطية وخدمة الدين؛ ولا دين مع EBITDA سالب: أسوأها، فلا يكسب الخاسر بلا دين درجات الرفع (§13).</w:t>
      </w:r>
    </w:p>
    <w:p>
      <w:pPr>
        <w:pStyle w:val="ListParagraph"/>
        <w:numPr>
          <w:ilvl w:val="0"/>
          <w:numId w:val="2"/>
        </w:numPr>
        <w:bidi/>
        <w:spacing w:after="70" w:before="0" w:line="300"/>
      </w:pPr>
      <w:r>
        <w:rPr>
          <w:rFonts w:ascii="Arial" w:cs="Arial" w:eastAsia="Arial" w:hAnsi="Arial"/>
          <w:b w:val="false"/>
          <w:bCs w:val="false"/>
          <w:sz w:val="21"/>
          <w:szCs w:val="21"/>
          <w:rtl/>
        </w:rPr>
        <w:t xml:space="preserve">صافي ثروة غير موجب: أسوأ درجة لهيكل رأس المال.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بلا تدفقات: المقاييس التي تحتاجها «لا تُحسب»، ويُنزَّل التقييم درجة (§7).</w:t>
      </w:r>
    </w:p>
    <w:p>
      <w:pPr>
        <w:bidi/>
        <w:spacing w:after="60" w:before="0"/>
      </w:pPr>
    </w:p>
    <w:p>
      <w:pPr>
        <w:pStyle w:val="Heading2"/>
        <w:bidi/>
      </w:pPr>
      <w:bookmarkStart w:name="_sec7" w:id="7"/>
      <w:r>
        <w:rPr>
          <w:rFonts w:ascii="Arial" w:cs="Arial" w:eastAsia="Arial" w:hAnsi="Arial"/>
          <w:b/>
          <w:bCs/>
          <w:color w:val="2B5C8A"/>
          <w:sz w:val="26"/>
          <w:szCs w:val="26"/>
          <w:rtl/>
        </w:rPr>
        <w:t xml:space="preserve">4.3 البنود المضافة إلى كتالوج القوائم</w:t>
      </w:r>
      <w:bookmarkEnd w:id="7"/>
    </w:p>
    <w:p>
      <w:pPr>
        <w:bidi/>
        <w:spacing w:after="110" w:before="0" w:line="312"/>
      </w:pPr>
      <w:r>
        <w:rPr>
          <w:rFonts w:ascii="Arial" w:cs="Arial" w:eastAsia="Arial" w:hAnsi="Arial"/>
          <w:b w:val="false"/>
          <w:bCs w:val="false"/>
          <w:sz w:val="21"/>
          <w:szCs w:val="21"/>
          <w:rtl/>
        </w:rPr>
        <w:t xml:space="preserve">أُضيف إلى البنود الـ39 في المواصفة 12 اثنا عشر بندًا اختياريًا، فصار الكتالوج 51 بندًا:</w:t>
      </w:r>
    </w:p>
    <w:p>
      <w:pPr>
        <w:pStyle w:val="ListParagraph"/>
        <w:numPr>
          <w:ilvl w:val="0"/>
          <w:numId w:val="2"/>
        </w:numPr>
        <w:bidi/>
        <w:spacing w:after="70" w:before="0" w:line="300"/>
      </w:pPr>
      <w:r>
        <w:rPr>
          <w:rFonts w:ascii="Arial" w:cs="Arial" w:eastAsia="Arial" w:hAnsi="Arial"/>
          <w:b/>
          <w:bCs/>
          <w:sz w:val="21"/>
          <w:szCs w:val="21"/>
          <w:rtl/>
        </w:rPr>
        <w:t xml:space="preserve">أصول:</w:t>
      </w:r>
      <w:r>
        <w:rPr>
          <w:rFonts w:ascii="Arial" w:cs="Arial" w:eastAsia="Arial" w:hAnsi="Arial"/>
          <w:b w:val="false"/>
          <w:bCs w:val="false"/>
          <w:sz w:val="21"/>
          <w:szCs w:val="21"/>
          <w:rtl/>
        </w:rPr>
        <w:t xml:space="preserve"> أصول العقود والمحتجزات </w:t>
      </w:r>
      <w:r>
        <w:rPr>
          <w:rFonts w:ascii="Courier New" w:cs="Courier New" w:eastAsia="Courier New" w:hAnsi="Courier New"/>
          <w:b w:val="false"/>
          <w:bCs w:val="false"/>
          <w:color w:val="1F2937"/>
          <w:sz w:val="18"/>
          <w:szCs w:val="18"/>
          <w:shd w:fill="F1F3F5" w:color="auto" w:val="clear"/>
          <w:rtl/>
        </w:rPr>
        <w:t xml:space="preserve">‎CONTRACT_ASSETS‎</w:t>
      </w:r>
      <w:r>
        <w:rPr>
          <w:rFonts w:ascii="Arial" w:cs="Arial" w:eastAsia="Arial" w:hAnsi="Arial"/>
          <w:b w:val="false"/>
          <w:bCs w:val="false"/>
          <w:sz w:val="21"/>
          <w:szCs w:val="21"/>
          <w:rtl/>
        </w:rPr>
        <w:t xml:space="preserve">، والمستحق من أطراف ذات علاقة </w:t>
      </w:r>
      <w:r>
        <w:rPr>
          <w:rFonts w:ascii="Courier New" w:cs="Courier New" w:eastAsia="Courier New" w:hAnsi="Courier New"/>
          <w:b w:val="false"/>
          <w:bCs w:val="false"/>
          <w:color w:val="1F2937"/>
          <w:sz w:val="18"/>
          <w:szCs w:val="18"/>
          <w:shd w:fill="F1F3F5" w:color="auto" w:val="clear"/>
          <w:rtl/>
        </w:rPr>
        <w:t xml:space="preserve">‎DUE_FROM_RELATED‎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خصوم:</w:t>
      </w:r>
      <w:r>
        <w:rPr>
          <w:rFonts w:ascii="Arial" w:cs="Arial" w:eastAsia="Arial" w:hAnsi="Arial"/>
          <w:b w:val="false"/>
          <w:bCs w:val="false"/>
          <w:sz w:val="21"/>
          <w:szCs w:val="21"/>
          <w:rtl/>
        </w:rPr>
        <w:t xml:space="preserve"> القبولات البنكية </w:t>
      </w:r>
      <w:r>
        <w:rPr>
          <w:rFonts w:ascii="Courier New" w:cs="Courier New" w:eastAsia="Courier New" w:hAnsi="Courier New"/>
          <w:b w:val="false"/>
          <w:bCs w:val="false"/>
          <w:color w:val="1F2937"/>
          <w:sz w:val="18"/>
          <w:szCs w:val="18"/>
          <w:shd w:fill="F1F3F5" w:color="auto" w:val="clear"/>
          <w:rtl/>
        </w:rPr>
        <w:t xml:space="preserve">‎BANK_ACCEPTANCES‎</w:t>
      </w:r>
      <w:r>
        <w:rPr>
          <w:rFonts w:ascii="Arial" w:cs="Arial" w:eastAsia="Arial" w:hAnsi="Arial"/>
          <w:b w:val="false"/>
          <w:bCs w:val="false"/>
          <w:sz w:val="21"/>
          <w:szCs w:val="21"/>
          <w:rtl/>
        </w:rPr>
        <w:t xml:space="preserve">، والمستحق لأطراف ذات علاقة </w:t>
      </w:r>
      <w:r>
        <w:rPr>
          <w:rFonts w:ascii="Courier New" w:cs="Courier New" w:eastAsia="Courier New" w:hAnsi="Courier New"/>
          <w:b w:val="false"/>
          <w:bCs w:val="false"/>
          <w:color w:val="1F2937"/>
          <w:sz w:val="18"/>
          <w:szCs w:val="18"/>
          <w:shd w:fill="F1F3F5" w:color="auto" w:val="clear"/>
          <w:rtl/>
        </w:rPr>
        <w:t xml:space="preserve">‎DUE_TO_RELATED‎</w:t>
      </w:r>
      <w:r>
        <w:rPr>
          <w:rFonts w:ascii="Arial" w:cs="Arial" w:eastAsia="Arial" w:hAnsi="Arial"/>
          <w:b w:val="false"/>
          <w:bCs w:val="false"/>
          <w:sz w:val="21"/>
          <w:szCs w:val="21"/>
          <w:rtl/>
        </w:rPr>
        <w:t xml:space="preserve">، وقروض الشركاء المساندة </w:t>
      </w:r>
      <w:r>
        <w:rPr>
          <w:rFonts w:ascii="Courier New" w:cs="Courier New" w:eastAsia="Courier New" w:hAnsi="Courier New"/>
          <w:b w:val="false"/>
          <w:bCs w:val="false"/>
          <w:color w:val="1F2937"/>
          <w:sz w:val="18"/>
          <w:szCs w:val="18"/>
          <w:shd w:fill="F1F3F5" w:color="auto" w:val="clear"/>
          <w:rtl/>
        </w:rPr>
        <w:t xml:space="preserve">‎SHAREHOLDER_LOANS_SUB‎</w:t>
      </w:r>
      <w:r>
        <w:rPr>
          <w:rFonts w:ascii="Arial" w:cs="Arial" w:eastAsia="Arial" w:hAnsi="Arial"/>
          <w:b w:val="false"/>
          <w:bCs w:val="false"/>
          <w:sz w:val="21"/>
          <w:szCs w:val="21"/>
          <w:rtl/>
        </w:rPr>
        <w:t xml:space="preserve">، ومكافأة نهاية الخدمة </w:t>
      </w:r>
      <w:r>
        <w:rPr>
          <w:rFonts w:ascii="Courier New" w:cs="Courier New" w:eastAsia="Courier New" w:hAnsi="Courier New"/>
          <w:b w:val="false"/>
          <w:bCs w:val="false"/>
          <w:color w:val="1F2937"/>
          <w:sz w:val="18"/>
          <w:szCs w:val="18"/>
          <w:shd w:fill="F1F3F5" w:color="auto" w:val="clear"/>
          <w:rtl/>
        </w:rPr>
        <w:t xml:space="preserve">‎EOSB‎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حقوق ملكية:</w:t>
      </w:r>
      <w:r>
        <w:rPr>
          <w:rFonts w:ascii="Arial" w:cs="Arial" w:eastAsia="Arial" w:hAnsi="Arial"/>
          <w:b w:val="false"/>
          <w:bCs w:val="false"/>
          <w:sz w:val="21"/>
          <w:szCs w:val="21"/>
          <w:rtl/>
        </w:rPr>
        <w:t xml:space="preserve"> احتياطي إعادة التقييم </w:t>
      </w:r>
      <w:r>
        <w:rPr>
          <w:rFonts w:ascii="Courier New" w:cs="Courier New" w:eastAsia="Courier New" w:hAnsi="Courier New"/>
          <w:b w:val="false"/>
          <w:bCs w:val="false"/>
          <w:color w:val="1F2937"/>
          <w:sz w:val="18"/>
          <w:szCs w:val="18"/>
          <w:shd w:fill="F1F3F5" w:color="auto" w:val="clear"/>
          <w:rtl/>
        </w:rPr>
        <w:t xml:space="preserve">‎REVALUATION_RESERVE‎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بنود إفصاح</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لا تدخل الإجماليات): الاعتمادات القائمة </w:t>
      </w:r>
      <w:r>
        <w:rPr>
          <w:rFonts w:ascii="Courier New" w:cs="Courier New" w:eastAsia="Courier New" w:hAnsi="Courier New"/>
          <w:b w:val="false"/>
          <w:bCs w:val="false"/>
          <w:color w:val="1F2937"/>
          <w:sz w:val="18"/>
          <w:szCs w:val="18"/>
          <w:shd w:fill="F1F3F5" w:color="auto" w:val="clear"/>
          <w:rtl/>
        </w:rPr>
        <w:t xml:space="preserve">‎LC_OUTSTANDING‎</w:t>
      </w:r>
      <w:r>
        <w:rPr>
          <w:rFonts w:ascii="Arial" w:cs="Arial" w:eastAsia="Arial" w:hAnsi="Arial"/>
          <w:b w:val="false"/>
          <w:bCs w:val="false"/>
          <w:sz w:val="21"/>
          <w:szCs w:val="21"/>
          <w:rtl/>
        </w:rPr>
        <w:t xml:space="preserve">، وخطابات الضمان الحسنة التنفيذ </w:t>
      </w:r>
      <w:r>
        <w:rPr>
          <w:rFonts w:ascii="Courier New" w:cs="Courier New" w:eastAsia="Courier New" w:hAnsi="Courier New"/>
          <w:b w:val="false"/>
          <w:bCs w:val="false"/>
          <w:color w:val="1F2937"/>
          <w:sz w:val="18"/>
          <w:szCs w:val="18"/>
          <w:shd w:fill="F1F3F5" w:color="auto" w:val="clear"/>
          <w:rtl/>
        </w:rPr>
        <w:t xml:space="preserve">‎LG_PERFORMANCE‎</w:t>
      </w:r>
      <w:r>
        <w:rPr>
          <w:rFonts w:ascii="Arial" w:cs="Arial" w:eastAsia="Arial" w:hAnsi="Arial"/>
          <w:b w:val="false"/>
          <w:bCs w:val="false"/>
          <w:sz w:val="21"/>
          <w:szCs w:val="21"/>
          <w:rtl/>
        </w:rPr>
        <w:t xml:space="preserve">، وخطابات الضمان المالية </w:t>
      </w:r>
      <w:r>
        <w:rPr>
          <w:rFonts w:ascii="Courier New" w:cs="Courier New" w:eastAsia="Courier New" w:hAnsi="Courier New"/>
          <w:b w:val="false"/>
          <w:bCs w:val="false"/>
          <w:color w:val="1F2937"/>
          <w:sz w:val="18"/>
          <w:szCs w:val="18"/>
          <w:shd w:fill="F1F3F5" w:color="auto" w:val="clear"/>
          <w:rtl/>
        </w:rPr>
        <w:t xml:space="preserve">‎LG_FINANCIAL‎</w:t>
      </w:r>
      <w:r>
        <w:rPr>
          <w:rFonts w:ascii="Arial" w:cs="Arial" w:eastAsia="Arial" w:hAnsi="Arial"/>
          <w:b w:val="false"/>
          <w:bCs w:val="false"/>
          <w:sz w:val="21"/>
          <w:szCs w:val="21"/>
          <w:rtl/>
        </w:rPr>
        <w:t xml:space="preserve">، والكفالات المقدَّمة للغير </w:t>
      </w:r>
      <w:r>
        <w:rPr>
          <w:rFonts w:ascii="Courier New" w:cs="Courier New" w:eastAsia="Courier New" w:hAnsi="Courier New"/>
          <w:b w:val="false"/>
          <w:bCs w:val="false"/>
          <w:color w:val="1F2937"/>
          <w:sz w:val="18"/>
          <w:szCs w:val="18"/>
          <w:shd w:fill="F1F3F5" w:color="auto" w:val="clear"/>
          <w:rtl/>
        </w:rPr>
        <w:t xml:space="preserve">‎GUARANTEES_GIVEN‎</w:t>
      </w:r>
      <w:r>
        <w:rPr>
          <w:rFonts w:ascii="Arial" w:cs="Arial" w:eastAsia="Arial" w:hAnsi="Arial"/>
          <w:b w:val="false"/>
          <w:bCs w:val="false"/>
          <w:sz w:val="21"/>
          <w:szCs w:val="21"/>
          <w:rtl/>
        </w:rPr>
        <w:t xml:space="preserve">، والربوط الزكوية المتنازع عليها </w:t>
      </w:r>
      <w:r>
        <w:rPr>
          <w:rFonts w:ascii="Courier New" w:cs="Courier New" w:eastAsia="Courier New" w:hAnsi="Courier New"/>
          <w:b w:val="false"/>
          <w:bCs w:val="false"/>
          <w:color w:val="1F2937"/>
          <w:sz w:val="18"/>
          <w:szCs w:val="18"/>
          <w:shd w:fill="F1F3F5" w:color="auto" w:val="clear"/>
          <w:rtl/>
        </w:rPr>
        <w:t xml:space="preserve">‎ZAKAT_DISPUTED‎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ويُعرّف الربح التشغيلي في الكتالوج بمجمل الربح − المصاريف التشغيلية كما في القائمة، وEBITDA بالربح التشغيلي + الاستهلاك والإطفاء. فيُرفع افتراض «المصاريف التشغيلية لا تشمل الاستهلاك»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المواصفة 12.</w:t>
      </w:r>
    </w:p>
    <w:p>
      <w:pPr>
        <w:bidi/>
        <w:spacing w:after="110" w:before="0" w:line="312"/>
      </w:pPr>
      <w:r>
        <w:rPr>
          <w:rFonts w:ascii="Arial" w:cs="Arial" w:eastAsia="Arial" w:hAnsi="Arial"/>
          <w:b w:val="false"/>
          <w:bCs w:val="false"/>
          <w:sz w:val="21"/>
          <w:szCs w:val="21"/>
          <w:rtl/>
        </w:rPr>
        <w:t xml:space="preserve">وعلى القائمة المدققة أو المراجَعة علم «شك جوهري في الاستمرارية» (</w:t>
      </w:r>
      <w:r>
        <w:rPr>
          <w:rFonts w:ascii="Courier New" w:cs="Courier New" w:eastAsia="Courier New" w:hAnsi="Courier New"/>
          <w:b w:val="false"/>
          <w:bCs w:val="false"/>
          <w:color w:val="1F2937"/>
          <w:sz w:val="18"/>
          <w:szCs w:val="18"/>
          <w:shd w:fill="F1F3F5" w:color="auto" w:val="clear"/>
          <w:rtl/>
        </w:rPr>
        <w:t xml:space="preserve">‎GoingConcernUncertainty‎</w:t>
      </w:r>
      <w:r>
        <w:rPr>
          <w:rFonts w:ascii="Arial" w:cs="Arial" w:eastAsia="Arial" w:hAnsi="Arial"/>
          <w:b w:val="false"/>
          <w:bCs w:val="false"/>
          <w:sz w:val="21"/>
          <w:szCs w:val="21"/>
          <w:rtl/>
        </w:rPr>
        <w:t xml:space="preserve">) لفقرة المراجع.</w:t>
      </w:r>
    </w:p>
    <w:p>
      <w:pPr>
        <w:pStyle w:val="Heading1"/>
        <w:bidi/>
      </w:pPr>
      <w:bookmarkStart w:name="_sec8" w:id="8"/>
      <w:r>
        <w:rPr>
          <w:rFonts w:ascii="Arial" w:cs="Arial" w:eastAsia="Arial" w:hAnsi="Arial"/>
          <w:b/>
          <w:bCs/>
          <w:color w:val="1F3A5F"/>
          <w:sz w:val="32"/>
          <w:szCs w:val="32"/>
          <w:rtl/>
        </w:rPr>
        <w:t xml:space="preserve">5. بطاقات القطاعات</w:t>
      </w:r>
      <w:bookmarkEnd w:id="8"/>
    </w:p>
    <w:p>
      <w:pPr>
        <w:bidi/>
        <w:spacing w:after="110" w:before="0" w:line="312"/>
      </w:pPr>
      <w:r>
        <w:rPr>
          <w:rFonts w:ascii="Arial" w:cs="Arial" w:eastAsia="Arial" w:hAnsi="Arial"/>
          <w:b w:val="false"/>
          <w:bCs w:val="false"/>
          <w:sz w:val="21"/>
          <w:szCs w:val="21"/>
          <w:rtl/>
        </w:rPr>
        <w:t xml:space="preserve">يختار المحلل بطاقة القطاع لكل تقييم:</w:t>
      </w:r>
    </w:p>
    <w:p>
      <w:pPr>
        <w:pStyle w:val="ListParagraph"/>
        <w:numPr>
          <w:ilvl w:val="0"/>
          <w:numId w:val="2"/>
        </w:numPr>
        <w:bidi/>
        <w:spacing w:after="70" w:before="0" w:line="300"/>
      </w:pPr>
      <w:r>
        <w:rPr>
          <w:rFonts w:ascii="Arial" w:cs="Arial" w:eastAsia="Arial" w:hAnsi="Arial"/>
          <w:b/>
          <w:bCs/>
          <w:sz w:val="21"/>
          <w:szCs w:val="21"/>
          <w:rtl/>
        </w:rPr>
        <w:t xml:space="preserve">الشركات العامة</w:t>
      </w:r>
      <w:r>
        <w:rPr>
          <w:rFonts w:ascii="Arial" w:cs="Arial" w:eastAsia="Arial" w:hAnsi="Arial"/>
          <w:b w:val="false"/>
          <w:bCs w:val="false"/>
          <w:sz w:val="21"/>
          <w:szCs w:val="21"/>
          <w:rtl/>
        </w:rPr>
        <w:t xml:space="preserve"> للصناعة والخدمات، وهي الافتراضية؛</w:t>
      </w:r>
    </w:p>
    <w:p>
      <w:pPr>
        <w:pStyle w:val="ListParagraph"/>
        <w:numPr>
          <w:ilvl w:val="0"/>
          <w:numId w:val="2"/>
        </w:numPr>
        <w:bidi/>
        <w:spacing w:after="70" w:before="0" w:line="300"/>
      </w:pPr>
      <w:r>
        <w:rPr>
          <w:rFonts w:ascii="Arial" w:cs="Arial" w:eastAsia="Arial" w:hAnsi="Arial"/>
          <w:b/>
          <w:bCs/>
          <w:sz w:val="21"/>
          <w:szCs w:val="21"/>
          <w:rtl/>
        </w:rPr>
        <w:t xml:space="preserve">التجارة والتوزيع</w:t>
      </w:r>
      <w:r>
        <w:rPr>
          <w:rFonts w:ascii="Arial" w:cs="Arial" w:eastAsia="Arial" w:hAnsi="Arial"/>
          <w:b w:val="false"/>
          <w:bCs w:val="false"/>
          <w:sz w:val="21"/>
          <w:szCs w:val="21"/>
          <w:rtl/>
        </w:rPr>
        <w:t xml:space="preserve"> للجملة والتجزئة؛</w:t>
      </w:r>
    </w:p>
    <w:p>
      <w:pPr>
        <w:pStyle w:val="ListParagraph"/>
        <w:numPr>
          <w:ilvl w:val="0"/>
          <w:numId w:val="2"/>
        </w:numPr>
        <w:bidi/>
        <w:spacing w:after="70" w:before="0" w:line="300"/>
      </w:pPr>
      <w:r>
        <w:rPr>
          <w:rFonts w:ascii="Arial" w:cs="Arial" w:eastAsia="Arial" w:hAnsi="Arial"/>
          <w:b/>
          <w:bCs/>
          <w:sz w:val="21"/>
          <w:szCs w:val="21"/>
          <w:rtl/>
        </w:rPr>
        <w:t xml:space="preserve">المقاولات</w:t>
      </w:r>
      <w:r>
        <w:rPr>
          <w:rFonts w:ascii="Arial" w:cs="Arial" w:eastAsia="Arial" w:hAnsi="Arial"/>
          <w:b w:val="false"/>
          <w:bCs w:val="false"/>
          <w:sz w:val="21"/>
          <w:szCs w:val="21"/>
          <w:rtl/>
        </w:rPr>
        <w:t xml:space="preserve"> للإنشاءات والهندسة.</w:t>
      </w:r>
    </w:p>
    <w:p>
      <w:pPr>
        <w:bidi/>
        <w:spacing w:after="60" w:before="0"/>
      </w:pPr>
    </w:p>
    <w:p>
      <w:pPr>
        <w:bidi/>
        <w:spacing w:after="110" w:before="0" w:line="312"/>
      </w:pPr>
      <w:r>
        <w:rPr>
          <w:rFonts w:ascii="Arial" w:cs="Arial" w:eastAsia="Arial" w:hAnsi="Arial"/>
          <w:b w:val="false"/>
          <w:bCs w:val="false"/>
          <w:sz w:val="21"/>
          <w:szCs w:val="21"/>
          <w:rtl/>
        </w:rPr>
        <w:t xml:space="preserve">الأوزان: الحجم 15%، والربحية 10%، والرفع والتغطية والتدفق 42.5%، والسيولة 7.5%، والعوامل النوعية 25%. وهو قريب مما تضعه بطاقات موديز للصناعة على ملف الأعمال والسياسة المالية، ومما تضعه نماذج تصنيف المقترضين في البنوك السعودية على العوامل غير المالية. وقُسم وزن الرفع والتغطية بين مقاييس لا يكرر بعضها بعضًا. وفي المقاولات للالتزامات المحتملة وزن 5%، لأن خطابات الضمان هي أكبر تعرّض للبنك. والحجم بملايين الريالات على السلّم العالمي، فالشركات المتوسطة تقع فيه بين Ba وB، وهو سلوك السلّم العالمي الصحيح.</w:t>
      </w:r>
    </w:p>
    <w:p>
      <w:pPr>
        <w:pStyle w:val="Heading2"/>
        <w:bidi/>
      </w:pPr>
      <w:bookmarkStart w:name="_sec9" w:id="9"/>
      <w:r>
        <w:rPr>
          <w:rFonts w:ascii="Arial" w:cs="Arial" w:eastAsia="Arial" w:hAnsi="Arial"/>
          <w:b/>
          <w:bCs/>
          <w:color w:val="2B5C8A"/>
          <w:sz w:val="26"/>
          <w:szCs w:val="26"/>
          <w:rtl/>
        </w:rPr>
        <w:t xml:space="preserve">5.1 الشركات العامة (الصناعة والخدمات)</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8"/>
        <w:gridCol w:w="1149"/>
        <w:gridCol w:w="771"/>
        <w:gridCol w:w="888"/>
        <w:gridCol w:w="771"/>
        <w:gridCol w:w="771"/>
        <w:gridCol w:w="771"/>
        <w:gridCol w:w="771"/>
        <w:gridCol w:w="771"/>
        <w:gridCol w:w="771"/>
        <w:gridCol w:w="771"/>
        <w:gridCol w:w="771"/>
      </w:tblGrid>
      <w:tr>
        <w:trPr>
          <w:cantSplit/>
          <w:tblHeader/>
        </w:trPr>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1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75,000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المالي وهيكل رأس المال</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إلى EBITDA</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المالي وهيكل رأس المال</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إلى صافي الثروة الملموسة المعدَّلة</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وخدمة الدين</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وخدمة الدين</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ورأس المال العامل</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r>
      <w:tr>
        <w:trPr>
          <w:cantSplit/>
        </w:trPr>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ورأس المال العامل</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العوامل النوعية (تقدير المحلل)</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العوامل النوعية (تقدير المحلل)</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5.2 التجارة والتوزيع</w:t>
      </w:r>
      <w:bookmarkEnd w:id="10"/>
    </w:p>
    <w:p>
      <w:pPr>
        <w:bidi/>
        <w:spacing w:after="110" w:before="0" w:line="312"/>
      </w:pPr>
      <w:r>
        <w:rPr>
          <w:rFonts w:ascii="Arial" w:cs="Arial" w:eastAsia="Arial" w:hAnsi="Arial"/>
          <w:b w:val="false"/>
          <w:bCs w:val="false"/>
          <w:sz w:val="21"/>
          <w:szCs w:val="21"/>
          <w:rtl/>
        </w:rPr>
        <w:t xml:space="preserve">إيرادات التاجر عبور للبضاعة، فحدود الحجم ضعف حدود الشركات العامة. وخطوط التجارة ذاتية التسييل، فحدود الرفع أوسع. والهوامش أدنى والدورة أقصر.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3"/>
        <w:gridCol w:w="1115"/>
        <w:gridCol w:w="770"/>
        <w:gridCol w:w="863"/>
        <w:gridCol w:w="863"/>
        <w:gridCol w:w="770"/>
        <w:gridCol w:w="770"/>
        <w:gridCol w:w="770"/>
        <w:gridCol w:w="770"/>
        <w:gridCol w:w="770"/>
        <w:gridCol w:w="770"/>
        <w:gridCol w:w="770"/>
      </w:tblGrid>
      <w:tr>
        <w:trPr>
          <w:cantSplit/>
          <w:tblHeader/>
        </w:trPr>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1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1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1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المالي وهيكل رأس المال</w:t>
            </w:r>
          </w:p>
        </w:tc>
        <w:tc>
          <w:tcPr>
            <w:tcW w:type="dxa" w:w="1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إلى EBITDA</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المالي وهيكل رأس المال</w:t>
            </w:r>
          </w:p>
        </w:tc>
        <w:tc>
          <w:tcPr>
            <w:tcW w:type="dxa" w:w="1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إلى صافي الثروة الملموسة المعدَّلة</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وخدمة الدين</w:t>
            </w:r>
          </w:p>
        </w:tc>
        <w:tc>
          <w:tcPr>
            <w:tcW w:type="dxa" w:w="1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وخدمة الدين</w:t>
            </w:r>
          </w:p>
        </w:tc>
        <w:tc>
          <w:tcPr>
            <w:tcW w:type="dxa" w:w="1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w:t>
            </w:r>
          </w:p>
        </w:tc>
        <w:tc>
          <w:tcPr>
            <w:tcW w:type="dxa" w:w="1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ورأس المال العامل</w:t>
            </w:r>
          </w:p>
        </w:tc>
        <w:tc>
          <w:tcPr>
            <w:tcW w:type="dxa" w:w="1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ورأس المال العامل</w:t>
            </w:r>
          </w:p>
        </w:tc>
        <w:tc>
          <w:tcPr>
            <w:tcW w:type="dxa" w:w="1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r>
      <w:tr>
        <w:trPr>
          <w:cantSplit/>
        </w:trPr>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العوامل النوعية (تقدير المحلل)</w:t>
            </w:r>
          </w:p>
        </w:tc>
        <w:tc>
          <w:tcPr>
            <w:tcW w:type="dxa" w:w="1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العوامل النوعية (تقدير المحلل)</w:t>
            </w:r>
          </w:p>
        </w:tc>
        <w:tc>
          <w:tcPr>
            <w:tcW w:type="dxa" w:w="1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المقاولات والإنشاءات</w:t>
      </w:r>
      <w:bookmarkEnd w:id="11"/>
    </w:p>
    <w:p>
      <w:pPr>
        <w:bidi/>
        <w:spacing w:after="110" w:before="0" w:line="312"/>
      </w:pPr>
      <w:r>
        <w:rPr>
          <w:rFonts w:ascii="Arial" w:cs="Arial" w:eastAsia="Arial" w:hAnsi="Arial"/>
          <w:b w:val="false"/>
          <w:bCs w:val="false"/>
          <w:sz w:val="21"/>
          <w:szCs w:val="21"/>
          <w:rtl/>
        </w:rPr>
        <w:t xml:space="preserve">دورة التحصيل أطول بالمستخلصات والمحتجزات، وتُحسب أصول العقود مع الذمم. ونسبة التداول تضخمها المحتجزات، فحدودها أعلى. والهوامش أدنى من الصناعة.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8"/>
        <w:gridCol w:w="1243"/>
        <w:gridCol w:w="765"/>
        <w:gridCol w:w="868"/>
        <w:gridCol w:w="765"/>
        <w:gridCol w:w="765"/>
        <w:gridCol w:w="765"/>
        <w:gridCol w:w="765"/>
        <w:gridCol w:w="765"/>
        <w:gridCol w:w="765"/>
        <w:gridCol w:w="765"/>
        <w:gridCol w:w="765"/>
      </w:tblGrid>
      <w:tr>
        <w:trPr>
          <w:cantSplit/>
          <w:tblHeader/>
        </w:trPr>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75,000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المالي وهيكل رأس المال</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إلى EBITDA</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المالي وهيكل رأس المال</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إلى صافي الثروة الملموسة المعدَّلة</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المالي وهيكل رأس المال</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وخدمة الدين</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وخدمة الدين</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ورأس المال العامل</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ورأس المال العامل</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r>
      <w:tr>
        <w:trPr>
          <w:cantSplit/>
        </w:trPr>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العوامل النوعية (تقدير المحلل)</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العوامل النوعية (تقدير المحلل)</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6. مخاطر بنود الميزانية</w:t>
      </w:r>
      <w:bookmarkEnd w:id="12"/>
    </w:p>
    <w:p>
      <w:pPr>
        <w:bidi/>
        <w:spacing w:after="110" w:before="0" w:line="312"/>
      </w:pPr>
      <w:r>
        <w:rPr>
          <w:rFonts w:ascii="Arial" w:cs="Arial" w:eastAsia="Arial" w:hAnsi="Arial"/>
          <w:b w:val="false"/>
          <w:bCs w:val="false"/>
          <w:sz w:val="21"/>
          <w:szCs w:val="21"/>
          <w:rtl/>
        </w:rPr>
        <w:t xml:space="preserve">لكل بند قاعدة: مقياس يُنسب إلى البند وأربعة حدود تفصل خمسة مستويات: منخفضة، ومعتدلة، ومرتفعة نسبيًا، ومرتفعة، وحرجة. والقيمة الواقعة على حد تأخذ المستوى الأسوأ. وتصير المستويات في التقرير:</w:t>
      </w:r>
    </w:p>
    <w:p>
      <w:pPr>
        <w:pStyle w:val="ListParagraph"/>
        <w:numPr>
          <w:ilvl w:val="0"/>
          <w:numId w:val="2"/>
        </w:numPr>
        <w:bidi/>
        <w:spacing w:after="70" w:before="0" w:line="300"/>
      </w:pPr>
      <w:r>
        <w:rPr>
          <w:rFonts w:ascii="Arial" w:cs="Arial" w:eastAsia="Arial" w:hAnsi="Arial"/>
          <w:b/>
          <w:bCs/>
          <w:sz w:val="21"/>
          <w:szCs w:val="21"/>
          <w:rtl/>
        </w:rPr>
        <w:t xml:space="preserve">منخفضة:</w:t>
      </w:r>
      <w:r>
        <w:rPr>
          <w:rFonts w:ascii="Arial" w:cs="Arial" w:eastAsia="Arial" w:hAnsi="Arial"/>
          <w:b w:val="false"/>
          <w:bCs w:val="false"/>
          <w:sz w:val="21"/>
          <w:szCs w:val="21"/>
          <w:rtl/>
        </w:rPr>
        <w:t xml:space="preserve"> نقطة قوة إن كانت القاعدة تذكر القوة، وإلا ملاحظة.</w:t>
      </w:r>
    </w:p>
    <w:p>
      <w:pPr>
        <w:pStyle w:val="ListParagraph"/>
        <w:numPr>
          <w:ilvl w:val="0"/>
          <w:numId w:val="2"/>
        </w:numPr>
        <w:bidi/>
        <w:spacing w:after="70" w:before="0" w:line="300"/>
      </w:pPr>
      <w:r>
        <w:rPr>
          <w:rFonts w:ascii="Arial" w:cs="Arial" w:eastAsia="Arial" w:hAnsi="Arial"/>
          <w:b/>
          <w:bCs/>
          <w:sz w:val="21"/>
          <w:szCs w:val="21"/>
          <w:rtl/>
        </w:rPr>
        <w:t xml:space="preserve">معتدلة:</w:t>
      </w:r>
      <w:r>
        <w:rPr>
          <w:rFonts w:ascii="Arial" w:cs="Arial" w:eastAsia="Arial" w:hAnsi="Arial"/>
          <w:b w:val="false"/>
          <w:bCs w:val="false"/>
          <w:sz w:val="21"/>
          <w:szCs w:val="21"/>
          <w:rtl/>
        </w:rPr>
        <w:t xml:space="preserve"> ملاحظة.</w:t>
      </w:r>
    </w:p>
    <w:p>
      <w:pPr>
        <w:pStyle w:val="ListParagraph"/>
        <w:numPr>
          <w:ilvl w:val="0"/>
          <w:numId w:val="2"/>
        </w:numPr>
        <w:bidi/>
        <w:spacing w:after="70" w:before="0" w:line="300"/>
      </w:pPr>
      <w:r>
        <w:rPr>
          <w:rFonts w:ascii="Arial" w:cs="Arial" w:eastAsia="Arial" w:hAnsi="Arial"/>
          <w:b/>
          <w:bCs/>
          <w:sz w:val="21"/>
          <w:szCs w:val="21"/>
          <w:rtl/>
        </w:rPr>
        <w:t xml:space="preserve">مرتفعة نسبيًا:</w:t>
      </w:r>
      <w:r>
        <w:rPr>
          <w:rFonts w:ascii="Arial" w:cs="Arial" w:eastAsia="Arial" w:hAnsi="Arial"/>
          <w:b w:val="false"/>
          <w:bCs w:val="false"/>
          <w:sz w:val="21"/>
          <w:szCs w:val="21"/>
          <w:rtl/>
        </w:rPr>
        <w:t xml:space="preserve"> نقطة مراقبة.</w:t>
      </w:r>
    </w:p>
    <w:p>
      <w:pPr>
        <w:pStyle w:val="ListParagraph"/>
        <w:numPr>
          <w:ilvl w:val="0"/>
          <w:numId w:val="2"/>
        </w:numPr>
        <w:bidi/>
        <w:spacing w:after="70" w:before="0" w:line="300"/>
      </w:pPr>
      <w:r>
        <w:rPr>
          <w:rFonts w:ascii="Arial" w:cs="Arial" w:eastAsia="Arial" w:hAnsi="Arial"/>
          <w:b/>
          <w:bCs/>
          <w:sz w:val="21"/>
          <w:szCs w:val="21"/>
          <w:rtl/>
        </w:rPr>
        <w:t xml:space="preserve">مرتفعة:</w:t>
      </w:r>
      <w:r>
        <w:rPr>
          <w:rFonts w:ascii="Arial" w:cs="Arial" w:eastAsia="Arial" w:hAnsi="Arial"/>
          <w:b w:val="false"/>
          <w:bCs w:val="false"/>
          <w:sz w:val="21"/>
          <w:szCs w:val="21"/>
          <w:rtl/>
        </w:rPr>
        <w:t xml:space="preserve"> نقطة ضعف.</w:t>
      </w:r>
    </w:p>
    <w:p>
      <w:pPr>
        <w:pStyle w:val="ListParagraph"/>
        <w:numPr>
          <w:ilvl w:val="0"/>
          <w:numId w:val="2"/>
        </w:numPr>
        <w:bidi/>
        <w:spacing w:after="70" w:before="0" w:line="300"/>
      </w:pPr>
      <w:r>
        <w:rPr>
          <w:rFonts w:ascii="Arial" w:cs="Arial" w:eastAsia="Arial" w:hAnsi="Arial"/>
          <w:b/>
          <w:bCs/>
          <w:sz w:val="21"/>
          <w:szCs w:val="21"/>
          <w:rtl/>
        </w:rPr>
        <w:t xml:space="preserve">حرجة:</w:t>
      </w:r>
      <w:r>
        <w:rPr>
          <w:rFonts w:ascii="Arial" w:cs="Arial" w:eastAsia="Arial" w:hAnsi="Arial"/>
          <w:b w:val="false"/>
          <w:bCs w:val="false"/>
          <w:sz w:val="21"/>
          <w:szCs w:val="21"/>
          <w:rtl/>
        </w:rPr>
        <w:t xml:space="preserve"> خطر حرج.</w:t>
      </w:r>
    </w:p>
    <w:p>
      <w:pPr>
        <w:bidi/>
        <w:spacing w:after="60" w:before="0"/>
      </w:pPr>
    </w:p>
    <w:p>
      <w:pPr>
        <w:bidi/>
        <w:spacing w:after="110" w:before="0" w:line="312"/>
      </w:pPr>
      <w:r>
        <w:rPr>
          <w:rFonts w:ascii="Arial" w:cs="Arial" w:eastAsia="Arial" w:hAnsi="Arial"/>
          <w:b w:val="false"/>
          <w:bCs w:val="false"/>
          <w:sz w:val="21"/>
          <w:szCs w:val="21"/>
          <w:rtl/>
        </w:rPr>
        <w:t xml:space="preserve">والبند الذي لا يُحسب مقياسه يُذكر «لم يُقيَّم» بسببه.</w:t>
      </w:r>
    </w:p>
    <w:p>
      <w:pPr>
        <w:pStyle w:val="Heading2"/>
        <w:bidi/>
      </w:pPr>
      <w:bookmarkStart w:name="_sec13" w:id="13"/>
      <w:r>
        <w:rPr>
          <w:rFonts w:ascii="Arial" w:cs="Arial" w:eastAsia="Arial" w:hAnsi="Arial"/>
          <w:b/>
          <w:bCs/>
          <w:color w:val="2B5C8A"/>
          <w:sz w:val="26"/>
          <w:szCs w:val="26"/>
          <w:rtl/>
        </w:rPr>
        <w:t xml:space="preserve">6.1 الشركات العامة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40"/>
        <w:gridCol w:w="1492"/>
        <w:gridCol w:w="922"/>
        <w:gridCol w:w="922"/>
        <w:gridCol w:w="922"/>
        <w:gridCol w:w="922"/>
        <w:gridCol w:w="922"/>
        <w:gridCol w:w="922"/>
      </w:tblGrid>
      <w:tr>
        <w:trPr>
          <w:cantSplit/>
          <w:tblHeader/>
        </w:trPr>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حرجة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قوة</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النقد للدين قصير الأجل (مرة)</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0.75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0.4 – 0.75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0.2 – 0.4</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0.1 – 0.2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0.1</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 (يوم)</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&lt; 90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&lt; 120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&lt; 180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 (يوم)</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60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&lt; 90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&lt; 150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 – &lt; 240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240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 (يوم)</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&lt; 90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&lt; 120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&lt; 180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&lt;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30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&lt;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إلى إجمالي الأصول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 –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40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&lt;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&lt; 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 &lt; 95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95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 (مرة)</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1.25 –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 – 1.25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0.5 – 1</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&lt; 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 &lt; 35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35 –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20 – 35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-25 –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 –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 –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 –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 – 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2</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80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60 – 80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40 – 60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40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30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&lt;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 (مرة)</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0.5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 – &lt; 1</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&lt;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&lt; 3</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3</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 &lt; 35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&lt;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&lt;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40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&lt; 60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60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40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&lt;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100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&lt; 150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6.2 التجارة والتوزيع</w:t>
      </w:r>
      <w:bookmarkEnd w:id="14"/>
    </w:p>
    <w:p>
      <w:pPr>
        <w:bidi/>
        <w:spacing w:after="110" w:before="0" w:line="312"/>
      </w:pPr>
      <w:r>
        <w:rPr>
          <w:rFonts w:ascii="Arial" w:cs="Arial" w:eastAsia="Arial" w:hAnsi="Arial"/>
          <w:b w:val="false"/>
          <w:bCs w:val="false"/>
          <w:sz w:val="21"/>
          <w:szCs w:val="21"/>
          <w:rtl/>
        </w:rPr>
        <w:t xml:space="preserve">حصة الدين قصير الأجل لا تصلح للتاجر، فكل تمويله تجاري قصير. حلّ محلها تمويل التجارة قصير الأجل إلى الذمم والمخزون: هل تغطي الأصول ذاتية التسييل الخطوط؟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40"/>
        <w:gridCol w:w="1492"/>
        <w:gridCol w:w="922"/>
        <w:gridCol w:w="922"/>
        <w:gridCol w:w="922"/>
        <w:gridCol w:w="922"/>
        <w:gridCol w:w="922"/>
        <w:gridCol w:w="922"/>
      </w:tblGrid>
      <w:tr>
        <w:trPr>
          <w:cantSplit/>
          <w:tblHeader/>
        </w:trPr>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حرجة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قوة</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النقد للدين قصير الأجل (مرة)</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0.25 – 0.5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0.1 – 0.25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0.05 – 0.1</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0.05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 (يوم)</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45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&lt; 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&lt; 105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&lt; 150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 (يوم)</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45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&lt; 75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&lt; 120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&lt; 180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180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 (يوم)</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&lt; 90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&lt; 120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&lt; 180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&lt;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30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&lt;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إلى إجمالي الأصول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 –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 (مرة)</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1.25 – 2</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 – 1.25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0.5 – 1</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&lt; 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 &lt; 35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&lt;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40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30 – 40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20 – 30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-25 –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 – 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-3 – -1</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-6 – -3</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-6</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2.5 –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 – 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1</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60 – 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40 –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40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30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&lt;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75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&lt; 100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 (مرة)</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0.75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 – &lt; 1.5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4</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70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&lt; 85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&lt; 100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 &lt; 35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&lt;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&lt;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40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&lt; 60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60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40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&lt;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100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&lt; 150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6.3 المقاولات</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40"/>
        <w:gridCol w:w="1492"/>
        <w:gridCol w:w="922"/>
        <w:gridCol w:w="922"/>
        <w:gridCol w:w="922"/>
        <w:gridCol w:w="922"/>
        <w:gridCol w:w="922"/>
        <w:gridCol w:w="922"/>
      </w:tblGrid>
      <w:tr>
        <w:trPr>
          <w:cantSplit/>
          <w:tblHeader/>
        </w:trPr>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حرجة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قوة</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النقد للدين قصير الأجل (مرة)</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0.75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0.4 – 0.75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0.2 – 0.4</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0.1 – 0.2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0.1</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 (يوم)</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90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&lt; 120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&lt; 180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&lt; 270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270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 (يوم)</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30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&lt; 60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&lt; 120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&lt; 180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180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 (يوم)</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90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&lt; 120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&lt; 180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&lt; 240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240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&lt;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30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&lt;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إلى إجمالي الأصول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 –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70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&lt; 85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&lt; 95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95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 (مرة)</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1.25 –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 – 1.25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0.5 – 1</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&lt; 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 &lt; 35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40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30 – 40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20 – 30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-15 – 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-30 – -15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-30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 –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 –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7</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4 – 7</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1.5 – 4</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1.5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70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50 – 70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30 –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30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30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&lt;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 (مرة)</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&lt;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&lt; 3</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&lt;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 &lt; 35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&lt;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&lt;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40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&lt; 60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60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40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&lt;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100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&lt; 150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حدود الخسائر المتراكمة</w:t>
      </w:r>
      <w:r>
        <w:rPr>
          <w:rFonts w:ascii="Arial" w:cs="Arial" w:eastAsia="Arial" w:hAnsi="Arial"/>
          <w:b w:val="false"/>
          <w:bCs w:val="false"/>
          <w:sz w:val="21"/>
          <w:szCs w:val="21"/>
          <w:rtl/>
        </w:rPr>
        <w:t xml:space="preserve"> على نطاقات 20% و35% و50% من رأس المال. وبلوغ النصف حرج لأنه يستوجب إجراءات نظام الشركات.</w:t>
      </w:r>
    </w:p>
    <w:p>
      <w:pPr>
        <w:pStyle w:val="Heading1"/>
        <w:bidi/>
      </w:pPr>
      <w:bookmarkStart w:name="_sec16" w:id="16"/>
      <w:r>
        <w:rPr>
          <w:rFonts w:ascii="Arial" w:cs="Arial" w:eastAsia="Arial" w:hAnsi="Arial"/>
          <w:b/>
          <w:bCs/>
          <w:color w:val="1F3A5F"/>
          <w:sz w:val="32"/>
          <w:szCs w:val="32"/>
          <w:rtl/>
        </w:rPr>
        <w:t xml:space="preserve">7. التعديلات وترتيبها</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1"/>
        <w:gridCol w:w="985"/>
        <w:gridCol w:w="985"/>
        <w:gridCol w:w="985"/>
        <w:gridCol w:w="1548"/>
        <w:gridCol w:w="2120"/>
      </w:tblGrid>
      <w:tr>
        <w:trPr>
          <w:cantSplit/>
          <w:tblHeader/>
        </w:trPr>
        <w:tc>
          <w:tcPr>
            <w:tcW w:type="dxa" w:w="3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1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البطاقات</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w:t>
            </w:r>
          </w:p>
        </w:tc>
      </w:tr>
      <w:tr>
        <w:trPr>
          <w:cantSplit/>
        </w:trPr>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‎AUDIT_QUALIFIED‎</w:t>
            </w:r>
            <w:r>
              <w:rPr>
                <w:rFonts w:ascii="Arial" w:cs="Arial" w:eastAsia="Arial" w:hAnsi="Arial"/>
                <w:b w:val="false"/>
                <w:bCs w:val="false"/>
                <w:sz w:val="18"/>
                <w:szCs w:val="18"/>
                <w:rtl/>
              </w:rPr>
              <w:t xml:space="preserve"> رأي المراجع متحفظ</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متحفظ: تنزيل درجة واحدة</w:t>
            </w:r>
          </w:p>
        </w:tc>
      </w:tr>
      <w:tr>
        <w:trPr>
          <w:cantSplit/>
        </w:trPr>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قائمة سنوية غير مدققة</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سنوية إدارية غير مدققة: تنزيل درجة واحدة</w:t>
            </w:r>
          </w:p>
        </w:tc>
      </w:tr>
      <w:tr>
        <w:trPr>
          <w:cantSplit/>
        </w:trPr>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‎STALE_STATEMENT‎</w:t>
            </w:r>
            <w:r>
              <w:rPr>
                <w:rFonts w:ascii="Arial" w:cs="Arial" w:eastAsia="Arial" w:hAnsi="Arial"/>
                <w:b w:val="false"/>
                <w:bCs w:val="false"/>
                <w:sz w:val="18"/>
                <w:szCs w:val="18"/>
                <w:rtl/>
              </w:rPr>
              <w:t xml:space="preserve"> قائمة قديمة</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مضى على نهاية فترة القائمة أكثر من 15 شهرًا: تنزيل درجة واحدة</w:t>
            </w:r>
          </w:p>
        </w:tc>
      </w:tr>
      <w:tr>
        <w:trPr>
          <w:cantSplit/>
        </w:trPr>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‎INCOMPLETE_STATEMENT‎</w:t>
            </w:r>
            <w:r>
              <w:rPr>
                <w:rFonts w:ascii="Arial" w:cs="Arial" w:eastAsia="Arial" w:hAnsi="Arial"/>
                <w:b w:val="false"/>
                <w:bCs w:val="false"/>
                <w:sz w:val="18"/>
                <w:szCs w:val="18"/>
                <w:rtl/>
              </w:rPr>
              <w:t xml:space="preserve"> لا قائمة تدفقات نقدية</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تُقدَّم قائمة التدفقات النقدية: تنزيل درجة واحدة، فلا يكسب حجبُها درجة</w:t>
            </w:r>
          </w:p>
        </w:tc>
      </w:tr>
      <w:tr>
        <w:trPr>
          <w:cantSplit/>
        </w:trPr>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‎RESTATEMENT‎</w:t>
            </w:r>
            <w:r>
              <w:rPr>
                <w:rFonts w:ascii="Arial" w:cs="Arial" w:eastAsia="Arial" w:hAnsi="Arial"/>
                <w:b w:val="false"/>
                <w:bCs w:val="false"/>
                <w:sz w:val="18"/>
                <w:szCs w:val="18"/>
                <w:rtl/>
              </w:rPr>
              <w:t xml:space="preserve"> إعادة عرض جوهرية</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أعادت القائمة عرض صافي الربح أو حقوق الملكية بأكثر من 5% عن الإصدار السابق: تنزيل درجة واحدة</w:t>
            </w:r>
          </w:p>
        </w:tc>
      </w:tr>
      <w:tr>
        <w:trPr>
          <w:cantSplit/>
        </w:trPr>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‎HALF_CAPITAL_LOST_CURED‎</w:t>
            </w:r>
            <w:r>
              <w:rPr>
                <w:rFonts w:ascii="Arial" w:cs="Arial" w:eastAsia="Arial" w:hAnsi="Arial"/>
                <w:b w:val="false"/>
                <w:bCs w:val="false"/>
                <w:sz w:val="18"/>
                <w:szCs w:val="18"/>
                <w:rtl/>
              </w:rPr>
              <w:t xml:space="preserve"> خسائر بلغت نصف رأس المال وعولجت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50% من رأس المال أو أكثر، وتغطيها حقوق الملكية مع قروض الشركاء المساندة: تنزيل درجة واحدة</w:t>
            </w:r>
          </w:p>
        </w:tc>
      </w:tr>
      <w:tr>
        <w:trPr>
          <w:cantSplit/>
        </w:trPr>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تعرّض للأطراف ذات العلاقة</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والكفالات المقدَّمة لها تتجاوز 50% من صافي الثروة الملموسة المعدَّلة: تنزيل درجة واحدة</w:t>
            </w:r>
          </w:p>
        </w:tc>
      </w:tr>
      <w:tr>
        <w:trPr>
          <w:cantSplit/>
        </w:trPr>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‎HOLDCO_STANDALONE‎</w:t>
            </w:r>
            <w:r>
              <w:rPr>
                <w:rFonts w:ascii="Arial" w:cs="Arial" w:eastAsia="Arial" w:hAnsi="Arial"/>
                <w:b w:val="false"/>
                <w:bCs w:val="false"/>
                <w:sz w:val="18"/>
                <w:szCs w:val="18"/>
                <w:rtl/>
              </w:rPr>
              <w:t xml:space="preserve"> قائمة منفردة لقابضة</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منفردة لشركة قابضة: لا تُظهر ديون الوحدات ولا تدفقاتها، فتنزيل درجة واحدة؛ والأولى تقييم القائمة الموحدة</w:t>
            </w:r>
          </w:p>
        </w:tc>
      </w:tr>
      <w:tr>
        <w:trPr>
          <w:cantSplit/>
        </w:trPr>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خرق تعهد مفتوح بلا تنازل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بلا طلب تنازل في تاريخ التقييم (حالة تعثر وقد يمتد إلى التسهيلات الأخرى): تنزيل درجتين</w:t>
            </w:r>
          </w:p>
        </w:tc>
      </w:tr>
      <w:tr>
        <w:trPr>
          <w:cantSplit/>
        </w:trPr>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خرق تعهد طُلب التنازل عنه</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طُلب التنازل عنه: تنزيل درجة واحدة</w:t>
            </w:r>
          </w:p>
        </w:tc>
      </w:tr>
      <w:tr>
        <w:trPr>
          <w:cantSplit/>
        </w:trPr>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‎FLOW_SHORTFALL‎</w:t>
            </w:r>
            <w:r>
              <w:rPr>
                <w:rFonts w:ascii="Arial" w:cs="Arial" w:eastAsia="Arial" w:hAnsi="Arial"/>
                <w:b w:val="false"/>
                <w:bCs w:val="false"/>
                <w:sz w:val="18"/>
                <w:szCs w:val="18"/>
                <w:rtl/>
              </w:rPr>
              <w:t xml:space="preserve"> عجز جوهري في تحويلات السيولة</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السيولة إلى البنك تقل عن المطلوب حتى تاريخه بأكثر من 25% في تعهد واحد على الأقل (مؤشر تحويل التدفقات بعيدًا عن البنك): تنزيل درجة واحدة</w:t>
            </w:r>
          </w:p>
        </w:tc>
      </w:tr>
      <w:tr>
        <w:trPr>
          <w:cantSplit/>
        </w:trPr>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‎GOING_CONCERN‎</w:t>
            </w:r>
            <w:r>
              <w:rPr>
                <w:rFonts w:ascii="Arial" w:cs="Arial" w:eastAsia="Arial" w:hAnsi="Arial"/>
                <w:b w:val="false"/>
                <w:bCs w:val="false"/>
                <w:sz w:val="18"/>
                <w:szCs w:val="18"/>
                <w:rtl/>
              </w:rPr>
              <w:t xml:space="preserve"> شك جوهري في الاستمرارية</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أبدى المراجع شكًا جوهريًا في قدرة المنشأة على الاستمرار: لا تتجاوز الدرجة المنفردة Caa1</w:t>
            </w:r>
          </w:p>
        </w:tc>
      </w:tr>
      <w:tr>
        <w:trPr>
          <w:cantSplit/>
        </w:trPr>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حقوق ملكية سالبة</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مع قروض الشركاء المساندة سالبة أو صفرية: لا تتجاوز الدرجة المنفردة Caa1</w:t>
            </w:r>
          </w:p>
        </w:tc>
      </w:tr>
      <w:tr>
        <w:trPr>
          <w:cantSplit/>
        </w:trPr>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خسائر بلغت نصف رأس المال</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50% من رأس المال أو أكثر ولا تغطيها حقوق الملكية مع قروض الشركاء المساندة، فتلزم إجراءات نظام الشركات: لا تتجاوز الدرجة المنفردة B3</w:t>
            </w:r>
          </w:p>
        </w:tc>
      </w:tr>
      <w:tr>
        <w:trPr>
          <w:cantSplit/>
        </w:trPr>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w:t>
            </w:r>
            <w:r>
              <w:rPr>
                <w:rFonts w:ascii="Arial" w:cs="Arial" w:eastAsia="Arial" w:hAnsi="Arial"/>
                <w:b w:val="false"/>
                <w:bCs w:val="false"/>
                <w:sz w:val="18"/>
                <w:szCs w:val="18"/>
                <w:rtl/>
              </w:rPr>
              <w:t xml:space="preserve"> سقف الحجم</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A3</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c>
          <w:tcPr>
            <w:tcW w:type="dxa" w:w="1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3,000 مليون: لا تتجاوز الدرجة المنفردة A3، فالشركات المتوسطة لا تبلغ فئات Aa بنسبها وحدها</w:t>
            </w:r>
          </w:p>
        </w:tc>
      </w:tr>
      <w:tr>
        <w:trPr>
          <w:cantSplit/>
        </w:trPr>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‎AUDIT_ADVERSE‎</w:t>
            </w:r>
            <w:r>
              <w:rPr>
                <w:rFonts w:ascii="Arial" w:cs="Arial" w:eastAsia="Arial" w:hAnsi="Arial"/>
                <w:b w:val="false"/>
                <w:bCs w:val="false"/>
                <w:sz w:val="18"/>
                <w:szCs w:val="18"/>
                <w:rtl/>
              </w:rPr>
              <w:t xml:space="preserve"> رأي سلبي أو امتناع عن الرأي</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سلبي أو امتنع عن الرأي: لا تتجاوز الدرجة Caa1 بعد الدعم والتجاوز</w:t>
            </w:r>
          </w:p>
        </w:tc>
      </w:tr>
      <w:tr>
        <w:trPr>
          <w:cantSplit/>
        </w:trPr>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‎SOVEREIGN_CEILING‎</w:t>
            </w:r>
            <w:r>
              <w:rPr>
                <w:rFonts w:ascii="Arial" w:cs="Arial" w:eastAsia="Arial" w:hAnsi="Arial"/>
                <w:b w:val="false"/>
                <w:bCs w:val="false"/>
                <w:sz w:val="18"/>
                <w:szCs w:val="18"/>
                <w:rtl/>
              </w:rPr>
              <w:t xml:space="preserve"> سقف التصنيف السيادي</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Aa3</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الدرجة التصنيف السيادي للمملكة العربية السعودية Aa3 (موديز، نوفمبر 2024؛ يُتحقق منه دوريًا)</w:t>
            </w:r>
          </w:p>
        </w:tc>
      </w:tr>
      <w:tr>
        <w:trPr>
          <w:cantSplit/>
        </w:trPr>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‎SECTOR_CEILING‎</w:t>
            </w:r>
            <w:r>
              <w:rPr>
                <w:rFonts w:ascii="Arial" w:cs="Arial" w:eastAsia="Arial" w:hAnsi="Arial"/>
                <w:b w:val="false"/>
                <w:bCs w:val="false"/>
                <w:sz w:val="18"/>
                <w:szCs w:val="18"/>
                <w:rtl/>
              </w:rPr>
              <w:t xml:space="preserve"> سقف قطاع المقاولات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المقاولات: لا تتجاوز الدرجة المنفردة Baa2 (تقلّب الطلب الحكومي وتجربة 2016–2018)</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الترتيب:</w:t>
      </w:r>
      <w:r>
        <w:rPr>
          <w:rFonts w:ascii="Arial" w:cs="Arial" w:eastAsia="Arial" w:hAnsi="Arial"/>
          <w:b w:val="false"/>
          <w:bCs w:val="false"/>
          <w:sz w:val="21"/>
          <w:szCs w:val="21"/>
          <w:rtl/>
        </w:rPr>
        <w:t xml:space="preserve"> التنزيل، ثم السقوف المنفردة فتنتج الدرجة المنفردة، ثم دعم المجموعة، ثم التجاوز، ثم السقوف المطلقة. فلا يرفع الدعم سقفًا مطلقًا، ويستطيع رفع تابعة خاسرة دعمتها أمها قبل السقف المطلق.</w:t>
      </w:r>
    </w:p>
    <w:p>
      <w:pPr>
        <w:pStyle w:val="ListParagraph"/>
        <w:numPr>
          <w:ilvl w:val="0"/>
          <w:numId w:val="2"/>
        </w:numPr>
        <w:bidi/>
        <w:spacing w:after="70" w:before="0" w:line="300"/>
      </w:pPr>
      <w:r>
        <w:rPr>
          <w:rFonts w:ascii="Arial" w:cs="Arial" w:eastAsia="Arial" w:hAnsi="Arial"/>
          <w:b/>
          <w:bCs/>
          <w:sz w:val="21"/>
          <w:szCs w:val="21"/>
          <w:rtl/>
        </w:rPr>
        <w:t xml:space="preserve">الذكر في التقرير:</w:t>
      </w:r>
      <w:r>
        <w:rPr>
          <w:rFonts w:ascii="Arial" w:cs="Arial" w:eastAsia="Arial" w:hAnsi="Arial"/>
          <w:b w:val="false"/>
          <w:bCs w:val="false"/>
          <w:sz w:val="21"/>
          <w:szCs w:val="21"/>
          <w:rtl/>
        </w:rPr>
        <w:t xml:space="preserve"> كل تنزيل يُذكر. ويُذكر كل سقف من الاستمرارية وحقوق الملكية والخسائر والرأي السلبي، ولو لم يغيّر الدرجة. أما سقوف الحجم والقطاع والسيادي فلا تُذكر إلا حين تغيّر الدرجة، لأنها تنطبق على أغلب الشركات.</w:t>
      </w:r>
    </w:p>
    <w:p>
      <w:pPr>
        <w:pStyle w:val="ListParagraph"/>
        <w:numPr>
          <w:ilvl w:val="0"/>
          <w:numId w:val="2"/>
        </w:numPr>
        <w:bidi/>
        <w:spacing w:after="70" w:before="0" w:line="300"/>
      </w:pPr>
      <w:r>
        <w:rPr>
          <w:rFonts w:ascii="Arial" w:cs="Arial" w:eastAsia="Arial" w:hAnsi="Arial"/>
          <w:b/>
          <w:bCs/>
          <w:sz w:val="21"/>
          <w:szCs w:val="21"/>
          <w:rtl/>
        </w:rPr>
        <w:t xml:space="preserve">الخروقات:</w:t>
      </w:r>
      <w:r>
        <w:rPr>
          <w:rFonts w:ascii="Arial" w:cs="Arial" w:eastAsia="Arial" w:hAnsi="Arial"/>
          <w:b w:val="false"/>
          <w:bCs w:val="false"/>
          <w:sz w:val="21"/>
          <w:szCs w:val="21"/>
          <w:rtl/>
        </w:rPr>
        <w:t xml:space="preserve"> يُعدّ الخرق المفتوح لتعهد مالي أو قيدي، بلا طلب تنازل، حالة تعثر قد تمتد إلى التسهيلات الأخرى، فيُنزَّل درجتين. وطلب التنازل يجعله درجة واحدة. والخرق المعالج أو المتنازل عنه، وتأخر التقارير، لا ينزّل.</w:t>
      </w:r>
    </w:p>
    <w:p>
      <w:pPr>
        <w:pStyle w:val="ListParagraph"/>
        <w:numPr>
          <w:ilvl w:val="0"/>
          <w:numId w:val="2"/>
        </w:numPr>
        <w:bidi/>
        <w:spacing w:after="70" w:before="0" w:line="300"/>
      </w:pPr>
      <w:r>
        <w:rPr>
          <w:rFonts w:ascii="Arial" w:cs="Arial" w:eastAsia="Arial" w:hAnsi="Arial"/>
          <w:b/>
          <w:bCs/>
          <w:sz w:val="21"/>
          <w:szCs w:val="21"/>
          <w:rtl/>
        </w:rPr>
        <w:t xml:space="preserve">السيولة المحوَّلة إلى البنك:</w:t>
      </w:r>
      <w:r>
        <w:rPr>
          <w:rFonts w:ascii="Arial" w:cs="Arial" w:eastAsia="Arial" w:hAnsi="Arial"/>
          <w:b w:val="false"/>
          <w:bCs w:val="false"/>
          <w:sz w:val="21"/>
          <w:szCs w:val="21"/>
          <w:rtl/>
        </w:rPr>
        <w:t xml:space="preserve"> التأخر عن المطلوب نقطة مراقبة لا تنزيل، لأنها علاقة مع البنك وانخفاض الإيراد الحقيقي يظهر في النسب. أما العجز عن المطلوب حتى تاريخه بأكثر من ربع، فيدل على تحويل التدفقات بعيدًا عن البنك، فيُنزَّل درجة.</w:t>
      </w:r>
    </w:p>
    <w:p>
      <w:pPr>
        <w:pStyle w:val="ListParagraph"/>
        <w:numPr>
          <w:ilvl w:val="0"/>
          <w:numId w:val="2"/>
        </w:numPr>
        <w:bidi/>
        <w:spacing w:after="70" w:before="0" w:line="300"/>
      </w:pPr>
      <w:r>
        <w:rPr>
          <w:rFonts w:ascii="Arial" w:cs="Arial" w:eastAsia="Arial" w:hAnsi="Arial"/>
          <w:b/>
          <w:bCs/>
          <w:sz w:val="21"/>
          <w:szCs w:val="21"/>
          <w:rtl/>
        </w:rPr>
        <w:t xml:space="preserve">السقف السيادي</w:t>
      </w:r>
      <w:r>
        <w:rPr>
          <w:rFonts w:ascii="Arial" w:cs="Arial" w:eastAsia="Arial" w:hAnsi="Arial"/>
          <w:b w:val="false"/>
          <w:bCs w:val="false"/>
          <w:sz w:val="21"/>
          <w:szCs w:val="21"/>
          <w:rtl/>
        </w:rPr>
        <w:t xml:space="preserve"> Aa3: تصنيف موديز للمملكة منذ نوفمبر 2024 (§17)، ويُتحقق منه دوريًا (§15).</w:t>
      </w:r>
    </w:p>
    <w:p>
      <w:pPr>
        <w:bidi/>
        <w:spacing w:after="60" w:before="0"/>
      </w:pPr>
    </w:p>
    <w:p>
      <w:pPr>
        <w:pStyle w:val="Heading1"/>
        <w:bidi/>
      </w:pPr>
      <w:bookmarkStart w:name="_sec17" w:id="17"/>
      <w:r>
        <w:rPr>
          <w:rFonts w:ascii="Arial" w:cs="Arial" w:eastAsia="Arial" w:hAnsi="Arial"/>
          <w:b/>
          <w:bCs/>
          <w:color w:val="1F3A5F"/>
          <w:sz w:val="32"/>
          <w:szCs w:val="32"/>
          <w:rtl/>
        </w:rPr>
        <w:t xml:space="preserve">8. نقاط القوة والضعف والمخاطر</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1557"/>
        <w:gridCol w:w="1817"/>
        <w:gridCol w:w="2078"/>
        <w:gridCol w:w="1557"/>
        <w:gridCol w:w="1038"/>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قوة</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2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للمراقبة</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ضعف</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خطر حرج</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في البطاقة</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درجته A أو أفضل (≤ 7.5)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درجته B أو أسوأ (&gt; 13.5)</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بند</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وتذكر القوة</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أو معتدلة، أو لم يُقيَّم</w:t>
            </w:r>
          </w:p>
        </w:tc>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حرجة</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اختُبر على القائمة</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ملتزم بهامش 25% فأكثر</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ملتزم بهامش بين 10% و25%</w:t>
            </w:r>
          </w:p>
        </w:tc>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أو ملتزم بهامش أقل من 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تحويلات في تاريخ التقييم</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مستوفى</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المسار، أو بلا بيانات</w:t>
            </w:r>
          </w:p>
        </w:tc>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متأخر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وكل تعديل غيّر الدرجة يُذكر بنصه، وكذلك دعم المجموعة وتجاوز المحلل بمبرّرهما. والنصوص من قاموس المقاييس تُكتب بالقيمة والدرجة وقت الحساب، فلا تتغير بعده.</w:t>
      </w:r>
    </w:p>
    <w:p>
      <w:pPr>
        <w:pStyle w:val="Heading1"/>
        <w:bidi/>
      </w:pPr>
      <w:bookmarkStart w:name="_sec18" w:id="18"/>
      <w:r>
        <w:rPr>
          <w:rFonts w:ascii="Arial" w:cs="Arial" w:eastAsia="Arial" w:hAnsi="Arial"/>
          <w:b/>
          <w:bCs/>
          <w:color w:val="1F3A5F"/>
          <w:sz w:val="32"/>
          <w:szCs w:val="32"/>
          <w:rtl/>
        </w:rPr>
        <w:t xml:space="preserve">9. التوافق مع التعهدات والسيولة المحوَّلة</w:t>
      </w:r>
      <w:bookmarkEnd w:id="18"/>
    </w:p>
    <w:p>
      <w:pPr>
        <w:pStyle w:val="ListParagraph"/>
        <w:numPr>
          <w:ilvl w:val="0"/>
          <w:numId w:val="2"/>
        </w:numPr>
        <w:bidi/>
        <w:spacing w:after="70" w:before="0" w:line="300"/>
      </w:pPr>
      <w:r>
        <w:rPr>
          <w:rFonts w:ascii="Arial" w:cs="Arial" w:eastAsia="Arial" w:hAnsi="Arial"/>
          <w:b/>
          <w:bCs/>
          <w:sz w:val="21"/>
          <w:szCs w:val="21"/>
          <w:rtl/>
        </w:rPr>
        <w:t xml:space="preserve">التعهدات التي اختُبرت على القائمة.</w:t>
      </w:r>
      <w:r>
        <w:rPr>
          <w:rFonts w:ascii="Arial" w:cs="Arial" w:eastAsia="Arial" w:hAnsi="Arial"/>
          <w:b w:val="false"/>
          <w:bCs w:val="false"/>
          <w:sz w:val="21"/>
          <w:szCs w:val="21"/>
          <w:rtl/>
        </w:rPr>
        <w:t xml:space="preserve"> يقرأ التقييم آخر تقييم لكل فترة تعهد قرأ هذه القائمة (</w:t>
      </w:r>
      <w:r>
        <w:rPr>
          <w:rFonts w:ascii="Courier New" w:cs="Courier New" w:eastAsia="Courier New" w:hAnsi="Courier New"/>
          <w:b w:val="false"/>
          <w:bCs w:val="false"/>
          <w:color w:val="1F2937"/>
          <w:sz w:val="18"/>
          <w:szCs w:val="18"/>
          <w:shd w:fill="F1F3F5" w:color="auto" w:val="clear"/>
          <w:rtl/>
        </w:rPr>
        <w:t xml:space="preserve">‎obl.CovenantTestStatement‎</w:t>
      </w:r>
      <w:r>
        <w:rPr>
          <w:rFonts w:ascii="Arial" w:cs="Arial" w:eastAsia="Arial" w:hAnsi="Arial"/>
          <w:b w:val="false"/>
          <w:bCs w:val="false"/>
          <w:sz w:val="21"/>
          <w:szCs w:val="21"/>
          <w:rtl/>
        </w:rPr>
        <w:t xml:space="preserve">، 045). ويعرض الفعلي والحد والمشغّل والهامش وسجل الخرق، ويصنّفها كما في §8. فيظهر في التقرير نفسه كل خرق ناشئ عن القائمة في ظل التعهدات، وكل هامش ضيق.</w:t>
      </w:r>
    </w:p>
    <w:p>
      <w:pPr>
        <w:pStyle w:val="ListParagraph"/>
        <w:numPr>
          <w:ilvl w:val="0"/>
          <w:numId w:val="2"/>
        </w:numPr>
        <w:bidi/>
        <w:spacing w:after="70" w:before="0" w:line="300"/>
      </w:pPr>
      <w:r>
        <w:rPr>
          <w:rFonts w:ascii="Arial" w:cs="Arial" w:eastAsia="Arial" w:hAnsi="Arial"/>
          <w:b/>
          <w:bCs/>
          <w:sz w:val="21"/>
          <w:szCs w:val="21"/>
          <w:rtl/>
        </w:rPr>
        <w:t xml:space="preserve">سجل الخروقات في تاريخ التقييم.</w:t>
      </w:r>
      <w:r>
        <w:rPr>
          <w:rFonts w:ascii="Arial" w:cs="Arial" w:eastAsia="Arial" w:hAnsi="Arial"/>
          <w:b w:val="false"/>
          <w:bCs w:val="false"/>
          <w:sz w:val="21"/>
          <w:szCs w:val="21"/>
          <w:rtl/>
        </w:rPr>
        <w:t xml:space="preserve"> الخروقات المفتوحة للشركة، مقترضةً أو مختبَرةً أو شركةً يسري عليها الالتزام، تنزّل الدرجة (§7).</w:t>
      </w:r>
    </w:p>
    <w:p>
      <w:pPr>
        <w:pStyle w:val="ListParagraph"/>
        <w:numPr>
          <w:ilvl w:val="0"/>
          <w:numId w:val="2"/>
        </w:numPr>
        <w:bidi/>
        <w:spacing w:after="70" w:before="0" w:line="300"/>
      </w:pPr>
      <w:r>
        <w:rPr>
          <w:rFonts w:ascii="Arial" w:cs="Arial" w:eastAsia="Arial" w:hAnsi="Arial"/>
          <w:b/>
          <w:bCs/>
          <w:sz w:val="21"/>
          <w:szCs w:val="21"/>
          <w:rtl/>
        </w:rPr>
        <w:t xml:space="preserve">أداء التحويلات.</w:t>
      </w:r>
      <w:r>
        <w:rPr>
          <w:rFonts w:ascii="Arial" w:cs="Arial" w:eastAsia="Arial" w:hAnsi="Arial"/>
          <w:b w:val="false"/>
          <w:bCs w:val="false"/>
          <w:sz w:val="21"/>
          <w:szCs w:val="21"/>
          <w:rtl/>
        </w:rPr>
        <w:t xml:space="preserve"> من </w:t>
      </w:r>
      <w:r>
        <w:rPr>
          <w:rFonts w:ascii="Courier New" w:cs="Courier New" w:eastAsia="Courier New" w:hAnsi="Courier New"/>
          <w:b w:val="false"/>
          <w:bCs w:val="false"/>
          <w:color w:val="1F2937"/>
          <w:sz w:val="18"/>
          <w:szCs w:val="18"/>
          <w:shd w:fill="F1F3F5" w:color="auto" w:val="clear"/>
          <w:rtl/>
        </w:rPr>
        <w:t xml:space="preserve">‎fin.fn_BankFlowPerformance‎</w:t>
      </w:r>
      <w:r>
        <w:rPr>
          <w:rFonts w:ascii="Arial" w:cs="Arial" w:eastAsia="Arial" w:hAnsi="Arial"/>
          <w:b w:val="false"/>
          <w:bCs w:val="false"/>
          <w:sz w:val="21"/>
          <w:szCs w:val="21"/>
          <w:rtl/>
        </w:rPr>
        <w:t xml:space="preserve"> في تاريخ التقييم، بقاعدة BR-FIN-016 التي اعتمدها المالك.</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القابضة والقوائم الموحدة</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w:t>
      </w:r>
      <w:r>
        <w:rPr>
          <w:rFonts w:ascii="Arial" w:cs="Arial" w:eastAsia="Arial" w:hAnsi="Arial"/>
          <w:b/>
          <w:bCs/>
          <w:sz w:val="21"/>
          <w:szCs w:val="21"/>
          <w:rtl/>
        </w:rPr>
        <w:t xml:space="preserve">القائمة الموحدة</w:t>
      </w:r>
      <w:r>
        <w:rPr>
          <w:rFonts w:ascii="Arial" w:cs="Arial" w:eastAsia="Arial" w:hAnsi="Arial"/>
          <w:b w:val="false"/>
          <w:bCs w:val="false"/>
          <w:sz w:val="21"/>
          <w:szCs w:val="21"/>
          <w:rtl/>
        </w:rPr>
        <w:t xml:space="preserve"> درجة المجموعة. ويعرض التقرير وحداتها بطريقة توحيدها ونسبة ملكيتها، ومع كل وحدة درجة آخر تقييم معتمد لقائمتها المنفردة (</w:t>
      </w:r>
      <w:r>
        <w:rPr>
          <w:rFonts w:ascii="Courier New" w:cs="Courier New" w:eastAsia="Courier New" w:hAnsi="Courier New"/>
          <w:b w:val="false"/>
          <w:bCs w:val="false"/>
          <w:color w:val="1F2937"/>
          <w:sz w:val="18"/>
          <w:szCs w:val="18"/>
          <w:shd w:fill="F1F3F5" w:color="auto" w:val="clear"/>
          <w:rtl/>
        </w:rPr>
        <w:t xml:space="preserve">‎fin.v_CreditAssessmentGroupUnits‎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w:t>
      </w:r>
      <w:r>
        <w:rPr>
          <w:rFonts w:ascii="Arial" w:cs="Arial" w:eastAsia="Arial" w:hAnsi="Arial"/>
          <w:b/>
          <w:bCs/>
          <w:sz w:val="21"/>
          <w:szCs w:val="21"/>
          <w:rtl/>
        </w:rPr>
        <w:t xml:space="preserve">القائمة المنفردة لقابضة</w:t>
      </w:r>
      <w:r>
        <w:rPr>
          <w:rFonts w:ascii="Arial" w:cs="Arial" w:eastAsia="Arial" w:hAnsi="Arial"/>
          <w:b w:val="false"/>
          <w:bCs w:val="false"/>
          <w:sz w:val="21"/>
          <w:szCs w:val="21"/>
          <w:rtl/>
        </w:rPr>
        <w:t xml:space="preserve"> يُنزَّل درجة، لأنه لا يُظهر ديون الوحدات ولا تدفقاتها. والأولى تقييم الموحدة.</w:t>
      </w:r>
    </w:p>
    <w:p>
      <w:pPr>
        <w:pStyle w:val="ListParagraph"/>
        <w:numPr>
          <w:ilvl w:val="0"/>
          <w:numId w:val="2"/>
        </w:numPr>
        <w:bidi/>
        <w:spacing w:after="70" w:before="0" w:line="300"/>
      </w:pPr>
      <w:r>
        <w:rPr>
          <w:rFonts w:ascii="Arial" w:cs="Arial" w:eastAsia="Arial" w:hAnsi="Arial"/>
          <w:b/>
          <w:bCs/>
          <w:sz w:val="21"/>
          <w:szCs w:val="21"/>
          <w:rtl/>
        </w:rPr>
        <w:t xml:space="preserve">التابعة</w:t>
      </w:r>
      <w:r>
        <w:rPr>
          <w:rFonts w:ascii="Arial" w:cs="Arial" w:eastAsia="Arial" w:hAnsi="Arial"/>
          <w:b w:val="false"/>
          <w:bCs w:val="false"/>
          <w:sz w:val="21"/>
          <w:szCs w:val="21"/>
          <w:rtl/>
        </w:rPr>
        <w:t xml:space="preserve"> تُرفع بدعم المجموعة من تقييم الأم أو القابضة الموحِّدة المعتمد (§3 الخطوة 8).</w:t>
      </w:r>
    </w:p>
    <w:p>
      <w:pPr>
        <w:bidi/>
        <w:spacing w:after="60" w:before="0"/>
      </w:pPr>
    </w:p>
    <w:p>
      <w:pPr>
        <w:pStyle w:val="Heading1"/>
        <w:bidi/>
      </w:pPr>
      <w:bookmarkStart w:name="_sec20" w:id="20"/>
      <w:r>
        <w:rPr>
          <w:rFonts w:ascii="Arial" w:cs="Arial" w:eastAsia="Arial" w:hAnsi="Arial"/>
          <w:b/>
          <w:bCs/>
          <w:color w:val="1F3A5F"/>
          <w:sz w:val="32"/>
          <w:szCs w:val="32"/>
          <w:rtl/>
        </w:rPr>
        <w:t xml:space="preserve">11. التقرير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3"/>
        <w:gridCol w:w="6541"/>
      </w:tblGrid>
      <w:tr>
        <w:trPr>
          <w:cantSplit/>
          <w:tblHeader/>
        </w:trPr>
        <w:tc>
          <w:tcPr>
            <w:tcW w:type="dxa" w:w="33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6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الشركة، والقائمة وأساسها وتأكيدها ومراجعها ورأيه، والبطاقة وإصدارها، والتاريخ، والسعر، وقائمة المقارنة، والحالة والاعتماد، والإخلاء</w:t>
            </w:r>
          </w:p>
        </w:tc>
        <w:tc>
          <w:tcPr>
            <w:tcW w:type="dxa" w:w="6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المجموع، والمؤشرة والمالية والمنفردة والنهائية، وفئة المخاطر ومعناها، ودرجة الاستثمار، والتغطية، وعدد نقاط القوة والمراقبة والضعف والمخاطر، والخلاصة، وهل التقييم حالي</w:t>
            </w:r>
          </w:p>
        </w:tc>
        <w:tc>
          <w:tcPr>
            <w:tcW w:type="dxa" w:w="6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العوامل: العامل والمقياس، والوزن والوزن الفعلي، والقيمة والدرجة والمساهمة، والسبب</w:t>
            </w:r>
          </w:p>
        </w:tc>
        <w:tc>
          <w:tcPr>
            <w:tcW w:type="dxa" w:w="6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‎fin.v_CreditAssessmentFactors‎</w:t>
            </w:r>
          </w:p>
        </w:tc>
      </w:tr>
      <w:tr>
        <w:trPr>
          <w:cantSplit/>
        </w:trPr>
        <w:tc>
          <w:tcPr>
            <w:tcW w:type="dxa" w:w="3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القوة والضعف والمخاطر والتعديلات</w:t>
            </w:r>
          </w:p>
        </w:tc>
        <w:tc>
          <w:tcPr>
            <w:tcW w:type="dxa" w:w="6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‎fin.v_CreditAssessmentFindings‎</w:t>
            </w:r>
          </w:p>
        </w:tc>
      </w:tr>
      <w:tr>
        <w:trPr>
          <w:cantSplit/>
        </w:trPr>
        <w:tc>
          <w:tcPr>
            <w:tcW w:type="dxa" w:w="3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البنود: كل بند وقيمته ومقارنته وتغيّره ونسبته ومستوى خطره</w:t>
            </w:r>
          </w:p>
        </w:tc>
        <w:tc>
          <w:tcPr>
            <w:tcW w:type="dxa" w:w="6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‎fin.fn_StatementItemAnalysis‎</w:t>
            </w:r>
          </w:p>
        </w:tc>
      </w:tr>
      <w:tr>
        <w:trPr>
          <w:cantSplit/>
        </w:trPr>
        <w:tc>
          <w:tcPr>
            <w:tcW w:type="dxa" w:w="3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التعهدات التي اختُبرت على القائمة وخروقاتها</w:t>
            </w:r>
          </w:p>
        </w:tc>
        <w:tc>
          <w:tcPr>
            <w:tcW w:type="dxa" w:w="6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‎fin.v_CreditAssessmentCovenants‎</w:t>
            </w:r>
          </w:p>
        </w:tc>
      </w:tr>
      <w:tr>
        <w:trPr>
          <w:cantSplit/>
        </w:trPr>
        <w:tc>
          <w:tcPr>
            <w:tcW w:type="dxa" w:w="3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المجموعة ودرجاتها</w:t>
            </w:r>
          </w:p>
        </w:tc>
        <w:tc>
          <w:tcPr>
            <w:tcW w:type="dxa" w:w="6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‎fin.v_CreditAssessmentGroupUnits‎</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الحوكمة والتحقق</w:t>
      </w:r>
      <w:bookmarkEnd w:id="21"/>
    </w:p>
    <w:p>
      <w:pPr>
        <w:pStyle w:val="ListParagraph"/>
        <w:numPr>
          <w:ilvl w:val="0"/>
          <w:numId w:val="2"/>
        </w:numPr>
        <w:bidi/>
        <w:spacing w:after="70" w:before="0" w:line="300"/>
      </w:pPr>
      <w:r>
        <w:rPr>
          <w:rFonts w:ascii="Arial" w:cs="Arial" w:eastAsia="Arial" w:hAnsi="Arial"/>
          <w:b/>
          <w:bCs/>
          <w:sz w:val="21"/>
          <w:szCs w:val="21"/>
          <w:rtl/>
        </w:rPr>
        <w:t xml:space="preserve">المسار.</w:t>
      </w:r>
      <w:r>
        <w:rPr>
          <w:rFonts w:ascii="Arial" w:cs="Arial" w:eastAsia="Arial" w:hAnsi="Arial"/>
          <w:b w:val="false"/>
          <w:bCs w:val="false"/>
          <w:sz w:val="21"/>
          <w:szCs w:val="21"/>
          <w:rtl/>
        </w:rPr>
        <w:t xml:space="preserve"> يُكتب التقييم مسودة ويُحسب، ويُقدَّم محسوبًا على ما يحمله الآن: إن تغيّر بعد حسابه شيء من قائمته أو تاريخه أو سعره أو مدخلاته، رُفض تقديمه حتى يُعاد حسابه. ثم يعتمده غير مُعِدّه، وبعد المسودة لا يتغير منه إلا حالته واعتماده (50063).</w:t>
      </w:r>
    </w:p>
    <w:p>
      <w:pPr>
        <w:pStyle w:val="ListParagraph"/>
        <w:numPr>
          <w:ilvl w:val="0"/>
          <w:numId w:val="2"/>
        </w:numPr>
        <w:bidi/>
        <w:spacing w:after="70" w:before="0" w:line="300"/>
      </w:pPr>
      <w:r>
        <w:rPr>
          <w:rFonts w:ascii="Arial" w:cs="Arial" w:eastAsia="Arial" w:hAnsi="Arial"/>
          <w:b/>
          <w:bCs/>
          <w:sz w:val="21"/>
          <w:szCs w:val="21"/>
          <w:rtl/>
        </w:rPr>
        <w:t xml:space="preserve">النتائج تكتبها القاعدة وحدها.</w:t>
      </w:r>
      <w:r>
        <w:rPr>
          <w:rFonts w:ascii="Arial" w:cs="Arial" w:eastAsia="Arial" w:hAnsi="Arial"/>
          <w:b w:val="false"/>
          <w:bCs w:val="false"/>
          <w:sz w:val="21"/>
          <w:szCs w:val="21"/>
          <w:rtl/>
        </w:rPr>
        <w:t xml:space="preserve"> دور التطبيق ممنوع من كتابة أعمدة النتيجة والعوامل والملاحظات، والإجراء وحده يكتبها.</w:t>
      </w:r>
    </w:p>
    <w:p>
      <w:pPr>
        <w:pStyle w:val="ListParagraph"/>
        <w:numPr>
          <w:ilvl w:val="0"/>
          <w:numId w:val="2"/>
        </w:numPr>
        <w:bidi/>
        <w:spacing w:after="70" w:before="0" w:line="300"/>
      </w:pPr>
      <w:r>
        <w:rPr>
          <w:rFonts w:ascii="Arial" w:cs="Arial" w:eastAsia="Arial" w:hAnsi="Arial"/>
          <w:b/>
          <w:bCs/>
          <w:sz w:val="21"/>
          <w:szCs w:val="21"/>
          <w:rtl/>
        </w:rPr>
        <w:t xml:space="preserve">المنهجية ثابتة بعد اعتمادها.</w:t>
      </w:r>
      <w:r>
        <w:rPr>
          <w:rFonts w:ascii="Arial" w:cs="Arial" w:eastAsia="Arial" w:hAnsi="Arial"/>
          <w:b w:val="false"/>
          <w:bCs w:val="false"/>
          <w:sz w:val="21"/>
          <w:szCs w:val="21"/>
          <w:rtl/>
        </w:rPr>
        <w:t xml:space="preserve"> البطاقة المعتمدة ودرجاتها ومقاييسها لا تتغير، والتعديل إصدار جديد (50066)، فيبقى كل تقييم قابلًا لإعادة الإنتاج.</w:t>
      </w:r>
    </w:p>
    <w:p>
      <w:pPr>
        <w:pStyle w:val="ListParagraph"/>
        <w:numPr>
          <w:ilvl w:val="0"/>
          <w:numId w:val="2"/>
        </w:numPr>
        <w:bidi/>
        <w:spacing w:after="70" w:before="0" w:line="300"/>
      </w:pPr>
      <w:r>
        <w:rPr>
          <w:rFonts w:ascii="Arial" w:cs="Arial" w:eastAsia="Arial" w:hAnsi="Arial"/>
          <w:b/>
          <w:bCs/>
          <w:sz w:val="21"/>
          <w:szCs w:val="21"/>
          <w:rtl/>
        </w:rPr>
        <w:t xml:space="preserve">الشركة تقيّم نفسها.</w:t>
      </w:r>
      <w:r>
        <w:rPr>
          <w:rFonts w:ascii="Arial" w:cs="Arial" w:eastAsia="Arial" w:hAnsi="Arial"/>
          <w:b w:val="false"/>
          <w:bCs w:val="false"/>
          <w:sz w:val="21"/>
          <w:szCs w:val="21"/>
          <w:rtl/>
        </w:rPr>
        <w:t xml:space="preserve"> المستخدمون هم الشركات، لا البنك. لذلك:</w:t>
      </w:r>
    </w:p>
    <w:p>
      <w:pPr>
        <w:pStyle w:val="ListParagraph"/>
        <w:numPr>
          <w:ilvl w:val="1"/>
          <w:numId w:val="2"/>
        </w:numPr>
        <w:bidi/>
        <w:spacing w:after="70" w:before="0" w:line="300"/>
      </w:pPr>
      <w:r>
        <w:rPr>
          <w:rFonts w:ascii="Arial" w:cs="Arial" w:eastAsia="Arial" w:hAnsi="Arial"/>
          <w:b w:val="false"/>
          <w:bCs w:val="false"/>
          <w:sz w:val="21"/>
          <w:szCs w:val="21"/>
          <w:rtl/>
        </w:rPr>
        <w:t xml:space="preserve">لا درجة نهائية بلا العوامل النوعية؛</w:t>
      </w:r>
    </w:p>
    <w:p>
      <w:pPr>
        <w:pStyle w:val="ListParagraph"/>
        <w:numPr>
          <w:ilvl w:val="1"/>
          <w:numId w:val="2"/>
        </w:numPr>
        <w:bidi/>
        <w:spacing w:after="70" w:before="0" w:line="300"/>
      </w:pPr>
      <w:r>
        <w:rPr>
          <w:rFonts w:ascii="Arial" w:cs="Arial" w:eastAsia="Arial" w:hAnsi="Arial"/>
          <w:b w:val="false"/>
          <w:bCs w:val="false"/>
          <w:sz w:val="21"/>
          <w:szCs w:val="21"/>
          <w:rtl/>
        </w:rPr>
        <w:t xml:space="preserve">الدرجة النوعية التي تبعد عن المالية أكثر من ثلاث درجات تحتاج مستندًا؛</w:t>
      </w:r>
    </w:p>
    <w:p>
      <w:pPr>
        <w:pStyle w:val="ListParagraph"/>
        <w:numPr>
          <w:ilvl w:val="1"/>
          <w:numId w:val="2"/>
        </w:numPr>
        <w:bidi/>
        <w:spacing w:after="70" w:before="0" w:line="300"/>
      </w:pPr>
      <w:r>
        <w:rPr>
          <w:rFonts w:ascii="Arial" w:cs="Arial" w:eastAsia="Arial" w:hAnsi="Arial"/>
          <w:b w:val="false"/>
          <w:bCs w:val="false"/>
          <w:sz w:val="21"/>
          <w:szCs w:val="21"/>
          <w:rtl/>
        </w:rPr>
        <w:t xml:space="preserve">رفع التجاوز درجة واحدة؛</w:t>
      </w:r>
    </w:p>
    <w:p>
      <w:pPr>
        <w:pStyle w:val="ListParagraph"/>
        <w:numPr>
          <w:ilvl w:val="1"/>
          <w:numId w:val="2"/>
        </w:numPr>
        <w:bidi/>
        <w:spacing w:after="70" w:before="0" w:line="300"/>
      </w:pPr>
      <w:r>
        <w:rPr>
          <w:rFonts w:ascii="Arial" w:cs="Arial" w:eastAsia="Arial" w:hAnsi="Arial"/>
          <w:b w:val="false"/>
          <w:bCs w:val="false"/>
          <w:sz w:val="21"/>
          <w:szCs w:val="21"/>
          <w:rtl/>
        </w:rPr>
        <w:t xml:space="preserve">كل مدخل بمبرّر مكتوب.</w:t>
      </w:r>
    </w:p>
    <w:p>
      <w:pPr>
        <w:pStyle w:val="ListParagraph"/>
        <w:numPr>
          <w:ilvl w:val="0"/>
          <w:numId w:val="2"/>
        </w:numPr>
        <w:bidi/>
        <w:spacing w:after="70" w:before="0" w:line="300"/>
      </w:pPr>
      <w:r>
        <w:rPr>
          <w:rFonts w:ascii="Arial" w:cs="Arial" w:eastAsia="Arial" w:hAnsi="Arial"/>
          <w:b/>
          <w:bCs/>
          <w:sz w:val="21"/>
          <w:szCs w:val="21"/>
          <w:rtl/>
        </w:rPr>
        <w:t xml:space="preserve">التحقق قبل الاستعمال في قرار.</w:t>
      </w:r>
      <w:r>
        <w:rPr>
          <w:rFonts w:ascii="Arial" w:cs="Arial" w:eastAsia="Arial" w:hAnsi="Arial"/>
          <w:b w:val="false"/>
          <w:bCs w:val="false"/>
          <w:sz w:val="21"/>
          <w:szCs w:val="21"/>
          <w:rtl/>
        </w:rPr>
        <w:t xml:space="preserve"> على إدارة مخاطر الائتمان في البنك أو جهة تحقق مستقلة:</w:t>
      </w:r>
    </w:p>
    <w:p>
      <w:pPr>
        <w:pStyle w:val="ListParagraph"/>
        <w:numPr>
          <w:ilvl w:val="1"/>
          <w:numId w:val="4"/>
        </w:numPr>
        <w:bidi/>
        <w:spacing w:after="70" w:before="0" w:line="300"/>
      </w:pPr>
      <w:r>
        <w:rPr>
          <w:rFonts w:ascii="Arial" w:cs="Arial" w:eastAsia="Arial" w:hAnsi="Arial"/>
          <w:b w:val="false"/>
          <w:bCs w:val="false"/>
          <w:sz w:val="21"/>
          <w:szCs w:val="21"/>
          <w:rtl/>
        </w:rPr>
        <w:t xml:space="preserve">مقارنة الدرجات بتصنيفات البنك الداخلية لعينة من المقترضين؛</w:t>
      </w:r>
    </w:p>
    <w:p>
      <w:pPr>
        <w:pStyle w:val="ListParagraph"/>
        <w:numPr>
          <w:ilvl w:val="1"/>
          <w:numId w:val="4"/>
        </w:numPr>
        <w:bidi/>
        <w:spacing w:after="70" w:before="0" w:line="300"/>
      </w:pPr>
      <w:r>
        <w:rPr>
          <w:rFonts w:ascii="Arial" w:cs="Arial" w:eastAsia="Arial" w:hAnsi="Arial"/>
          <w:b w:val="false"/>
          <w:bCs w:val="false"/>
          <w:sz w:val="21"/>
          <w:szCs w:val="21"/>
          <w:rtl/>
        </w:rPr>
        <w:t xml:space="preserve">اختبار الحدود رجوعيًا على حالات تعثر سابقة إن توفرت؛</w:t>
      </w:r>
    </w:p>
    <w:p>
      <w:pPr>
        <w:pStyle w:val="ListParagraph"/>
        <w:numPr>
          <w:ilvl w:val="1"/>
          <w:numId w:val="4"/>
        </w:numPr>
        <w:bidi/>
        <w:spacing w:after="70" w:before="0" w:line="300"/>
      </w:pPr>
      <w:r>
        <w:rPr>
          <w:rFonts w:ascii="Arial" w:cs="Arial" w:eastAsia="Arial" w:hAnsi="Arial"/>
          <w:b w:val="false"/>
          <w:bCs w:val="false"/>
          <w:sz w:val="21"/>
          <w:szCs w:val="21"/>
          <w:rtl/>
        </w:rPr>
        <w:t xml:space="preserve">مراجعة المعايرة سنويًا؛</w:t>
      </w:r>
    </w:p>
    <w:p>
      <w:pPr>
        <w:pStyle w:val="ListParagraph"/>
        <w:numPr>
          <w:ilvl w:val="1"/>
          <w:numId w:val="4"/>
        </w:numPr>
        <w:bidi/>
        <w:spacing w:after="70" w:before="0" w:line="300"/>
      </w:pPr>
      <w:r>
        <w:rPr>
          <w:rFonts w:ascii="Arial" w:cs="Arial" w:eastAsia="Arial" w:hAnsi="Arial"/>
          <w:b w:val="false"/>
          <w:bCs w:val="false"/>
          <w:sz w:val="21"/>
          <w:szCs w:val="21"/>
          <w:rtl/>
        </w:rPr>
        <w:t xml:space="preserve">متابعة نسبة التجاوزات واتجاهها.</w:t>
      </w:r>
    </w:p>
    <w:p>
      <w:pPr>
        <w:bidi/>
        <w:spacing w:after="70" w:before="0" w:line="300"/>
        <w:ind w:left="574"/>
      </w:pPr>
      <w:r>
        <w:rPr>
          <w:rFonts w:ascii="Arial" w:cs="Arial" w:eastAsia="Arial" w:hAnsi="Arial"/>
          <w:b w:val="false"/>
          <w:bCs w:val="false"/>
          <w:sz w:val="21"/>
          <w:szCs w:val="21"/>
          <w:rtl/>
        </w:rPr>
        <w:t xml:space="preserve">وأي تعديل لحد أو وزن إصدار جديد للبطاقة بتاريخ سريانه.</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المراجعة المستقلة</w:t>
      </w:r>
      <w:bookmarkEnd w:id="22"/>
    </w:p>
    <w:p>
      <w:pPr>
        <w:bidi/>
        <w:spacing w:after="110" w:before="0" w:line="312"/>
      </w:pPr>
      <w:r>
        <w:rPr>
          <w:rFonts w:ascii="Arial" w:cs="Arial" w:eastAsia="Arial" w:hAnsi="Arial"/>
          <w:b w:val="false"/>
          <w:bCs w:val="false"/>
          <w:sz w:val="21"/>
          <w:szCs w:val="21"/>
          <w:rtl/>
        </w:rPr>
        <w:t xml:space="preserve">راجع المعايرة الأولى وكيل ذكاء اصطناعي منفصل في دور محلل ائتمان أول بخبرة في البنوك السعودية والخليجية وفي بطاقات موديز، ولم يشارك في بنائها. فهي مراجعة آلية مستقلة، لا رأي محلل بشري، ولا تغني عن التحقق في §12. مرر حالات ضغط، وخلص إلى أن البنية صحيحة، وأن المعايرة الأولى أخطأت في حالات معتادة بثلاث إلى ثماني درجات. أهم ما وجده وما تغيّر به: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87"/>
        <w:gridCol w:w="5177"/>
      </w:tblGrid>
      <w:tr>
        <w:trPr>
          <w:cantSplit/>
          <w:tblHeader/>
        </w:trPr>
        <w:tc>
          <w:tcPr>
            <w:tcW w:type="dxa" w:w="4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c>
          <w:tcPr>
            <w:tcW w:type="dxa" w:w="5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دين» يعطي Aaa على 42.5% من الوزن ولو كان EBITDA سالبًا، فخرج مقاول خاسر بلا دين Baa1</w:t>
            </w:r>
          </w:p>
        </w:tc>
        <w:tc>
          <w:tcPr>
            <w:tcW w:type="dxa" w:w="5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دين يعطي أفضل درجة مع EBITDA موجب فقط، وأسوأها مع سالب (§4.2)</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من الوزن على نسب تبلغ Aa بقيم «قوية» عادية، فخرج مصنّع بإيراد 1.5 مليار Aa3</w:t>
            </w:r>
          </w:p>
        </w:tc>
        <w:tc>
          <w:tcPr>
            <w:tcW w:type="dxa" w:w="5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الأوزان: الحجم 15% والنوعي 25% والتغطية 12.5%، وسقف الحجم A3 دون 3 مليارات</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حقوق الملكية تتجاهل قروض الشركاء المساندة، فهبطت شركة عائلية Baa3 إلى B3 أو Caa3</w:t>
            </w:r>
          </w:p>
        </w:tc>
        <w:tc>
          <w:tcPr>
            <w:tcW w:type="dxa" w:w="5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وشبهها في كل اختبار، وسقف حقوق الملكية السالبة Caa1، وخسارة النصف المعالجة تنزيل درجة لا سقف</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وخطابات الضمان لا تؤثر في الدرجة</w:t>
            </w:r>
          </w:p>
        </w:tc>
        <w:tc>
          <w:tcPr>
            <w:tcW w:type="dxa" w:w="5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مقسّمة إلى أربعة بنود، ومقياس بوزن 5% في المقاولات</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أقساط أصل الدين المسددة تشمل تدوير المرابحات، فصارت تغطية الدين 0.03</w:t>
            </w:r>
          </w:p>
        </w:tc>
        <w:tc>
          <w:tcPr>
            <w:tcW w:type="dxa" w:w="5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الأقساط المجدولة: الجزء المتداول في قائمة المقارنة</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بند التوزيعات يُسقط قائمة التدفقات، وحجبها يكسب درجة</w:t>
            </w:r>
          </w:p>
        </w:tc>
        <w:tc>
          <w:tcPr>
            <w:tcW w:type="dxa" w:w="5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التدفقات مقدَّمة ببند غير صفري، وتنزيل درجة لقائمة بلا تدفقات</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 مجمل الربح − المصاريف يخطئ حين يكون الاستهلاك في تكلفة المبيعات</w:t>
            </w:r>
          </w:p>
        </w:tc>
        <w:tc>
          <w:tcPr>
            <w:tcW w:type="dxa" w:w="5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 الربح التشغيلي + الاستهلاك</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سيادي ولا استمرارية</w:t>
            </w:r>
          </w:p>
        </w:tc>
        <w:tc>
          <w:tcPr>
            <w:tcW w:type="dxa" w:w="5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Aa3 مطلق، وسقف Caa1 للشك في الاستمرارية</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تقيّم نفسها</w:t>
            </w:r>
          </w:p>
        </w:tc>
        <w:tc>
          <w:tcPr>
            <w:tcW w:type="dxa" w:w="5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نهائية بلا نوعي، وحد ثلاث درجات، ورفع التجاوز درجة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مقترحاته أيضًا، وقد بُني:</w:t>
      </w:r>
    </w:p>
    <w:p>
      <w:pPr>
        <w:pStyle w:val="ListParagraph"/>
        <w:numPr>
          <w:ilvl w:val="0"/>
          <w:numId w:val="2"/>
        </w:numPr>
        <w:bidi/>
        <w:spacing w:after="70" w:before="0" w:line="300"/>
      </w:pPr>
      <w:r>
        <w:rPr>
          <w:rFonts w:ascii="Arial" w:cs="Arial" w:eastAsia="Arial" w:hAnsi="Arial"/>
          <w:b w:val="false"/>
          <w:bCs w:val="false"/>
          <w:sz w:val="21"/>
          <w:szCs w:val="21"/>
          <w:rtl/>
        </w:rPr>
        <w:t xml:space="preserve">شبكات القطاعات وحدود البنود؛</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مكافأة نهاية الخدمة، والزكاة المتنازع عليها، والمستحق للأطراف ذات العلاقة، والأصول المتداولة الأخرى، وأصول العقود، والكفالات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تنزيل الخرق بلا تنازل درجتين؛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تنزيل عجز التحويلات؛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تنزيل إعادة العرض الجوهرية؛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تنزيل القائمة المنفردة للقابضة؛</w:t>
      </w:r>
    </w:p>
    <w:p>
      <w:pPr>
        <w:pStyle w:val="ListParagraph"/>
        <w:numPr>
          <w:ilvl w:val="0"/>
          <w:numId w:val="2"/>
        </w:numPr>
        <w:bidi/>
        <w:spacing w:after="70" w:before="0" w:line="300"/>
      </w:pPr>
      <w:r>
        <w:rPr>
          <w:rFonts w:ascii="Arial" w:cs="Arial" w:eastAsia="Arial" w:hAnsi="Arial"/>
          <w:b w:val="false"/>
          <w:bCs w:val="false"/>
          <w:sz w:val="21"/>
          <w:szCs w:val="21"/>
          <w:rtl/>
        </w:rPr>
        <w:t xml:space="preserve">تنزيل التعرض للأطراف ذات العلاقة؛</w:t>
      </w:r>
    </w:p>
    <w:p>
      <w:pPr>
        <w:pStyle w:val="ListParagraph"/>
        <w:numPr>
          <w:ilvl w:val="0"/>
          <w:numId w:val="2"/>
        </w:numPr>
        <w:bidi/>
        <w:spacing w:after="70" w:before="0" w:line="300"/>
      </w:pPr>
      <w:r>
        <w:rPr>
          <w:rFonts w:ascii="Arial" w:cs="Arial" w:eastAsia="Arial" w:hAnsi="Arial"/>
          <w:b w:val="false"/>
          <w:bCs w:val="false"/>
          <w:sz w:val="21"/>
          <w:szCs w:val="21"/>
          <w:rtl/>
        </w:rPr>
        <w:t xml:space="preserve">متوسط التدفق التشغيلي لسنتين؛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العائد التشغيلي على الأصول؛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الأعلى من تكاليف التمويل والمدفوع منها.</w:t>
      </w:r>
    </w:p>
    <w:p>
      <w:pPr>
        <w:bidi/>
        <w:spacing w:after="60" w:before="0"/>
      </w:pPr>
    </w:p>
    <w:p>
      <w:pPr>
        <w:bidi/>
        <w:spacing w:after="110" w:before="0" w:line="312"/>
      </w:pPr>
      <w:r>
        <w:rPr>
          <w:rFonts w:ascii="Arial" w:cs="Arial" w:eastAsia="Arial" w:hAnsi="Arial"/>
          <w:b w:val="false"/>
          <w:bCs w:val="false"/>
          <w:sz w:val="21"/>
          <w:szCs w:val="21"/>
          <w:rtl/>
        </w:rPr>
        <w:t xml:space="preserve">ولم يُبنَ مما اقترحه: الأشهر الاثني عشر الأخيرة للقوائم المرحلية، ومتوسط الأرصدة لأيام الدوران، وأثر ضريبة القيمة المضافة، والحدود غير المسحوبة في السيولة، وتنزيل أدق لرأي المراجع المتحفظ بحسب موضوعه، والتأخر في السداد والتعثر، واستبدال الضمان وسحب الأم. كلها في §16.</w:t>
      </w:r>
    </w:p>
    <w:p>
      <w:pPr>
        <w:bidi/>
        <w:spacing w:after="110" w:before="0" w:line="312"/>
      </w:pPr>
      <w:r>
        <w:rPr>
          <w:rFonts w:ascii="Arial" w:cs="Arial" w:eastAsia="Arial" w:hAnsi="Arial"/>
          <w:b/>
          <w:bCs/>
          <w:sz w:val="21"/>
          <w:szCs w:val="21"/>
          <w:rtl/>
        </w:rPr>
        <w:t xml:space="preserve">حالات الضغط بعد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‎tools/dbgen/credit_stress.py‎</w:t>
      </w:r>
      <w:r>
        <w:rPr>
          <w:rFonts w:ascii="Arial" w:cs="Arial" w:eastAsia="Arial" w:hAnsi="Arial"/>
          <w:b w:val="false"/>
          <w:bCs w:val="false"/>
          <w:sz w:val="21"/>
          <w:szCs w:val="21"/>
          <w:rtl/>
        </w:rPr>
        <w:t xml:space="preserve">؛ تفشل الخطوة 3 في CI إن خرجت حالة عن مدى المراجع):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6"/>
        <w:gridCol w:w="1020"/>
        <w:gridCol w:w="1992"/>
        <w:gridCol w:w="866"/>
        <w:gridCol w:w="996"/>
        <w:gridCol w:w="866"/>
        <w:gridCol w:w="2392"/>
        <w:gridCol w:w="866"/>
      </w:tblGrid>
      <w:tr>
        <w:trPr>
          <w:cantSplit/>
          <w:tblHeader/>
        </w:trPr>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توقع المراجع</w:t>
            </w:r>
          </w:p>
        </w:tc>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2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التعديلات</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r>
      <w:tr>
        <w:trPr>
          <w:cantSplit/>
        </w:trPr>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بإيراد 4 مليارات وهامش EBITDA 3% وتمويل تجاري قصير في معظمه</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11.89</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SOVEREIGN_CEILING</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نفسه، وتدوير مرابحات 3.1 مليار في أقساط أصل الدين المسددة</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11.89</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SOVEREIGN_CEILING</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بإيراد 300 مليون، وتحصيل 180 يومًا، وخطابات ضمان 3 أمثال صافي الثروة</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12.95</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SOVEREIGN_CEILING, SECTOR_CEILING</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 نفسه، والمحتجزات مدخلة أصول عقود</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12.95</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SOVEREIGN_CEILING, SECTOR_CEILING</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خاسرة بخسائر متراكمة 60% من رأس المال وتغطية فوائد 0.4</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17.58</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 SIZE_CEILING, SOVEREIGN_CEILING</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عائلية: رأس مال 10 ملايين وخسائر 6 ملايين وقروض شركاء مساندة 416 مليونًا</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10.15</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SOVEREIGN_CEILING</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نفسها بحقوق ملكية دفترية سالبة (−2 مليون)</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10.15</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SOVEREIGN_CEILING</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بلا دين، وEBITDA −10 ملايين، وتدفق تشغيلي −15 مليونًا، وخطابات ضمان 2.5 مثل</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15.80</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SOVEREIGN_CEILING, SECTOR_CEILING</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بإيراد 1.5 مليار وهامش 25% ودين 0.8 مثل EBITDA</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 إلى Baa2</w:t>
            </w:r>
          </w:p>
        </w:tc>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SOVEREIGN_CEILING</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بلا دين بإيراد 19.5 مليار</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 إلى A2</w:t>
            </w:r>
          </w:p>
        </w:tc>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SOVEREIGN_CEILING</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المصنّع (d) في سنة بناء رأس مال عامل، وتدفق تشغيلي −20 مليونًا</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 إلى Baa2</w:t>
            </w:r>
          </w:p>
        </w:tc>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6.86</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SOVEREIGN_CEILING</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e0</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المحسوب</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10.15</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SOVEREIGN_CEILING</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بلا قائمة تدفقات</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10.19</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INCOMPLETE_STATEMENT, SIZE_CEILING, SOVEREIGN_CEILING</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بتدفق تشغيلي −60 مليونًا</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Ba2</w:t>
            </w:r>
          </w:p>
        </w:tc>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10.94</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SOVEREIGN_CEILING</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بلا بند التوزيعات</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10.15</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SOVEREIGN_CEILING</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قائمة تدفقات ولا عوامل نوعية</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w:t>
            </w:r>
          </w:p>
        </w:tc>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INDICATIVE</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10.04</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bl>
    <w:p>
      <w:pPr>
        <w:bidi/>
        <w:spacing w:after="120" w:before="0"/>
      </w:pPr>
    </w:p>
    <w:p>
      <w:pPr>
        <w:bidi/>
        <w:spacing w:after="110" w:before="0" w:line="312"/>
      </w:pPr>
      <w:r>
        <w:rPr>
          <w:rFonts w:ascii="Arial" w:cs="Arial" w:eastAsia="Arial" w:hAnsi="Arial"/>
          <w:b w:val="false"/>
          <w:bCs w:val="false"/>
          <w:sz w:val="21"/>
          <w:szCs w:val="21"/>
          <w:rtl/>
        </w:rPr>
        <w:t xml:space="preserve">تُحسب حالات الضغط بلا قائمة مقارنة. لذلك يختلف مجموع الحالة e0 (10.15) قليلًا عن المثال المحسوب في §14 (10.11)، فهو يقرأ قائمة 2024 أيضًا، والدرجة واحدة: Baa3.</w:t>
      </w:r>
    </w:p>
    <w:p>
      <w:pPr>
        <w:pStyle w:val="Heading1"/>
        <w:bidi/>
      </w:pPr>
      <w:bookmarkStart w:name="_sec23" w:id="23"/>
      <w:r>
        <w:rPr>
          <w:rFonts w:ascii="Arial" w:cs="Arial" w:eastAsia="Arial" w:hAnsi="Arial"/>
          <w:b/>
          <w:bCs/>
          <w:color w:val="1F3A5F"/>
          <w:sz w:val="32"/>
          <w:szCs w:val="32"/>
          <w:rtl/>
        </w:rPr>
        <w:t xml:space="preserve">14. مثال محسوب</w:t>
      </w:r>
      <w:bookmarkEnd w:id="23"/>
    </w:p>
    <w:p>
      <w:pPr>
        <w:bidi/>
        <w:spacing w:after="110" w:before="0" w:line="312"/>
      </w:pPr>
      <w:r>
        <w:rPr>
          <w:rFonts w:ascii="Arial" w:cs="Arial" w:eastAsia="Arial" w:hAnsi="Arial"/>
          <w:b w:val="false"/>
          <w:bCs w:val="false"/>
          <w:sz w:val="21"/>
          <w:szCs w:val="21"/>
          <w:rtl/>
        </w:rPr>
        <w:t xml:space="preserve">شركة صناعية، قائمتها السنوية لعام 2025 مدققة برأي نظيف، بالريال: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الإيرادات 900 مليون، وEBITDA 130 مليونًا (الربح التشغيلي 90 + الاستهلاك 40)؛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الدين 390 مليونًا، وحقوق الملكية 420 مليونًا، والالتزامات المحتملة 210 ملايين؛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المقارنة لعام 2024 بإيرادات 850 مليونًا؛</w:t>
      </w:r>
    </w:p>
    <w:p>
      <w:pPr>
        <w:pStyle w:val="ListParagraph"/>
        <w:numPr>
          <w:ilvl w:val="0"/>
          <w:numId w:val="2"/>
        </w:numPr>
        <w:bidi/>
        <w:spacing w:after="70" w:before="0" w:line="300"/>
      </w:pPr>
      <w:r>
        <w:rPr>
          <w:rFonts w:ascii="Arial" w:cs="Arial" w:eastAsia="Arial" w:hAnsi="Arial"/>
          <w:b w:val="false"/>
          <w:bCs w:val="false"/>
          <w:sz w:val="21"/>
          <w:szCs w:val="21"/>
          <w:rtl/>
        </w:rPr>
        <w:t xml:space="preserve">تقدير المحلل: ملف الأعمال Ba1 والسياسة المالية Baa3؛</w:t>
      </w:r>
    </w:p>
    <w:p>
      <w:pPr>
        <w:pStyle w:val="ListParagraph"/>
        <w:numPr>
          <w:ilvl w:val="0"/>
          <w:numId w:val="2"/>
        </w:numPr>
        <w:bidi/>
        <w:spacing w:after="70" w:before="0" w:line="300"/>
      </w:pPr>
      <w:r>
        <w:rPr>
          <w:rFonts w:ascii="Arial" w:cs="Arial" w:eastAsia="Arial" w:hAnsi="Arial"/>
          <w:b w:val="false"/>
          <w:bCs w:val="false"/>
          <w:sz w:val="21"/>
          <w:szCs w:val="21"/>
          <w:rtl/>
        </w:rPr>
        <w:t xml:space="preserve">تاريخ التقييم 2026-04-30.</w:t>
      </w:r>
    </w:p>
    <w:p>
      <w:pPr>
        <w:bidi/>
        <w:spacing w:after="60" w:before="0"/>
      </w:pPr>
    </w:p>
    <w:p>
      <w:pPr>
        <w:bidi/>
        <w:spacing w:after="110" w:before="0" w:line="312"/>
      </w:pPr>
      <w:r>
        <w:rPr>
          <w:rFonts w:ascii="Arial" w:cs="Arial" w:eastAsia="Arial" w:hAnsi="Arial"/>
          <w:b w:val="false"/>
          <w:bCs w:val="false"/>
          <w:sz w:val="21"/>
          <w:szCs w:val="21"/>
          <w:rtl/>
        </w:rPr>
        <w:t xml:space="preserve">وهو نفسه مثال الاختبار CA2.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8"/>
        <w:gridCol w:w="1443"/>
        <w:gridCol w:w="1684"/>
        <w:gridCol w:w="1443"/>
        <w:gridCol w:w="1202"/>
        <w:gridCol w:w="1924"/>
      </w:tblGrid>
      <w:tr>
        <w:trPr>
          <w:cantSplit/>
          <w:tblHeader/>
        </w:trPr>
        <w:tc>
          <w:tcPr>
            <w:tcW w:type="dxa" w:w="2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على الخط</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المساهمة</w:t>
            </w:r>
          </w:p>
        </w:tc>
      </w:tr>
      <w:tr>
        <w:trPr>
          <w:cantSplit/>
        </w:trPr>
        <w:tc>
          <w:tcPr>
            <w:tcW w:type="dxa" w:w="2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13.3000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1.9950</w:t>
            </w:r>
          </w:p>
        </w:tc>
      </w:tr>
      <w:tr>
        <w:trPr>
          <w:cantSplit/>
        </w:trPr>
        <w:tc>
          <w:tcPr>
            <w:tcW w:type="dxa" w:w="2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7.8333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0.5875</w:t>
            </w:r>
          </w:p>
        </w:tc>
      </w:tr>
      <w:tr>
        <w:trPr>
          <w:cantSplit/>
        </w:trPr>
        <w:tc>
          <w:tcPr>
            <w:tcW w:type="dxa" w:w="2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9.28</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3.5412</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0.0885</w:t>
            </w:r>
          </w:p>
        </w:tc>
      </w:tr>
      <w:tr>
        <w:trPr>
          <w:cantSplit/>
        </w:trPr>
        <w:tc>
          <w:tcPr>
            <w:tcW w:type="dxa" w:w="2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إلى EBITDA</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9.0000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1.1250</w:t>
            </w:r>
          </w:p>
        </w:tc>
      </w:tr>
      <w:tr>
        <w:trPr>
          <w:cantSplit/>
        </w:trPr>
        <w:tc>
          <w:tcPr>
            <w:tcW w:type="dxa" w:w="2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إلى صافي الثروة الملموسة المعدَّلة</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9.7703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0.9770</w:t>
            </w:r>
          </w:p>
        </w:tc>
      </w:tr>
      <w:tr>
        <w:trPr>
          <w:cantSplit/>
        </w:trPr>
        <w:tc>
          <w:tcPr>
            <w:tcW w:type="dxa" w:w="2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8.5909</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0.4295</w:t>
            </w:r>
          </w:p>
        </w:tc>
      </w:tr>
      <w:tr>
        <w:trPr>
          <w:cantSplit/>
        </w:trPr>
        <w:tc>
          <w:tcPr>
            <w:tcW w:type="dxa" w:w="2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1.58</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9.9935</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0.7495</w:t>
            </w:r>
          </w:p>
        </w:tc>
      </w:tr>
      <w:tr>
        <w:trPr>
          <w:cantSplit/>
        </w:trPr>
        <w:tc>
          <w:tcPr>
            <w:tcW w:type="dxa" w:w="2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9.8846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0.7413</w:t>
            </w:r>
          </w:p>
        </w:tc>
      </w:tr>
      <w:tr>
        <w:trPr>
          <w:cantSplit/>
        </w:trPr>
        <w:tc>
          <w:tcPr>
            <w:tcW w:type="dxa" w:w="2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1.09</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12.4714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0.3118</w:t>
            </w:r>
          </w:p>
        </w:tc>
      </w:tr>
      <w:tr>
        <w:trPr>
          <w:cantSplit/>
        </w:trPr>
        <w:tc>
          <w:tcPr>
            <w:tcW w:type="dxa" w:w="2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76.12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9.1120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0.4556</w:t>
            </w:r>
          </w:p>
        </w:tc>
      </w:tr>
      <w:tr>
        <w:trPr>
          <w:cantSplit/>
        </w:trPr>
        <w:tc>
          <w:tcPr>
            <w:tcW w:type="dxa" w:w="2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11.0000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1.6500</w:t>
            </w:r>
          </w:p>
        </w:tc>
      </w:tr>
      <w:tr>
        <w:trPr>
          <w:cantSplit/>
        </w:trPr>
        <w:tc>
          <w:tcPr>
            <w:tcW w:type="dxa" w:w="2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w:t>
            </w:r>
          </w:p>
        </w:tc>
      </w:tr>
      <w:tr>
        <w:trPr>
          <w:cantSplit/>
        </w:trPr>
        <w:tc>
          <w:tcPr>
            <w:tcW w:type="dxa" w:w="2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 الموزون</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10.1108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Baa3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المجموع المالي (المقاييس الكمية وحدها) 9.9478 أي Baa3؛ والمجموع الموزون مع العاملين النوعيين 10.1108 أي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 ولا تنزيل ولا سقف يغيّرها، فالدرجة المنفردة Baa3 والنهائية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مستويات البنود: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63"/>
        <w:gridCol w:w="2348"/>
        <w:gridCol w:w="1409"/>
        <w:gridCol w:w="1644"/>
      </w:tblGrid>
      <w:tr>
        <w:trPr>
          <w:cantSplit/>
          <w:tblHeader/>
        </w:trPr>
        <w:tc>
          <w:tcPr>
            <w:tcW w:type="dxa" w:w="4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النقد للدين قصير الأجل</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64.89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61.77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إلى إجمالي الأصول</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46.88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bidi/>
        <w:spacing w:after="110" w:before="0" w:line="312"/>
      </w:pPr>
      <w:r>
        <w:rPr>
          <w:rFonts w:ascii="Arial" w:cs="Arial" w:eastAsia="Arial" w:hAnsi="Arial"/>
          <w:b w:val="false"/>
          <w:bCs w:val="false"/>
          <w:sz w:val="21"/>
          <w:szCs w:val="21"/>
          <w:rtl/>
        </w:rPr>
        <w:t xml:space="preserve">فنقاط القوة: العائد التشغيلي على الأصول (Aa3) ونمو الإيرادات 5.9%. ونقاط المراقبة: تغطية النقد للدين قصير الأجل 0.25 مرة، ورأس المال العامل 3% من الأصول. ولا نقطة ضعف ولا خطر حرج.</w:t>
      </w:r>
    </w:p>
    <w:p>
      <w:pPr>
        <w:pStyle w:val="Heading1"/>
        <w:bidi/>
      </w:pPr>
      <w:bookmarkStart w:name="_sec24" w:id="24"/>
      <w:r>
        <w:rPr>
          <w:rFonts w:ascii="Arial" w:cs="Arial" w:eastAsia="Arial" w:hAnsi="Arial"/>
          <w:b/>
          <w:bCs/>
          <w:color w:val="1F3A5F"/>
          <w:sz w:val="32"/>
          <w:szCs w:val="32"/>
          <w:rtl/>
        </w:rPr>
        <w:t xml:space="preserve">15. أسئلة للمالك</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8"/>
        <w:gridCol w:w="5075"/>
        <w:gridCol w:w="3731"/>
      </w:tblGrid>
      <w:tr>
        <w:trPr>
          <w:cantSplit/>
          <w:tblHeader/>
        </w:trPr>
        <w:tc>
          <w:tcPr>
            <w:tcW w:type="dxa" w:w="10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المبني</w:t>
            </w:r>
          </w:p>
        </w:tc>
      </w:tr>
      <w:tr>
        <w:trPr>
          <w:cantSplit/>
        </w:trPr>
        <w:tc>
          <w:tcPr>
            <w:tcW w:type="dxa" w:w="10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5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الوزن النوعي 25% مع حدود التقييم الذاتي (لا نهائية بلا نوعي، وحد ثلاث درجات، ورفع التجاوز درجة واحدة)</w:t>
            </w:r>
          </w:p>
        </w:tc>
        <w:tc>
          <w:tcPr>
            <w:tcW w:type="dxa" w:w="3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كما اقترح المراجع</w:t>
            </w:r>
          </w:p>
        </w:tc>
      </w:tr>
      <w:tr>
        <w:trPr>
          <w:cantSplit/>
        </w:trPr>
        <w:tc>
          <w:tcPr>
            <w:tcW w:type="dxa" w:w="10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5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الحجم: إيراد دون 3 مليارات لا يتجاوز A3</w:t>
            </w:r>
          </w:p>
        </w:tc>
        <w:tc>
          <w:tcPr>
            <w:tcW w:type="dxa" w:w="3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ومفعّل</w:t>
            </w:r>
          </w:p>
        </w:tc>
      </w:tr>
      <w:tr>
        <w:trPr>
          <w:cantSplit/>
        </w:trPr>
        <w:tc>
          <w:tcPr>
            <w:tcW w:type="dxa" w:w="10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5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السيادي: مصدره، ومن يحدّثه ومتى</w:t>
            </w:r>
          </w:p>
        </w:tc>
        <w:tc>
          <w:tcPr>
            <w:tcW w:type="dxa" w:w="3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 ويُتحقق منه مع كل إصدار للبطاقة</w:t>
            </w:r>
          </w:p>
        </w:tc>
      </w:tr>
      <w:tr>
        <w:trPr>
          <w:cantSplit/>
        </w:trPr>
        <w:tc>
          <w:tcPr>
            <w:tcW w:type="dxa" w:w="10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5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خسارة نصف رأس المال: هل تكفي حقوق الملكية مع القروض المساندة، أم يلزم قرار الشركاء بالاستمرار مستندًا؟</w:t>
            </w:r>
          </w:p>
        </w:tc>
        <w:tc>
          <w:tcPr>
            <w:tcW w:type="dxa" w:w="3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تكفي الأرقام</w:t>
            </w:r>
          </w:p>
        </w:tc>
      </w:tr>
      <w:tr>
        <w:trPr>
          <w:cantSplit/>
        </w:trPr>
        <w:tc>
          <w:tcPr>
            <w:tcW w:type="dxa" w:w="10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5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الاثنا عشر المضافة إلى الكتالوج (§4.3)</w:t>
            </w:r>
          </w:p>
        </w:tc>
        <w:tc>
          <w:tcPr>
            <w:tcW w:type="dxa" w:w="3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مضافة كلها اختيارية</w:t>
            </w:r>
          </w:p>
        </w:tc>
      </w:tr>
      <w:tr>
        <w:trPr>
          <w:cantSplit/>
        </w:trPr>
        <w:tc>
          <w:tcPr>
            <w:tcW w:type="dxa" w:w="10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5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قطاع المقاولات Baa2</w:t>
            </w:r>
          </w:p>
        </w:tc>
        <w:tc>
          <w:tcPr>
            <w:tcW w:type="dxa" w:w="3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ومفعّل في بطاقة المقاولات</w:t>
            </w:r>
          </w:p>
        </w:tc>
      </w:tr>
      <w:tr>
        <w:trPr>
          <w:cantSplit/>
        </w:trPr>
        <w:tc>
          <w:tcPr>
            <w:tcW w:type="dxa" w:w="10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5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المعايرة قبل استعمال الدرجة في قرار ائتماني (§12)؟</w:t>
            </w:r>
          </w:p>
        </w:tc>
        <w:tc>
          <w:tcPr>
            <w:tcW w:type="dxa" w:w="3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مخاطر الائتمان في البنك</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حدود معروفة</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الحدود معايرة بالخبرة لا إحصائيًا، ولا ربط باحتمالات التعثر.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القوائم المرحلية تُحوَّل إلى سنة بالضرب، لا بآخر اثني عشر شهرًا، وهذا لا يصلح للنشاط الموسمي.</w:t>
      </w:r>
    </w:p>
    <w:p>
      <w:pPr>
        <w:pStyle w:val="ListParagraph"/>
        <w:numPr>
          <w:ilvl w:val="0"/>
          <w:numId w:val="2"/>
        </w:numPr>
        <w:bidi/>
        <w:spacing w:after="70" w:before="0" w:line="300"/>
      </w:pPr>
      <w:r>
        <w:rPr>
          <w:rFonts w:ascii="Arial" w:cs="Arial" w:eastAsia="Arial" w:hAnsi="Arial"/>
          <w:b w:val="false"/>
          <w:bCs w:val="false"/>
          <w:sz w:val="21"/>
          <w:szCs w:val="21"/>
          <w:rtl/>
        </w:rPr>
        <w:t xml:space="preserve">أيام الدوران على أرصدة آخر الفترة لا متوسطها، والذمم تشمل ضريبة القيمة المضافة والإيرادات لا تشملها.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تُحسب الحدود غير المسحوبة في السيولة، ولا تركّز التسهيلات في بنك واحد، ولا نسبة استغلالها، وكلها في المنصة. ولا التأخر في السداد ولا التعثر، وهي ليست في النموذج بعد.</w:t>
      </w:r>
    </w:p>
    <w:p>
      <w:pPr>
        <w:pStyle w:val="ListParagraph"/>
        <w:numPr>
          <w:ilvl w:val="0"/>
          <w:numId w:val="2"/>
        </w:numPr>
        <w:bidi/>
        <w:spacing w:after="70" w:before="0" w:line="300"/>
      </w:pPr>
      <w:r>
        <w:rPr>
          <w:rFonts w:ascii="Arial" w:cs="Arial" w:eastAsia="Arial" w:hAnsi="Arial"/>
          <w:b w:val="false"/>
          <w:bCs w:val="false"/>
          <w:sz w:val="21"/>
          <w:szCs w:val="21"/>
          <w:rtl/>
        </w:rPr>
        <w:t xml:space="preserve">رأي المراجع المتحفظ تنزيل واحد مهما كان موضوعه.</w:t>
      </w:r>
    </w:p>
    <w:p>
      <w:pPr>
        <w:pStyle w:val="ListParagraph"/>
        <w:numPr>
          <w:ilvl w:val="0"/>
          <w:numId w:val="2"/>
        </w:numPr>
        <w:bidi/>
        <w:spacing w:after="70" w:before="0" w:line="300"/>
      </w:pPr>
      <w:r>
        <w:rPr>
          <w:rFonts w:ascii="Arial" w:cs="Arial" w:eastAsia="Arial" w:hAnsi="Arial"/>
          <w:b w:val="false"/>
          <w:bCs w:val="false"/>
          <w:sz w:val="21"/>
          <w:szCs w:val="21"/>
          <w:rtl/>
        </w:rPr>
        <w:t xml:space="preserve">دعم المجموعة رفع محدود. لا استبدال بضمان الأم، ولا سحب لدرجة التابعة نحو الأم.</w:t>
      </w:r>
    </w:p>
    <w:p>
      <w:pPr>
        <w:pStyle w:val="ListParagraph"/>
        <w:numPr>
          <w:ilvl w:val="0"/>
          <w:numId w:val="2"/>
        </w:numPr>
        <w:bidi/>
        <w:spacing w:after="70" w:before="0" w:line="300"/>
      </w:pPr>
      <w:r>
        <w:rPr>
          <w:rFonts w:ascii="Arial" w:cs="Arial" w:eastAsia="Arial" w:hAnsi="Arial"/>
          <w:b w:val="false"/>
          <w:bCs w:val="false"/>
          <w:sz w:val="21"/>
          <w:szCs w:val="21"/>
          <w:rtl/>
        </w:rPr>
        <w:t xml:space="preserve">سعر الصرف لقائمة بعملة أخرى يدخله المحلل.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الأداء والخروقات تُقرأ يوم الحساب. وما سُجل بعده لا يدخل التقييم حتى يُعاد حسابه.</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المراجع</w:t>
      </w:r>
      <w:bookmarkEnd w:id="26"/>
    </w:p>
    <w:p>
      <w:pPr>
        <w:bidi/>
        <w:spacing w:after="110" w:before="0" w:line="312"/>
      </w:pPr>
      <w:r>
        <w:rPr>
          <w:rFonts w:ascii="Arial" w:cs="Arial" w:eastAsia="Arial" w:hAnsi="Arial"/>
          <w:b/>
          <w:bCs/>
          <w:sz w:val="21"/>
          <w:szCs w:val="21"/>
          <w:rtl/>
        </w:rPr>
        <w:t xml:space="preserve">مراجع الطريقة</w:t>
      </w:r>
      <w:r>
        <w:rPr>
          <w:rFonts w:ascii="Arial" w:cs="Arial" w:eastAsia="Arial" w:hAnsi="Arial"/>
          <w:b w:val="false"/>
          <w:bCs w:val="false"/>
          <w:sz w:val="21"/>
          <w:szCs w:val="21"/>
          <w:rtl/>
        </w:rPr>
        <w:t xml:space="preserve"> (الخط المستمر من 0.5 إلى 20.5 أو ما يقاربه، والمجالات بعرض ثلاث نقاط، ودرجة لكل نقطة في المجموع، والتنزيل بإضافة واحد). يُحتكم إلى الإصدار الساري من منهجية موديز للقطاع، لا إلى هذه الوثيقة:</w:t>
      </w:r>
    </w:p>
    <w:p>
      <w:pPr>
        <w:pStyle w:val="ListParagraph"/>
        <w:numPr>
          <w:ilvl w:val="0"/>
          <w:numId w:val="2"/>
        </w:numPr>
        <w:bidi/>
        <w:spacing w:after="70" w:before="0" w:line="300"/>
      </w:pPr>
      <w:r>
        <w:rPr>
          <w:rFonts w:ascii="Arial" w:cs="Arial" w:eastAsia="Arial" w:hAnsi="Arial"/>
          <w:b w:val="false"/>
          <w:bCs w:val="false"/>
          <w:sz w:val="21"/>
          <w:szCs w:val="21"/>
          <w:rtl/>
        </w:rPr>
        <w:t xml:space="preserve">Moody's, Corporates rating methodology, 23 June 2022</w:t>
      </w:r>
    </w:p>
    <w:p>
      <w:pPr>
        <w:pStyle w:val="ListParagraph"/>
        <w:numPr>
          <w:ilvl w:val="0"/>
          <w:numId w:val="2"/>
        </w:numPr>
        <w:bidi/>
        <w:spacing w:after="70" w:before="0" w:line="300"/>
      </w:pPr>
      <w:r>
        <w:rPr>
          <w:rFonts w:ascii="Arial" w:cs="Arial" w:eastAsia="Arial" w:hAnsi="Arial"/>
          <w:b w:val="false"/>
          <w:bCs w:val="false"/>
          <w:sz w:val="21"/>
          <w:szCs w:val="21"/>
          <w:rtl/>
        </w:rPr>
        <w:t xml:space="preserve">Moody's, Corporates rating methodology, 21 May 2021</w:t>
      </w:r>
    </w:p>
    <w:p>
      <w:pPr>
        <w:pStyle w:val="ListParagraph"/>
        <w:numPr>
          <w:ilvl w:val="0"/>
          <w:numId w:val="2"/>
        </w:numPr>
        <w:bidi/>
        <w:spacing w:after="70" w:before="0" w:line="300"/>
      </w:pPr>
      <w:r>
        <w:rPr>
          <w:rFonts w:ascii="Arial" w:cs="Arial" w:eastAsia="Arial" w:hAnsi="Arial"/>
          <w:b w:val="false"/>
          <w:bCs w:val="false"/>
          <w:sz w:val="21"/>
          <w:szCs w:val="21"/>
          <w:rtl/>
        </w:rPr>
        <w:t xml:space="preserve">Moody's, Corporates rating methodology, 12 November 2021</w:t>
      </w:r>
    </w:p>
    <w:p>
      <w:pPr>
        <w:pStyle w:val="ListParagraph"/>
        <w:numPr>
          <w:ilvl w:val="0"/>
          <w:numId w:val="2"/>
        </w:numPr>
        <w:bidi/>
        <w:spacing w:after="70" w:before="0" w:line="300"/>
      </w:pPr>
      <w:r>
        <w:rPr>
          <w:rFonts w:ascii="Arial" w:cs="Arial" w:eastAsia="Arial" w:hAnsi="Arial"/>
          <w:b w:val="false"/>
          <w:bCs w:val="false"/>
          <w:sz w:val="21"/>
          <w:szCs w:val="21"/>
          <w:rtl/>
        </w:rPr>
        <w:t xml:space="preserve">Moody's, Financial Institutions rating methodology, 8 April 2024</w:t>
      </w:r>
    </w:p>
    <w:p>
      <w:pPr>
        <w:pStyle w:val="ListParagraph"/>
        <w:numPr>
          <w:ilvl w:val="0"/>
          <w:numId w:val="2"/>
        </w:numPr>
        <w:bidi/>
        <w:spacing w:after="70" w:before="0" w:line="300"/>
      </w:pPr>
      <w:r>
        <w:rPr>
          <w:rFonts w:ascii="Arial" w:cs="Arial" w:eastAsia="Arial" w:hAnsi="Arial"/>
          <w:b w:val="false"/>
          <w:bCs w:val="false"/>
          <w:sz w:val="21"/>
          <w:szCs w:val="21"/>
          <w:rtl/>
        </w:rPr>
        <w:t xml:space="preserve">Moody's, Financial Institutions rating methodology, 5 November 2025 (نسخة على موقع طرف ثالث، لا على موقع موديز)</w:t>
      </w:r>
    </w:p>
    <w:p>
      <w:pPr>
        <w:bidi/>
        <w:spacing w:after="60" w:before="0"/>
      </w:pPr>
    </w:p>
    <w:p>
      <w:pPr>
        <w:bidi/>
        <w:spacing w:after="110" w:before="0" w:line="312"/>
      </w:pPr>
      <w:r>
        <w:rPr>
          <w:rFonts w:ascii="Arial" w:cs="Arial" w:eastAsia="Arial" w:hAnsi="Arial"/>
          <w:b/>
          <w:bCs/>
          <w:sz w:val="21"/>
          <w:szCs w:val="21"/>
          <w:rtl/>
        </w:rPr>
        <w:t xml:space="preserve">التصنيف السيادي:</w:t>
      </w:r>
    </w:p>
    <w:p>
      <w:pPr>
        <w:pStyle w:val="ListParagraph"/>
        <w:numPr>
          <w:ilvl w:val="0"/>
          <w:numId w:val="2"/>
        </w:numPr>
        <w:bidi/>
        <w:spacing w:after="70" w:before="0" w:line="300"/>
      </w:pPr>
      <w:r>
        <w:rPr>
          <w:rFonts w:ascii="Arial" w:cs="Arial" w:eastAsia="Arial" w:hAnsi="Arial"/>
          <w:b w:val="false"/>
          <w:bCs w:val="false"/>
          <w:sz w:val="21"/>
          <w:szCs w:val="21"/>
          <w:rtl/>
        </w:rPr>
        <w:t xml:space="preserve">Saudi Arabia's Rating Upgraded by Moody's for the First Time (BNN Bloomberg, 22 November 2024)</w:t>
      </w:r>
    </w:p>
    <w:p>
      <w:pPr>
        <w:pStyle w:val="ListParagraph"/>
        <w:numPr>
          <w:ilvl w:val="0"/>
          <w:numId w:val="2"/>
        </w:numPr>
        <w:bidi/>
        <w:spacing w:after="70" w:before="0" w:line="300"/>
      </w:pPr>
      <w:r>
        <w:rPr>
          <w:rFonts w:ascii="Arial" w:cs="Arial" w:eastAsia="Arial" w:hAnsi="Arial"/>
          <w:b w:val="false"/>
          <w:bCs w:val="false"/>
          <w:sz w:val="21"/>
          <w:szCs w:val="21"/>
          <w:rtl/>
        </w:rPr>
        <w:t xml:space="preserve">Moody's upgrades Saudi Arabia's sovereign credit rating to Aa3 (Enterprise AM, 24 November 2024)</w:t>
      </w:r>
    </w:p>
    <w:p>
      <w:pPr>
        <w:bidi/>
        <w:spacing w:after="60" w:before="0"/>
      </w:pPr>
    </w:p>
    <w:p>
      <w:pPr>
        <w:bidi/>
        <w:spacing w:after="110" w:before="0" w:line="312"/>
      </w:pPr>
      <w:r>
        <w:rPr>
          <w:rFonts w:ascii="Arial" w:cs="Arial" w:eastAsia="Arial" w:hAnsi="Arial"/>
          <w:b/>
          <w:bCs/>
          <w:sz w:val="21"/>
          <w:szCs w:val="21"/>
          <w:rtl/>
        </w:rPr>
        <w:t xml:space="preserve">ملاحظة على المصادر:</w:t>
      </w:r>
      <w:r>
        <w:rPr>
          <w:rFonts w:ascii="Arial" w:cs="Arial" w:eastAsia="Arial" w:hAnsi="Arial"/>
          <w:b w:val="false"/>
          <w:bCs w:val="false"/>
          <w:sz w:val="21"/>
          <w:szCs w:val="21"/>
          <w:rtl/>
        </w:rPr>
        <w:t xml:space="preserve"> هذه الروابط من بحث على الويب في 2026-10-18، ولم تُفتح الوثائق من بيئة العمل. والطريقة المبنية تتبع ما نُشر عنها، وحدود الشبكات ليست مأخوذة منها.</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منهجية التقييم الائتماني · BankFas · 2026-10-18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منهجية التقييم الائتماني للميزانية على سلّم موديز</dc:title>
  <dc:creator>Claude</dc:creator>
  <dc:description>BankFas database design document</dc:description>
  <cp:lastModifiedBy>Un-named</cp:lastModifiedBy>
  <cp:revision>1</cp:revision>
  <dcterms:created xsi:type="dcterms:W3CDTF">2026-10-19T00:27:44.597Z</dcterms:created>
  <dcterms:modified xsi:type="dcterms:W3CDTF">2026-10-19T00:27:44.597Z</dcterms:modified>
</cp:coreProperties>
</file>

<file path=docProps/custom.xml><?xml version="1.0" encoding="utf-8"?>
<Properties xmlns="http://schemas.openxmlformats.org/officeDocument/2006/custom-properties" xmlns:vt="http://schemas.openxmlformats.org/officeDocument/2006/docPropsVTypes"/>
</file>