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line="300"/>
        <w:jc w:val="right"/>
      </w:pPr>
      <w:r>
        <w:rPr>
          <w:rFonts w:ascii="Arial" w:cs="Arial" w:eastAsia="Arial" w:hAnsi="Arial"/>
          <w:b/>
          <w:bCs/>
          <w:color w:val="0A5BD3"/>
          <w:sz w:val="44"/>
          <w:szCs w:val="44"/>
          <w:rtl/>
        </w:rPr>
        <w:t xml:space="preserve">مســلك</w:t>
      </w:r>
    </w:p>
    <w:p>
      <w:pPr>
        <w:bidi/>
        <w:spacing w:after="120" w:line="300"/>
        <w:jc w:val="right"/>
      </w:pPr>
      <w:r>
        <w:rPr>
          <w:rFonts w:ascii="Arial" w:cs="Arial" w:eastAsia="Arial" w:hAnsi="Arial"/>
          <w:b/>
          <w:bCs/>
          <w:color w:val="0B1F3F"/>
          <w:sz w:val="36"/>
          <w:szCs w:val="36"/>
          <w:rtl/>
        </w:rPr>
        <w:t xml:space="preserve">نماذج سلوك النظام</w:t>
      </w:r>
    </w:p>
    <w:p>
      <w:pPr>
        <w:bidi/>
        <w:spacing w:after="300" w:line="300"/>
        <w:jc w:val="right"/>
      </w:pPr>
      <w:r>
        <w:rPr>
          <w:rFonts w:ascii="Arial" w:cs="Arial" w:eastAsia="Arial" w:hAnsi="Arial"/>
          <w:color w:val="4B5565"/>
          <w:sz w:val="22"/>
          <w:szCs w:val="22"/>
          <w:rtl/>
        </w:rPr>
        <w:t xml:space="preserve">مخططات الحالات والتسلسل والنشاط للمنصة كما بُنيت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693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القيمة</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الإصدار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1.1، يحل محل 1.0؛ يضم مخططات الحالات والتسلسل من ملحق النماذج ويوسّعها</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التاريخ</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13 تشرين الأول 2026</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المصدر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قيود الجداول ودوال القاعدة ومسارات الخادم بعد الالتزام c7528af (ملفات القاعدة حتى 1112)</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المحتوى</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24 مخطط حالات (19 كياناً)، و10 مخططات تسلسل، و9 مخططات نشاط للعمليات التشغيلية</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يكمّل</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مخططات حالات الاستخدام وتدفق البيانات 2.1؛ وفي سجل الوثائق البنود ب3 وب4 وب5</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1. المقدمة</w:t>
      </w:r>
    </w:p>
    <w:p>
      <w:pPr>
        <w:bidi/>
        <w:spacing w:after="120" w:line="300"/>
        <w:jc w:val="right"/>
      </w:pPr>
      <w:r>
        <w:rPr>
          <w:rFonts w:ascii="Arial" w:cs="Arial" w:eastAsia="Arial" w:hAnsi="Arial"/>
          <w:color w:val="0F1B2D"/>
          <w:sz w:val="21"/>
          <w:szCs w:val="21"/>
          <w:rtl/>
        </w:rPr>
        <w:t xml:space="preserve">مخططات حالات الاستخدام وتدفق البيانات تقول ماذا يفعل النظام ومن يفعله. وهذه الوثيقة تقول كيف: بأي ترتيب، وما الحالات التي يمر بها كل كيان، وما الذي يرفضه النظام في كل خطوة.</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الحالات: </w:t>
      </w:r>
      <w:r>
        <w:rPr>
          <w:rFonts w:ascii="Arial" w:cs="Arial" w:eastAsia="Arial" w:hAnsi="Arial"/>
          <w:color w:val="0F1B2D"/>
          <w:sz w:val="21"/>
          <w:szCs w:val="21"/>
          <w:rtl/>
        </w:rPr>
        <w:t xml:space="preserve">مأخوذة من قيود CHECK على الجداول ومن الدوال التي تنقل الكيان بين حالاته. يذكر الجدول التالي أين يُفرض كل انتقال: في القاعدة نفسها (لا يتجاوزه أي مسار)، أو في الخادم.</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التسلسل: </w:t>
      </w:r>
      <w:r>
        <w:rPr>
          <w:rFonts w:ascii="Arial" w:cs="Arial" w:eastAsia="Arial" w:hAnsi="Arial"/>
          <w:color w:val="0F1B2D"/>
          <w:sz w:val="21"/>
          <w:szCs w:val="21"/>
          <w:rtl/>
        </w:rPr>
        <w:t xml:space="preserve">الرسائل بين المستخدم والتطبيق والخادم والقاعدة والأنظمة الخارجية، برموز الأخطاء الفعلية.</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النشاط: </w:t>
      </w:r>
      <w:r>
        <w:rPr>
          <w:rFonts w:ascii="Arial" w:cs="Arial" w:eastAsia="Arial" w:hAnsi="Arial"/>
          <w:color w:val="0F1B2D"/>
          <w:sz w:val="21"/>
          <w:szCs w:val="21"/>
          <w:rtl/>
        </w:rPr>
        <w:t xml:space="preserve">خطوات العمل التشغيلية كما يفرضها النظام اليوم. تُكمل مع فرق التشغيل والناقل التجريبي بما يحدث خارج النظام (الأدوار والأوقات والنماذج الورقية).</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اللغة: </w:t>
      </w:r>
      <w:r>
        <w:rPr>
          <w:rFonts w:ascii="Arial" w:cs="Arial" w:eastAsia="Arial" w:hAnsi="Arial"/>
          <w:color w:val="0F1B2D"/>
          <w:sz w:val="21"/>
          <w:szCs w:val="21"/>
          <w:rtl/>
        </w:rPr>
        <w:t xml:space="preserve">نصوص المخططات بالإنجليزية كما في أسماء الكود، وشرحها بالعربية.</w:t>
      </w:r>
    </w:p>
    <w:p>
      <w:pPr>
        <w:bidi/>
        <w:spacing w:after="120" w:line="300"/>
        <w:jc w:val="right"/>
      </w:pPr>
      <w:r>
        <w:rPr>
          <w:rFonts w:ascii="Arial" w:cs="Arial" w:eastAsia="Arial" w:hAnsi="Arial"/>
          <w:color w:val="0F1B2D"/>
          <w:sz w:val="21"/>
          <w:szCs w:val="21"/>
          <w:rtl/>
        </w:rPr>
        <w:t xml:space="preserve">ما الجديد في الإصدار 1.1: ثمانية مخططات حالات لما بُني في ملفات القاعدة 1100 إلى 1112 (تسجيل الكاونتر في المحطة، والفاتورة الإلكترونية، واتفاقية الشريك والقسيمة وكشف التسوية، وتنبيه التتبع، والاستغاثة، وغرامة الإلغاء)، وثلاثة مخططات تسلسل (التسجيل والصعود في المحطة، وإلغاء الناقل لرحلة، والقسيمة لدى الشريك حتى تسويتها)، وثلاثة مخططات نشاط كانت في قائمة ما يبقى (الاستغاثة والحوادث، والمسافر في المحطة، وإلغاء الناقل لرحلة). وتغيّرت أسباب الانتقال إلى الإلغاء في مخططي الحجز والرحلة.</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2. مخططات الحالات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1928"/>
        <w:gridCol w:w="2410"/>
        <w:gridCol w:w="4337"/>
      </w:tblGrid>
      <w:tr>
        <w:trPr>
          <w:tblHeader/>
        </w:trPr>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المخطط</w:t>
            </w:r>
          </w:p>
        </w:tc>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الكيان</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الجدول</w:t>
            </w:r>
          </w:p>
        </w:tc>
        <w:tc>
          <w:tcPr>
            <w:tcW w:type="dxa" w:w="433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أين يُفرض الانتقال</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ST-1</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الحجز</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sales.booking</w:t>
            </w:r>
          </w:p>
        </w:tc>
        <w:tc>
          <w:tcPr>
            <w:tcW w:type="dxa" w:w="433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sales.tg_booking_transition</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ST-2</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التذكرة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sales.ticket</w:t>
            </w:r>
          </w:p>
        </w:tc>
        <w:tc>
          <w:tcPr>
            <w:tcW w:type="dxa" w:w="433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sales.tg_ticket_transition</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ST-3</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الدفع</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fin.payment</w:t>
            </w:r>
          </w:p>
        </w:tc>
        <w:tc>
          <w:tcPr>
            <w:tcW w:type="dxa" w:w="433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fin.tg_payment_transition</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ST-4</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الرحلة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ops.trip</w:t>
            </w:r>
          </w:p>
        </w:tc>
        <w:tc>
          <w:tcPr>
            <w:tcW w:type="dxa" w:w="433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الخادم</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ST-5أ</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تغيير سياسة الصورة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iam.photo_policy_change</w:t>
            </w:r>
          </w:p>
        </w:tc>
        <w:tc>
          <w:tcPr>
            <w:tcW w:type="dxa" w:w="433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دوال القاعدة (1089 إلى 1096)</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ST-5ب</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قاعدة الصورة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iam.photo_rule</w:t>
            </w:r>
          </w:p>
        </w:tc>
        <w:tc>
          <w:tcPr>
            <w:tcW w:type="dxa" w:w="433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دوال القاعدة (1087، 1092، 1093)</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ST-6أ</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منح شركة التشغيل</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net.station_operator_grant</w:t>
            </w:r>
          </w:p>
        </w:tc>
        <w:tc>
          <w:tcPr>
            <w:tcW w:type="dxa" w:w="433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يُعدّل حقلا الإلغاء فقط (1098)</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ST-6ب</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الرقم المرجعي</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net.operation_reference</w:t>
            </w:r>
          </w:p>
        </w:tc>
        <w:tc>
          <w:tcPr>
            <w:tcW w:type="dxa" w:w="433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يُعدّل حقلا السحب فقط (1097)</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ST-7</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سحب الشركة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fin.withdrawal_request</w:t>
            </w:r>
          </w:p>
        </w:tc>
        <w:tc>
          <w:tcPr>
            <w:tcW w:type="dxa" w:w="433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الخادم، وقيد في القاعدة يمنع PAID دون مرجع المصرف والقيد والموافقات</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ST-8أ</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 الرحلة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brd.manifest</w:t>
            </w:r>
          </w:p>
        </w:tc>
        <w:tc>
          <w:tcPr>
            <w:tcW w:type="dxa" w:w="433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الخادم، وقيد يمنع ISSUED دون البصمة والموقّع</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ST-8ب</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تسليم البيان لجهة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brd.manifest_delivery</w:t>
            </w:r>
          </w:p>
        </w:tc>
        <w:tc>
          <w:tcPr>
            <w:tcW w:type="dxa" w:w="433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الخادم</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ST-9أ</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سعر الطرد</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ship.parcel_offer</w:t>
            </w:r>
          </w:p>
        </w:tc>
        <w:tc>
          <w:tcPr>
            <w:tcW w:type="dxa" w:w="433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الخادم، وقيد يمنع العرض دون سعر وصلاحية</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ST-9ب</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الشحنة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ship.shipment</w:t>
            </w:r>
          </w:p>
        </w:tc>
        <w:tc>
          <w:tcPr>
            <w:tcW w:type="dxa" w:w="433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قيم الجدول؛ مسار الطرود ينشئ CREATED، وباقي السلسلة لوحدة الشحن (مغلقة)</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ST-10أ</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توريد نقد الناقل</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fin.cash_remittance</w:t>
            </w:r>
          </w:p>
        </w:tc>
        <w:tc>
          <w:tcPr>
            <w:tcW w:type="dxa" w:w="433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الخادم، وقيد يمنع CONFIRMED دون قيد ومؤكِّد</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ST-10ب</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دفعة التسوية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fin.settlement_batch</w:t>
            </w:r>
          </w:p>
        </w:tc>
        <w:tc>
          <w:tcPr>
            <w:tcW w:type="dxa" w:w="433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الخادم</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ST-11</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الاسترداد إلى البطاقة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fin.payment_refund</w:t>
            </w:r>
          </w:p>
        </w:tc>
        <w:tc>
          <w:tcPr>
            <w:tcW w:type="dxa" w:w="433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الخادم، وقيود تربط الحالة بالمرحلة والقيد</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ST-12</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الكاونتر في المحطة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brd.station_checkin</w:t>
            </w:r>
          </w:p>
        </w:tc>
        <w:tc>
          <w:tcPr>
            <w:tcW w:type="dxa" w:w="433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brd.station_checkin_ticket وbrd.cancel_station_checkin (1105)</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ST-13</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الفاتورة الإلكترونية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acct.einvoice_document</w:t>
            </w:r>
          </w:p>
        </w:tc>
        <w:tc>
          <w:tcPr>
            <w:tcW w:type="dxa" w:w="433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acct.finalize_einvoice، وقيد يمنع الإقفال دون الرقم والبصمة وQR</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ST-14أ</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اتفاقية الشريك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pricing.loyalty_agreement</w:t>
            </w:r>
          </w:p>
        </w:tc>
        <w:tc>
          <w:tcPr>
            <w:tcW w:type="dxa" w:w="433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التفعيل بشخص آخر، واتفاقية سارية واحدة، وتُجمَّد بعد استعمالها (1107)</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ST-14ب</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القسيمة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pricing.reward_voucher</w:t>
            </w:r>
          </w:p>
        </w:tc>
        <w:tc>
          <w:tcPr>
            <w:tcW w:type="dxa" w:w="433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دوال القبول والإلغاء والانتهاء وإعادة النقاط (1107)</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ST-14ج</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كشف تسوية الشريك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pricing.loyalty_settlement</w:t>
            </w:r>
          </w:p>
        </w:tc>
        <w:tc>
          <w:tcPr>
            <w:tcW w:type="dxa" w:w="433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وشاشة الاعتماد بفصل المهام، والدفع بشخص ثالث</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ST-15أ</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تنبيه التتبع</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ops.tracking_alert</w:t>
            </w:r>
          </w:p>
        </w:tc>
        <w:tc>
          <w:tcPr>
            <w:tcW w:type="dxa" w:w="433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ops.raise_tracking_alerts كل دقيقة (1100)</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ST-15ب</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الاستغاثة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sec.sos_event</w:t>
            </w:r>
          </w:p>
        </w:tc>
        <w:tc>
          <w:tcPr>
            <w:tcW w:type="dxa" w:w="433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sec.raise_sos (1101)، والإغلاق من شاشات الناقل والمنصة</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ST-15ج</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غرامة إلغاء الرحلة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ops.trip_cancel_penalty</w:t>
            </w:r>
          </w:p>
        </w:tc>
        <w:tc>
          <w:tcPr>
            <w:tcW w:type="dxa" w:w="433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الخادم، وقيد يربط COLLECTED بوقت التحصيل (1106)</w:t>
            </w:r>
          </w:p>
        </w:tc>
      </w:tr>
    </w:tbl>
    <w:p>
      <w:pPr>
        <w:bidi/>
        <w:spacing w:after="120" w:line="300"/>
        <w:jc w:val="right"/>
      </w:pPr>
      <w:r>
        <w:rPr>
          <w:rFonts w:ascii="Arial" w:cs="Arial" w:eastAsia="Arial" w:hAnsi="Arial"/>
          <w:color w:val="0F1B2D"/>
          <w:sz w:val="21"/>
          <w:szCs w:val="21"/>
          <w:rtl/>
        </w:rPr>
        <w:t xml:space="preserve">أي انتقال غير مرسوم ترفضه القاعدة حيث يُفرض فيها (INVALID_TRANSITION)، ويرفضه الخادم في الباقي. والحالات المكتوب بجانبها «table value, no route sets it yet» قيم في الجدول لا يضعها أي مسار بعد، وتُستكمل عند الحاجة.</w:t>
      </w:r>
    </w:p>
    <w:p>
      <w:r>
        <w:br w:type="page"/>
      </w:r>
    </w:p>
    <w:p>
      <w:pPr>
        <w:pStyle w:val="Heading2"/>
        <w:keepNext/>
        <w:bidi/>
        <w:spacing w:after="100" w:before="240"/>
        <w:jc w:val="right"/>
      </w:pPr>
      <w:r>
        <w:rPr>
          <w:rFonts w:ascii="Arial" w:cs="Arial" w:eastAsia="Arial" w:hAnsi="Arial"/>
          <w:b/>
          <w:bCs/>
          <w:color w:val="0A5BD3"/>
          <w:sz w:val="24"/>
          <w:szCs w:val="24"/>
          <w:rtl/>
        </w:rPr>
        <w:t xml:space="preserve">2.1 ST-1 الحجز</w:t>
      </w:r>
    </w:p>
    <w:p>
      <w:pPr>
        <w:keepNext/>
        <w:spacing w:after="60" w:before="120"/>
        <w:jc w:val="center"/>
      </w:pPr>
      <w:r>
        <w:drawing>
          <wp:inline distT="0" distB="0" distL="0" distR="0">
            <wp:extent cx="60960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29540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ST-1: حالات الحجز</w:t>
      </w:r>
    </w:p>
    <w:p>
      <w:pPr>
        <w:pStyle w:val="Heading2"/>
        <w:keepNext/>
        <w:bidi/>
        <w:spacing w:after="100" w:before="240"/>
        <w:jc w:val="right"/>
      </w:pPr>
      <w:r>
        <w:rPr>
          <w:rFonts w:ascii="Arial" w:cs="Arial" w:eastAsia="Arial" w:hAnsi="Arial"/>
          <w:b/>
          <w:bCs/>
          <w:color w:val="0A5BD3"/>
          <w:sz w:val="24"/>
          <w:szCs w:val="24"/>
          <w:rtl/>
        </w:rPr>
        <w:t xml:space="preserve">2.2 ST-2 التذكرة</w:t>
      </w:r>
    </w:p>
    <w:p>
      <w:pPr>
        <w:keepNext/>
        <w:spacing w:after="60" w:before="120"/>
        <w:jc w:val="center"/>
      </w:pPr>
      <w:r>
        <w:drawing>
          <wp:inline distT="0" distB="0" distL="0" distR="0">
            <wp:extent cx="60960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168592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ST-2: حالات التذكرة</w:t>
      </w:r>
    </w:p>
    <w:p>
      <w:pPr>
        <w:bidi/>
        <w:spacing w:after="120" w:line="300"/>
        <w:jc w:val="right"/>
      </w:pPr>
      <w:r>
        <w:rPr>
          <w:rFonts w:ascii="Arial" w:cs="Arial" w:eastAsia="Arial" w:hAnsi="Arial"/>
          <w:color w:val="0F1B2D"/>
          <w:sz w:val="21"/>
          <w:szCs w:val="21"/>
          <w:rtl/>
        </w:rPr>
        <w:t xml:space="preserve">التذكرة HOLD تخص حجزاً لم يُدفع: تصبح ISSUED عند الدفع، وCANCELLED عند انقضاء الموعد. والانتقال من ISSUED إلى HOLD تسمح به القاعدة، ويُراجع استعماله.</w:t>
      </w:r>
    </w:p>
    <w:p>
      <w:pPr>
        <w:pStyle w:val="Heading2"/>
        <w:keepNext/>
        <w:bidi/>
        <w:spacing w:after="100" w:before="240"/>
        <w:jc w:val="right"/>
      </w:pPr>
      <w:r>
        <w:rPr>
          <w:rFonts w:ascii="Arial" w:cs="Arial" w:eastAsia="Arial" w:hAnsi="Arial"/>
          <w:b/>
          <w:bCs/>
          <w:color w:val="0A5BD3"/>
          <w:sz w:val="24"/>
          <w:szCs w:val="24"/>
          <w:rtl/>
        </w:rPr>
        <w:t xml:space="preserve">2.3 ST-3 الدفع</w:t>
      </w:r>
    </w:p>
    <w:p>
      <w:pPr>
        <w:keepNext/>
        <w:spacing w:after="60" w:before="120"/>
        <w:jc w:val="center"/>
      </w:pPr>
      <w:r>
        <w:drawing>
          <wp:inline distT="0" distB="0" distL="0" distR="0">
            <wp:extent cx="609600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71437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ST-3: حالات الدفع</w:t>
      </w:r>
    </w:p>
    <w:p>
      <w:pPr>
        <w:bidi/>
        <w:spacing w:after="120" w:line="300"/>
        <w:jc w:val="right"/>
      </w:pPr>
      <w:r>
        <w:rPr>
          <w:rFonts w:ascii="Arial" w:cs="Arial" w:eastAsia="Arial" w:hAnsi="Arial"/>
          <w:color w:val="0F1B2D"/>
          <w:sz w:val="21"/>
          <w:szCs w:val="21"/>
          <w:rtl/>
        </w:rPr>
        <w:t xml:space="preserve">يصبح الدفع SUCCESS فقط مع إشعار موقّع من المزود وقيد في الدفتر. والانتقال من FAILED إلى SUCCESS لدفع متأخر من المزود بعد انتهاء المهلة فقط.</w:t>
      </w:r>
    </w:p>
    <w:p>
      <w:pPr>
        <w:pStyle w:val="Heading2"/>
        <w:keepNext/>
        <w:bidi/>
        <w:spacing w:after="100" w:before="240"/>
        <w:jc w:val="right"/>
      </w:pPr>
      <w:r>
        <w:rPr>
          <w:rFonts w:ascii="Arial" w:cs="Arial" w:eastAsia="Arial" w:hAnsi="Arial"/>
          <w:b/>
          <w:bCs/>
          <w:color w:val="0A5BD3"/>
          <w:sz w:val="24"/>
          <w:szCs w:val="24"/>
          <w:rtl/>
        </w:rPr>
        <w:t xml:space="preserve">2.4 ST-4 الرحلة</w:t>
      </w:r>
    </w:p>
    <w:p>
      <w:pPr>
        <w:keepNext/>
        <w:spacing w:after="60" w:before="120"/>
        <w:jc w:val="center"/>
      </w:pPr>
      <w:r>
        <w:drawing>
          <wp:inline distT="0" distB="0" distL="0" distR="0">
            <wp:extent cx="609600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88582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ST-4: حالات الرحلة</w:t>
      </w:r>
    </w:p>
    <w:p>
      <w:pPr>
        <w:bidi/>
        <w:spacing w:after="120" w:line="300"/>
        <w:jc w:val="right"/>
      </w:pPr>
      <w:r>
        <w:rPr>
          <w:rFonts w:ascii="Arial" w:cs="Arial" w:eastAsia="Arial" w:hAnsi="Arial"/>
          <w:color w:val="0F1B2D"/>
          <w:sz w:val="21"/>
          <w:szCs w:val="21"/>
          <w:rtl/>
        </w:rPr>
        <w:t xml:space="preserve">أول مسح صعود ناجح ينقل الرحلة من PUBLISHED إلى BOARDING، ولا تُعرض صورة المسافر إلا في هذه الحالة.</w:t>
      </w:r>
    </w:p>
    <w:p>
      <w:r>
        <w:br w:type="page"/>
      </w:r>
    </w:p>
    <w:p>
      <w:pPr>
        <w:pStyle w:val="Heading2"/>
        <w:keepNext/>
        <w:bidi/>
        <w:spacing w:after="100" w:before="240"/>
        <w:jc w:val="right"/>
      </w:pPr>
      <w:r>
        <w:rPr>
          <w:rFonts w:ascii="Arial" w:cs="Arial" w:eastAsia="Arial" w:hAnsi="Arial"/>
          <w:b/>
          <w:bCs/>
          <w:color w:val="0A5BD3"/>
          <w:sz w:val="24"/>
          <w:szCs w:val="24"/>
          <w:rtl/>
        </w:rPr>
        <w:t xml:space="preserve">2.5 ST-5 سياسة الصورة وقاعدتها</w:t>
      </w:r>
    </w:p>
    <w:p>
      <w:pPr>
        <w:keepNext/>
        <w:spacing w:after="60" w:before="120"/>
        <w:jc w:val="center"/>
      </w:pPr>
      <w:r>
        <w:drawing>
          <wp:inline distT="0" distB="0" distL="0" distR="0">
            <wp:extent cx="60960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149542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ST-5أ: تغيير في سياسة الصورة أو إعداداتها</w:t>
      </w:r>
    </w:p>
    <w:p>
      <w:pPr>
        <w:keepNext/>
        <w:spacing w:after="60" w:before="120"/>
        <w:jc w:val="center"/>
      </w:pPr>
      <w:r>
        <w:drawing>
          <wp:inline distT="0" distB="0" distL="0" distR="0">
            <wp:extent cx="60960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65722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ST-5ب: قاعدة الصورة</w:t>
      </w:r>
    </w:p>
    <w:p>
      <w:pPr>
        <w:bidi/>
        <w:spacing w:after="120" w:line="300"/>
        <w:jc w:val="right"/>
      </w:pPr>
      <w:r>
        <w:rPr>
          <w:rFonts w:ascii="Arial" w:cs="Arial" w:eastAsia="Arial" w:hAnsi="Arial"/>
          <w:color w:val="0F1B2D"/>
          <w:sz w:val="21"/>
          <w:szCs w:val="21"/>
          <w:rtl/>
        </w:rPr>
        <w:t xml:space="preserve">لا يعتمد سحبَ قاعدة معتمدة من اقترحها أو اعتمدها نهائياً أو طلب سحبها (FOUR_EYES).</w:t>
      </w:r>
    </w:p>
    <w:p>
      <w:pPr>
        <w:pStyle w:val="Heading2"/>
        <w:keepNext/>
        <w:bidi/>
        <w:spacing w:after="100" w:before="240"/>
        <w:jc w:val="right"/>
      </w:pPr>
      <w:r>
        <w:rPr>
          <w:rFonts w:ascii="Arial" w:cs="Arial" w:eastAsia="Arial" w:hAnsi="Arial"/>
          <w:b/>
          <w:bCs/>
          <w:color w:val="0A5BD3"/>
          <w:sz w:val="24"/>
          <w:szCs w:val="24"/>
          <w:rtl/>
        </w:rPr>
        <w:t xml:space="preserve">2.6 ST-6 منح شركة التشغيل والرقم المرجعي</w:t>
      </w:r>
    </w:p>
    <w:p>
      <w:pPr>
        <w:keepNext/>
        <w:spacing w:after="60" w:before="120"/>
        <w:jc w:val="center"/>
      </w:pPr>
      <w:r>
        <w:drawing>
          <wp:inline distT="0" distB="0" distL="0" distR="0">
            <wp:extent cx="60960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51435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ST-6أ: منح شركة التشغيل</w:t>
      </w:r>
    </w:p>
    <w:p>
      <w:pPr>
        <w:keepNext/>
        <w:spacing w:after="60" w:before="120"/>
        <w:jc w:val="center"/>
      </w:pPr>
      <w:r>
        <w:drawing>
          <wp:inline distT="0" distB="0" distL="0" distR="0">
            <wp:extent cx="609600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54292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ST-6ب: الرقم المرجعي</w:t>
      </w:r>
    </w:p>
    <w:p>
      <w:pPr>
        <w:pStyle w:val="Heading2"/>
        <w:keepNext/>
        <w:bidi/>
        <w:spacing w:after="100" w:before="240"/>
        <w:jc w:val="right"/>
      </w:pPr>
      <w:r>
        <w:rPr>
          <w:rFonts w:ascii="Arial" w:cs="Arial" w:eastAsia="Arial" w:hAnsi="Arial"/>
          <w:b/>
          <w:bCs/>
          <w:color w:val="0A5BD3"/>
          <w:sz w:val="24"/>
          <w:szCs w:val="24"/>
          <w:rtl/>
        </w:rPr>
        <w:t xml:space="preserve">2.7 ST-7 سحب الشركة</w:t>
      </w:r>
    </w:p>
    <w:p>
      <w:pPr>
        <w:keepNext/>
        <w:spacing w:after="60" w:before="120"/>
        <w:jc w:val="center"/>
      </w:pPr>
      <w:r>
        <w:drawing>
          <wp:inline distT="0" distB="0" distL="0" distR="0">
            <wp:extent cx="60960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136207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ST-7: طلب سحب رصيد الشركة</w:t>
      </w:r>
    </w:p>
    <w:p>
      <w:pPr>
        <w:bidi/>
        <w:spacing w:after="120" w:line="300"/>
        <w:jc w:val="right"/>
      </w:pPr>
      <w:r>
        <w:rPr>
          <w:rFonts w:ascii="Arial" w:cs="Arial" w:eastAsia="Arial" w:hAnsi="Arial"/>
          <w:color w:val="0F1B2D"/>
          <w:sz w:val="21"/>
          <w:szCs w:val="21"/>
          <w:rtl/>
        </w:rPr>
        <w:t xml:space="preserve">يعتمد الطلبَ موظف مالية غير صاحب الطلب، وفوق الحد يلزم معتمد ثانٍ مختلف، ويدفعه موظف ثالث ليس صاحب الطلب ولا أحد المعتمدين.</w:t>
      </w:r>
    </w:p>
    <w:p>
      <w:r>
        <w:br w:type="page"/>
      </w:r>
    </w:p>
    <w:p>
      <w:pPr>
        <w:pStyle w:val="Heading2"/>
        <w:keepNext/>
        <w:bidi/>
        <w:spacing w:after="100" w:before="240"/>
        <w:jc w:val="right"/>
      </w:pPr>
      <w:r>
        <w:rPr>
          <w:rFonts w:ascii="Arial" w:cs="Arial" w:eastAsia="Arial" w:hAnsi="Arial"/>
          <w:b/>
          <w:bCs/>
          <w:color w:val="0A5BD3"/>
          <w:sz w:val="24"/>
          <w:szCs w:val="24"/>
          <w:rtl/>
        </w:rPr>
        <w:t xml:space="preserve">2.8 ST-8 بيان الرحلة وتسليمه</w:t>
      </w:r>
    </w:p>
    <w:p>
      <w:pPr>
        <w:keepNext/>
        <w:spacing w:after="60" w:before="120"/>
        <w:jc w:val="center"/>
      </w:pPr>
      <w:r>
        <w:drawing>
          <wp:inline distT="0" distB="0" distL="0" distR="0">
            <wp:extent cx="60960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181927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ST-8أ: بيان الرحلة</w:t>
      </w:r>
    </w:p>
    <w:p>
      <w:pPr>
        <w:keepNext/>
        <w:spacing w:after="60" w:before="120"/>
        <w:jc w:val="center"/>
      </w:pPr>
      <w:r>
        <w:drawing>
          <wp:inline distT="0" distB="0" distL="0" distR="0">
            <wp:extent cx="60960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134302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ST-8ب: تسليم البيان إلى جهة واحدة</w:t>
      </w:r>
    </w:p>
    <w:p>
      <w:pPr>
        <w:bidi/>
        <w:spacing w:after="120" w:line="300"/>
        <w:jc w:val="right"/>
      </w:pPr>
      <w:r>
        <w:rPr>
          <w:rFonts w:ascii="Arial" w:cs="Arial" w:eastAsia="Arial" w:hAnsi="Arial"/>
          <w:color w:val="0F1B2D"/>
          <w:sz w:val="21"/>
          <w:szCs w:val="21"/>
          <w:rtl/>
        </w:rPr>
        <w:t xml:space="preserve">يُبنى البيان من التذاكر ويُوقَّع ببصمة محتواه. البيان الموجّه إلى جهة حدودية يصبح SUBMITTED ويُنتظر جوابها؛ وتعديل البيان يُصدر نسخة جديدة ويجعل السابقة SUPERSEDED.</w:t>
      </w:r>
    </w:p>
    <w:p>
      <w:pPr>
        <w:pStyle w:val="Heading2"/>
        <w:keepNext/>
        <w:bidi/>
        <w:spacing w:after="100" w:before="240"/>
        <w:jc w:val="right"/>
      </w:pPr>
      <w:r>
        <w:rPr>
          <w:rFonts w:ascii="Arial" w:cs="Arial" w:eastAsia="Arial" w:hAnsi="Arial"/>
          <w:b/>
          <w:bCs/>
          <w:color w:val="0A5BD3"/>
          <w:sz w:val="24"/>
          <w:szCs w:val="24"/>
          <w:rtl/>
        </w:rPr>
        <w:t xml:space="preserve">2.9 ST-9 الطرد والشحنة</w:t>
      </w:r>
    </w:p>
    <w:p>
      <w:pPr>
        <w:keepNext/>
        <w:spacing w:after="60" w:before="120"/>
        <w:jc w:val="center"/>
      </w:pPr>
      <w:r>
        <w:drawing>
          <wp:inline distT="0" distB="0" distL="0" distR="0">
            <wp:extent cx="60960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143827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ST-9أ: عرض سعر الطرد</w:t>
      </w:r>
    </w:p>
    <w:p>
      <w:pPr>
        <w:keepNext/>
        <w:spacing w:after="60" w:before="120"/>
        <w:jc w:val="center"/>
      </w:pPr>
      <w:r>
        <w:drawing>
          <wp:inline distT="0" distB="0" distL="0" distR="0">
            <wp:extent cx="6096000" cy="69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69532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ST-9ب: حالات الشحنة</w:t>
      </w:r>
    </w:p>
    <w:p>
      <w:pPr>
        <w:bidi/>
        <w:spacing w:after="120" w:line="300"/>
        <w:jc w:val="right"/>
      </w:pPr>
      <w:r>
        <w:rPr>
          <w:rFonts w:ascii="Arial" w:cs="Arial" w:eastAsia="Arial" w:hAnsi="Arial"/>
          <w:color w:val="0F1B2D"/>
          <w:sz w:val="21"/>
          <w:szCs w:val="21"/>
          <w:rtl/>
        </w:rPr>
        <w:t xml:space="preserve">حجز الطرد ينشئ الشحنة CREATED ومقطعها على الرحلة، وتمنع القاعدة تجاوز سعة العنبر (1067). وباقي الحالات لسلسلة الشحن الكاملة، وهي بيانات فقط اليوم.</w:t>
      </w:r>
    </w:p>
    <w:p>
      <w:r>
        <w:br w:type="page"/>
      </w:r>
    </w:p>
    <w:p>
      <w:pPr>
        <w:pStyle w:val="Heading2"/>
        <w:keepNext/>
        <w:bidi/>
        <w:spacing w:after="100" w:before="240"/>
        <w:jc w:val="right"/>
      </w:pPr>
      <w:r>
        <w:rPr>
          <w:rFonts w:ascii="Arial" w:cs="Arial" w:eastAsia="Arial" w:hAnsi="Arial"/>
          <w:b/>
          <w:bCs/>
          <w:color w:val="0A5BD3"/>
          <w:sz w:val="24"/>
          <w:szCs w:val="24"/>
          <w:rtl/>
        </w:rPr>
        <w:t xml:space="preserve">2.10 ST-10 توريد النقد ودفعة التسوية</w:t>
      </w:r>
    </w:p>
    <w:p>
      <w:pPr>
        <w:keepNext/>
        <w:spacing w:after="60" w:before="120"/>
        <w:jc w:val="center"/>
      </w:pPr>
      <w:r>
        <w:drawing>
          <wp:inline distT="0" distB="0" distL="0" distR="0">
            <wp:extent cx="609600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115252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ST-10أ: توريد نقد الناقل</w:t>
      </w:r>
    </w:p>
    <w:p>
      <w:pPr>
        <w:keepNext/>
        <w:spacing w:after="60" w:before="120"/>
        <w:jc w:val="center"/>
      </w:pPr>
      <w:r>
        <w:drawing>
          <wp:inline distT="0" distB="0" distL="0" distR="0">
            <wp:extent cx="6096000"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92392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ST-10ب: دفعة التسوية</w:t>
      </w:r>
    </w:p>
    <w:p>
      <w:pPr>
        <w:pStyle w:val="Heading2"/>
        <w:keepNext/>
        <w:bidi/>
        <w:spacing w:after="100" w:before="240"/>
        <w:jc w:val="right"/>
      </w:pPr>
      <w:r>
        <w:rPr>
          <w:rFonts w:ascii="Arial" w:cs="Arial" w:eastAsia="Arial" w:hAnsi="Arial"/>
          <w:b/>
          <w:bCs/>
          <w:color w:val="0A5BD3"/>
          <w:sz w:val="24"/>
          <w:szCs w:val="24"/>
          <w:rtl/>
        </w:rPr>
        <w:t xml:space="preserve">2.11 ST-11 الاسترداد إلى البطاقة</w:t>
      </w:r>
    </w:p>
    <w:p>
      <w:pPr>
        <w:keepNext/>
        <w:spacing w:after="60" w:before="120"/>
        <w:jc w:val="center"/>
      </w:pPr>
      <w:r>
        <w:drawing>
          <wp:inline distT="0" distB="0" distL="0" distR="0">
            <wp:extent cx="60960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139065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ST-11: الاسترداد إلى البطاقة</w:t>
      </w:r>
    </w:p>
    <w:p>
      <w:pPr>
        <w:bidi/>
        <w:spacing w:after="120" w:line="300"/>
        <w:jc w:val="right"/>
      </w:pPr>
      <w:r>
        <w:rPr>
          <w:rFonts w:ascii="Arial" w:cs="Arial" w:eastAsia="Arial" w:hAnsi="Arial"/>
          <w:color w:val="0F1B2D"/>
          <w:sz w:val="21"/>
          <w:szCs w:val="21"/>
          <w:rtl/>
        </w:rPr>
        <w:t xml:space="preserve">يُحجز المبلغ أولاً، ويُرسل إلى المزود بمفتاح واحد. لا يُقيد إلا عند قبول المزود، ويتحرر الحجز عند الرفض. وإن لم يجب المزود تعيد المالية الإرسال مرة.</w:t>
      </w:r>
    </w:p>
    <w:p>
      <w:r>
        <w:br w:type="page"/>
      </w:r>
    </w:p>
    <w:p>
      <w:pPr>
        <w:pStyle w:val="Heading2"/>
        <w:keepNext/>
        <w:bidi/>
        <w:spacing w:after="100" w:before="240"/>
        <w:jc w:val="right"/>
      </w:pPr>
      <w:r>
        <w:rPr>
          <w:rFonts w:ascii="Arial" w:cs="Arial" w:eastAsia="Arial" w:hAnsi="Arial"/>
          <w:b/>
          <w:bCs/>
          <w:color w:val="0A5BD3"/>
          <w:sz w:val="24"/>
          <w:szCs w:val="24"/>
          <w:rtl/>
        </w:rPr>
        <w:t xml:space="preserve">2.12 ST-12 تسجيل الكاونتر في محطة الصعود</w:t>
      </w:r>
    </w:p>
    <w:p>
      <w:pPr>
        <w:keepNext/>
        <w:spacing w:after="60" w:before="120"/>
        <w:jc w:val="center"/>
      </w:pPr>
      <w:r>
        <w:drawing>
          <wp:inline distT="0" distB="0" distL="0" distR="0">
            <wp:extent cx="60960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107632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ST-12: تسجيل التذكرة عند كاونتر المحطة</w:t>
      </w:r>
    </w:p>
    <w:p>
      <w:pPr>
        <w:bidi/>
        <w:spacing w:after="120" w:line="300"/>
        <w:jc w:val="right"/>
      </w:pPr>
      <w:r>
        <w:rPr>
          <w:rFonts w:ascii="Arial" w:cs="Arial" w:eastAsia="Arial" w:hAnsi="Arial"/>
          <w:color w:val="0F1B2D"/>
          <w:sz w:val="21"/>
          <w:szCs w:val="21"/>
          <w:rtl/>
        </w:rPr>
        <w:t xml:space="preserve">لا يُسجَّل الوصول إلا بصلاحية BOARDING_PASS في المحطة، ومن كاونتر الشركة نفسها، وضمن نافذة التسجيل، ومع أرقام الناقل المطلوبة. وتسجيل التذكرة مرة ثانية يعيد البطاقة نفسها. ولا يصعد عند البوابة إلا من سُجّل في المحطة نفسها.</w:t>
      </w:r>
    </w:p>
    <w:p>
      <w:pPr>
        <w:pStyle w:val="Heading2"/>
        <w:keepNext/>
        <w:bidi/>
        <w:spacing w:after="100" w:before="240"/>
        <w:jc w:val="right"/>
      </w:pPr>
      <w:r>
        <w:rPr>
          <w:rFonts w:ascii="Arial" w:cs="Arial" w:eastAsia="Arial" w:hAnsi="Arial"/>
          <w:b/>
          <w:bCs/>
          <w:color w:val="0A5BD3"/>
          <w:sz w:val="24"/>
          <w:szCs w:val="24"/>
          <w:rtl/>
        </w:rPr>
        <w:t xml:space="preserve">2.13 ST-13 الفاتورة الإلكترونية</w:t>
      </w:r>
    </w:p>
    <w:p>
      <w:pPr>
        <w:keepNext/>
        <w:spacing w:after="60" w:before="120"/>
        <w:jc w:val="center"/>
      </w:pPr>
      <w:r>
        <w:drawing>
          <wp:inline distT="0" distB="0" distL="0" distR="0">
            <wp:extent cx="6096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114300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ST-13: حالات الفاتورة الإلكترونية</w:t>
      </w:r>
    </w:p>
    <w:p>
      <w:pPr>
        <w:bidi/>
        <w:spacing w:after="120" w:line="300"/>
        <w:jc w:val="right"/>
      </w:pPr>
      <w:r>
        <w:rPr>
          <w:rFonts w:ascii="Arial" w:cs="Arial" w:eastAsia="Arial" w:hAnsi="Arial"/>
          <w:color w:val="0F1B2D"/>
          <w:sz w:val="21"/>
          <w:szCs w:val="21"/>
          <w:rtl/>
        </w:rPr>
        <w:t xml:space="preserve">الرقم متسلسل بلا فجوات لكل وحدة إصدار، والبصمة تسلسل كل فاتورة بالتي قبلها، وتُوقَّع بمفتاح يُذكر معرّفه فيها. والاسترداد لا يغيّر الفاتورة بل يُصدر إشعاراً دائناً يذكرها. أما الإرسال إلى الهيئة الضريبية فلم يُبنَ بعد.</w:t>
      </w:r>
    </w:p>
    <w:p>
      <w:r>
        <w:br w:type="page"/>
      </w:r>
    </w:p>
    <w:p>
      <w:pPr>
        <w:pStyle w:val="Heading2"/>
        <w:keepNext/>
        <w:bidi/>
        <w:spacing w:after="100" w:before="240"/>
        <w:jc w:val="right"/>
      </w:pPr>
      <w:r>
        <w:rPr>
          <w:rFonts w:ascii="Arial" w:cs="Arial" w:eastAsia="Arial" w:hAnsi="Arial"/>
          <w:b/>
          <w:bCs/>
          <w:color w:val="0A5BD3"/>
          <w:sz w:val="24"/>
          <w:szCs w:val="24"/>
          <w:rtl/>
        </w:rPr>
        <w:t xml:space="preserve">2.14 ST-14 الاستبدال لدى الشركاء</w:t>
      </w:r>
    </w:p>
    <w:p>
      <w:pPr>
        <w:keepNext/>
        <w:spacing w:after="60" w:before="120"/>
        <w:jc w:val="center"/>
      </w:pPr>
      <w:r>
        <w:drawing>
          <wp:inline distT="0" distB="0" distL="0" distR="0">
            <wp:extent cx="60960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96000" cy="53340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ST-14أ: اتفاقية الشريك</w:t>
      </w:r>
    </w:p>
    <w:p>
      <w:pPr>
        <w:keepNext/>
        <w:spacing w:after="60" w:before="120"/>
        <w:jc w:val="center"/>
      </w:pPr>
      <w:r>
        <w:drawing>
          <wp:inline distT="0" distB="0" distL="0" distR="0">
            <wp:extent cx="6096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96000" cy="200025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ST-14ب: القسيمة</w:t>
      </w:r>
    </w:p>
    <w:p>
      <w:pPr>
        <w:keepNext/>
        <w:spacing w:after="60" w:before="120"/>
        <w:jc w:val="center"/>
      </w:pPr>
      <w:r>
        <w:drawing>
          <wp:inline distT="0" distB="0" distL="0" distR="0">
            <wp:extent cx="6096000" cy="77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96000" cy="77152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ST-14ج: كشف تسوية الشريك</w:t>
      </w:r>
    </w:p>
    <w:p>
      <w:pPr>
        <w:bidi/>
        <w:spacing w:after="120" w:line="300"/>
        <w:jc w:val="right"/>
      </w:pPr>
      <w:r>
        <w:rPr>
          <w:rFonts w:ascii="Arial" w:cs="Arial" w:eastAsia="Arial" w:hAnsi="Arial"/>
          <w:color w:val="0F1B2D"/>
          <w:sz w:val="21"/>
          <w:szCs w:val="21"/>
          <w:rtl/>
        </w:rPr>
        <w:t xml:space="preserve">الاتفاقية تحدد النقاط مقابل المبلغ ونسبة ما تدفعه المنصة. القسيمة المستعملة تُدرج في كشف واحد فقط؛ ويعتمد الكشف شخص آخر، ويسجّل الحوالة شخص ثالث.</w:t>
      </w:r>
    </w:p>
    <w:p>
      <w:r>
        <w:br w:type="page"/>
      </w:r>
    </w:p>
    <w:p>
      <w:pPr>
        <w:pStyle w:val="Heading2"/>
        <w:keepNext/>
        <w:bidi/>
        <w:spacing w:after="100" w:before="240"/>
        <w:jc w:val="right"/>
      </w:pPr>
      <w:r>
        <w:rPr>
          <w:rFonts w:ascii="Arial" w:cs="Arial" w:eastAsia="Arial" w:hAnsi="Arial"/>
          <w:b/>
          <w:bCs/>
          <w:color w:val="0A5BD3"/>
          <w:sz w:val="24"/>
          <w:szCs w:val="24"/>
          <w:rtl/>
        </w:rPr>
        <w:t xml:space="preserve">2.15 ST-15 تنبيه التتبع والاستغاثة وغرامة الإلغاء</w:t>
      </w:r>
    </w:p>
    <w:p>
      <w:pPr>
        <w:keepNext/>
        <w:spacing w:after="60" w:before="120"/>
        <w:jc w:val="center"/>
      </w:pPr>
      <w:r>
        <w:drawing>
          <wp:inline distT="0" distB="0" distL="0" distR="0">
            <wp:extent cx="6096000"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96000" cy="92392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ST-15أ: تنبيه التتبع</w:t>
      </w:r>
    </w:p>
    <w:p>
      <w:pPr>
        <w:keepNext/>
        <w:spacing w:after="60" w:before="120"/>
        <w:jc w:val="center"/>
      </w:pPr>
      <w:r>
        <w:drawing>
          <wp:inline distT="0" distB="0" distL="0" distR="0">
            <wp:extent cx="6096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96000" cy="95250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ST-15ب: الاستغاثة</w:t>
      </w:r>
    </w:p>
    <w:p>
      <w:pPr>
        <w:keepNext/>
        <w:spacing w:after="60" w:before="120"/>
        <w:jc w:val="center"/>
      </w:pPr>
      <w:r>
        <w:drawing>
          <wp:inline distT="0" distB="0" distL="0" distR="0">
            <wp:extent cx="609600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096000" cy="137160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ST-15ج: غرامة إلغاء الرحلة</w:t>
      </w:r>
    </w:p>
    <w:p>
      <w:pPr>
        <w:bidi/>
        <w:spacing w:after="120" w:line="300"/>
        <w:jc w:val="right"/>
      </w:pPr>
      <w:r>
        <w:rPr>
          <w:rFonts w:ascii="Arial" w:cs="Arial" w:eastAsia="Arial" w:hAnsi="Arial"/>
          <w:color w:val="0F1B2D"/>
          <w:sz w:val="21"/>
          <w:szCs w:val="21"/>
          <w:rtl/>
        </w:rPr>
        <w:t xml:space="preserve">الغرامة لا تُفرض إلا حين تفعّلها المنصة برقم قرار الجهة الناظمة، ولا تمس استرداد المسافرين الكامل. وإن لم يكفِ رصيد الناقل تبقى DUE حتى تُقتطع عند إتمامه رحلة تالية.</w:t>
      </w:r>
    </w:p>
    <w:p>
      <w:r>
        <w:br w:type="page"/>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3. مخططات التسلسل</w:t>
      </w:r>
    </w:p>
    <w:p>
      <w:pPr>
        <w:pStyle w:val="Heading2"/>
        <w:keepNext/>
        <w:bidi/>
        <w:spacing w:after="100" w:before="240"/>
        <w:jc w:val="right"/>
      </w:pPr>
      <w:r>
        <w:rPr>
          <w:rFonts w:ascii="Arial" w:cs="Arial" w:eastAsia="Arial" w:hAnsi="Arial"/>
          <w:b/>
          <w:bCs/>
          <w:color w:val="0A5BD3"/>
          <w:sz w:val="24"/>
          <w:szCs w:val="24"/>
          <w:rtl/>
        </w:rPr>
        <w:t xml:space="preserve">3.1 SQ-1 الحجز والدفع</w:t>
      </w:r>
    </w:p>
    <w:p>
      <w:pPr>
        <w:keepNext/>
        <w:spacing w:after="60" w:before="120"/>
        <w:jc w:val="center"/>
      </w:pPr>
      <w:r>
        <w:drawing>
          <wp:inline distT="0" distB="0" distL="0" distR="0">
            <wp:extent cx="6096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096000" cy="377190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SQ-1: الحجز، مدفوعاً فوراً أو بانتظار الدفع</w:t>
      </w:r>
    </w:p>
    <w:p>
      <w:pPr>
        <w:pStyle w:val="Heading2"/>
        <w:keepNext/>
        <w:bidi/>
        <w:spacing w:after="100" w:before="240"/>
        <w:jc w:val="right"/>
      </w:pPr>
      <w:r>
        <w:rPr>
          <w:rFonts w:ascii="Arial" w:cs="Arial" w:eastAsia="Arial" w:hAnsi="Arial"/>
          <w:b/>
          <w:bCs/>
          <w:color w:val="0A5BD3"/>
          <w:sz w:val="24"/>
          <w:szCs w:val="24"/>
          <w:rtl/>
        </w:rPr>
        <w:t xml:space="preserve">3.2 SQ-2 مسح الصعود</w:t>
      </w:r>
    </w:p>
    <w:p>
      <w:pPr>
        <w:keepNext/>
        <w:spacing w:after="60" w:before="120"/>
        <w:jc w:val="center"/>
      </w:pPr>
      <w:r>
        <w:drawing>
          <wp:inline distT="0" distB="0" distL="0" distR="0">
            <wp:extent cx="6096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096000" cy="392430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SQ-2: مسح الصعود من السائق</w:t>
      </w:r>
    </w:p>
    <w:p>
      <w:r>
        <w:br w:type="page"/>
      </w:r>
    </w:p>
    <w:p>
      <w:pPr>
        <w:pStyle w:val="Heading2"/>
        <w:keepNext/>
        <w:bidi/>
        <w:spacing w:after="100" w:before="240"/>
        <w:jc w:val="right"/>
      </w:pPr>
      <w:r>
        <w:rPr>
          <w:rFonts w:ascii="Arial" w:cs="Arial" w:eastAsia="Arial" w:hAnsi="Arial"/>
          <w:b/>
          <w:bCs/>
          <w:color w:val="0A5BD3"/>
          <w:sz w:val="24"/>
          <w:szCs w:val="24"/>
          <w:rtl/>
        </w:rPr>
        <w:t xml:space="preserve">3.3 SQ-3 تغيير إعداد للصورة بالمراحل</w:t>
      </w:r>
    </w:p>
    <w:p>
      <w:pPr>
        <w:keepNext/>
        <w:spacing w:after="60" w:before="120"/>
        <w:jc w:val="center"/>
      </w:pPr>
      <w:r>
        <w:drawing>
          <wp:inline distT="0" distB="0" distL="0" distR="0">
            <wp:extent cx="6096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096000" cy="243840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SQ-3: تغيير إعداد للصورة</w:t>
      </w:r>
    </w:p>
    <w:p>
      <w:pPr>
        <w:pStyle w:val="Heading2"/>
        <w:keepNext/>
        <w:bidi/>
        <w:spacing w:after="100" w:before="240"/>
        <w:jc w:val="right"/>
      </w:pPr>
      <w:r>
        <w:rPr>
          <w:rFonts w:ascii="Arial" w:cs="Arial" w:eastAsia="Arial" w:hAnsi="Arial"/>
          <w:b/>
          <w:bCs/>
          <w:color w:val="0A5BD3"/>
          <w:sz w:val="24"/>
          <w:szCs w:val="24"/>
          <w:rtl/>
        </w:rPr>
        <w:t xml:space="preserve">3.4 SQ-4 صلاحيات شركة التشغيل</w:t>
      </w:r>
    </w:p>
    <w:p>
      <w:pPr>
        <w:keepNext/>
        <w:spacing w:after="60" w:before="120"/>
        <w:jc w:val="center"/>
      </w:pPr>
      <w:r>
        <w:drawing>
          <wp:inline distT="0" distB="0" distL="0" distR="0">
            <wp:extent cx="6096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096000" cy="264795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SQ-4: صلاحيات شركة التشغيل في محطة</w:t>
      </w:r>
    </w:p>
    <w:p>
      <w:r>
        <w:br w:type="page"/>
      </w:r>
    </w:p>
    <w:p>
      <w:pPr>
        <w:pStyle w:val="Heading2"/>
        <w:keepNext/>
        <w:bidi/>
        <w:spacing w:after="100" w:before="240"/>
        <w:jc w:val="right"/>
      </w:pPr>
      <w:r>
        <w:rPr>
          <w:rFonts w:ascii="Arial" w:cs="Arial" w:eastAsia="Arial" w:hAnsi="Arial"/>
          <w:b/>
          <w:bCs/>
          <w:color w:val="0A5BD3"/>
          <w:sz w:val="24"/>
          <w:szCs w:val="24"/>
          <w:rtl/>
        </w:rPr>
        <w:t xml:space="preserve">3.5 SQ-5 الإلغاء والاسترداد</w:t>
      </w:r>
    </w:p>
    <w:p>
      <w:pPr>
        <w:keepNext/>
        <w:spacing w:after="60" w:before="120"/>
        <w:jc w:val="center"/>
      </w:pPr>
      <w:r>
        <w:drawing>
          <wp:inline distT="0" distB="0" distL="0" distR="0">
            <wp:extent cx="60960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096000" cy="408622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SQ-5: الإلغاء والاسترداد</w:t>
      </w:r>
    </w:p>
    <w:p>
      <w:pPr>
        <w:bidi/>
        <w:spacing w:after="120" w:line="300"/>
        <w:jc w:val="right"/>
      </w:pPr>
      <w:r>
        <w:rPr>
          <w:rFonts w:ascii="Arial" w:cs="Arial" w:eastAsia="Arial" w:hAnsi="Arial"/>
          <w:color w:val="0F1B2D"/>
          <w:sz w:val="21"/>
          <w:szCs w:val="21"/>
          <w:rtl/>
        </w:rPr>
        <w:t xml:space="preserve">يُحسب المسترد لكل تذكرة من جدول فئة السعر المحفوظ في الحجز والساعات الباقية قبل المغادرة؛ وما لا يُسترد يبقى للناقل رسمَ إلغاء.</w:t>
      </w:r>
    </w:p>
    <w:p>
      <w:pPr>
        <w:pStyle w:val="Heading2"/>
        <w:keepNext/>
        <w:bidi/>
        <w:spacing w:after="100" w:before="240"/>
        <w:jc w:val="right"/>
      </w:pPr>
      <w:r>
        <w:rPr>
          <w:rFonts w:ascii="Arial" w:cs="Arial" w:eastAsia="Arial" w:hAnsi="Arial"/>
          <w:b/>
          <w:bCs/>
          <w:color w:val="0A5BD3"/>
          <w:sz w:val="24"/>
          <w:szCs w:val="24"/>
          <w:rtl/>
        </w:rPr>
        <w:t xml:space="preserve">3.6 SQ-6 إصدار بيان الرحلة</w:t>
      </w:r>
    </w:p>
    <w:p>
      <w:pPr>
        <w:keepNext/>
        <w:spacing w:after="60" w:before="120"/>
        <w:jc w:val="center"/>
      </w:pPr>
      <w:r>
        <w:drawing>
          <wp:inline distT="0" distB="0" distL="0" distR="0">
            <wp:extent cx="6096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096000" cy="293370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SQ-6: إصدار بيان الرحلة وتأكيد استلامه</w:t>
      </w:r>
    </w:p>
    <w:p>
      <w:r>
        <w:br w:type="page"/>
      </w:r>
    </w:p>
    <w:p>
      <w:pPr>
        <w:pStyle w:val="Heading2"/>
        <w:keepNext/>
        <w:bidi/>
        <w:spacing w:after="100" w:before="240"/>
        <w:jc w:val="right"/>
      </w:pPr>
      <w:r>
        <w:rPr>
          <w:rFonts w:ascii="Arial" w:cs="Arial" w:eastAsia="Arial" w:hAnsi="Arial"/>
          <w:b/>
          <w:bCs/>
          <w:color w:val="0A5BD3"/>
          <w:sz w:val="24"/>
          <w:szCs w:val="24"/>
          <w:rtl/>
        </w:rPr>
        <w:t xml:space="preserve">3.7 SQ-7 سحب الشركة بمعتمدَين</w:t>
      </w:r>
    </w:p>
    <w:p>
      <w:pPr>
        <w:keepNext/>
        <w:spacing w:after="60" w:before="120"/>
        <w:jc w:val="center"/>
      </w:pPr>
      <w:r>
        <w:drawing>
          <wp:inline distT="0" distB="0" distL="0" distR="0">
            <wp:extent cx="6096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096000" cy="216217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SQ-7: سحب رصيد الشركة بفصل المهام</w:t>
      </w:r>
    </w:p>
    <w:p>
      <w:pPr>
        <w:bidi/>
        <w:spacing w:after="120" w:line="300"/>
        <w:jc w:val="right"/>
      </w:pPr>
      <w:r>
        <w:rPr>
          <w:rFonts w:ascii="Arial" w:cs="Arial" w:eastAsia="Arial" w:hAnsi="Arial"/>
          <w:color w:val="0F1B2D"/>
          <w:sz w:val="21"/>
          <w:szCs w:val="21"/>
          <w:rtl/>
        </w:rPr>
        <w:t xml:space="preserve">أربعة أشخاص مختلفين على الأقل فوق الحد: صاحب الطلب، والمعتمد الأول، والمعتمد الثاني، ومن يدفع. ويُرفض أي خلط بينهم برمز FOUR_EYES.</w:t>
      </w:r>
    </w:p>
    <w:p>
      <w:r>
        <w:br w:type="page"/>
      </w:r>
    </w:p>
    <w:p>
      <w:pPr>
        <w:pStyle w:val="Heading2"/>
        <w:keepNext/>
        <w:bidi/>
        <w:spacing w:after="100" w:before="240"/>
        <w:jc w:val="right"/>
      </w:pPr>
      <w:r>
        <w:rPr>
          <w:rFonts w:ascii="Arial" w:cs="Arial" w:eastAsia="Arial" w:hAnsi="Arial"/>
          <w:b/>
          <w:bCs/>
          <w:color w:val="0A5BD3"/>
          <w:sz w:val="24"/>
          <w:szCs w:val="24"/>
          <w:rtl/>
        </w:rPr>
        <w:t xml:space="preserve">3.8 SQ-8 التسجيل في الكاونتر والصعود عند البوابة</w:t>
      </w:r>
    </w:p>
    <w:p>
      <w:pPr>
        <w:keepNext/>
        <w:spacing w:after="60" w:before="120"/>
        <w:jc w:val="center"/>
      </w:pPr>
      <w:r>
        <w:drawing>
          <wp:inline distT="0" distB="0" distL="0" distR="0">
            <wp:extent cx="6096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096000" cy="298132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SQ-8: التسجيل في كاونتر المحطة والصعود عند البوابة</w:t>
      </w:r>
    </w:p>
    <w:p>
      <w:pPr>
        <w:bidi/>
        <w:spacing w:after="120" w:line="300"/>
        <w:jc w:val="right"/>
      </w:pPr>
      <w:r>
        <w:rPr>
          <w:rFonts w:ascii="Arial" w:cs="Arial" w:eastAsia="Arial" w:hAnsi="Arial"/>
          <w:color w:val="0F1B2D"/>
          <w:sz w:val="21"/>
          <w:szCs w:val="21"/>
          <w:rtl/>
        </w:rPr>
        <w:t xml:space="preserve">الكاونتر لا يعرض صورة المسافر حتى تصدر الموافقات القانونية والتشريعية (1111). والصعود عند البوابة يسلك مسار السائق نفسه بعد التحقق من صلاحية BOARDING ومن التسجيل في المحطة.</w:t>
      </w:r>
    </w:p>
    <w:p>
      <w:r>
        <w:br w:type="page"/>
      </w:r>
    </w:p>
    <w:p>
      <w:pPr>
        <w:pStyle w:val="Heading2"/>
        <w:keepNext/>
        <w:bidi/>
        <w:spacing w:after="100" w:before="240"/>
        <w:jc w:val="right"/>
      </w:pPr>
      <w:r>
        <w:rPr>
          <w:rFonts w:ascii="Arial" w:cs="Arial" w:eastAsia="Arial" w:hAnsi="Arial"/>
          <w:b/>
          <w:bCs/>
          <w:color w:val="0A5BD3"/>
          <w:sz w:val="24"/>
          <w:szCs w:val="24"/>
          <w:rtl/>
        </w:rPr>
        <w:t xml:space="preserve">3.9 SQ-9 إلغاء الناقل لرحلة</w:t>
      </w:r>
    </w:p>
    <w:p>
      <w:pPr>
        <w:keepNext/>
        <w:spacing w:after="60" w:before="120"/>
        <w:jc w:val="center"/>
      </w:pPr>
      <w:r>
        <w:drawing>
          <wp:inline distT="0" distB="0" distL="0" distR="0">
            <wp:extent cx="6096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096000" cy="288607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SQ-9: إلغاء الرحلة واسترداد كامل للمسافرين</w:t>
      </w:r>
    </w:p>
    <w:p>
      <w:pPr>
        <w:bidi/>
        <w:spacing w:after="120" w:line="300"/>
        <w:jc w:val="right"/>
      </w:pPr>
      <w:r>
        <w:rPr>
          <w:rFonts w:ascii="Arial" w:cs="Arial" w:eastAsia="Arial" w:hAnsi="Arial"/>
          <w:color w:val="0F1B2D"/>
          <w:sz w:val="21"/>
          <w:szCs w:val="21"/>
          <w:rtl/>
        </w:rPr>
        <w:t xml:space="preserve">يُعاد لكل من دفع ماله كاملاً، ومنه رسم المنصة، ولا تحتفظ الوكالة بعمولة. والرحلة التي تحمل طروداً لا تُلغى حتى تُنقل طرودها.</w:t>
      </w:r>
    </w:p>
    <w:p>
      <w:r>
        <w:br w:type="page"/>
      </w:r>
    </w:p>
    <w:p>
      <w:pPr>
        <w:pStyle w:val="Heading2"/>
        <w:keepNext/>
        <w:bidi/>
        <w:spacing w:after="100" w:before="240"/>
        <w:jc w:val="right"/>
      </w:pPr>
      <w:r>
        <w:rPr>
          <w:rFonts w:ascii="Arial" w:cs="Arial" w:eastAsia="Arial" w:hAnsi="Arial"/>
          <w:b/>
          <w:bCs/>
          <w:color w:val="0A5BD3"/>
          <w:sz w:val="24"/>
          <w:szCs w:val="24"/>
          <w:rtl/>
        </w:rPr>
        <w:t xml:space="preserve">3.10 SQ-10 القسيمة لدى الشريك حتى تسويتها</w:t>
      </w:r>
    </w:p>
    <w:p>
      <w:pPr>
        <w:keepNext/>
        <w:spacing w:after="60" w:before="120"/>
        <w:jc w:val="center"/>
      </w:pPr>
      <w:r>
        <w:drawing>
          <wp:inline distT="0" distB="0" distL="0" distR="0">
            <wp:extent cx="6096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096000" cy="250507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SQ-10: قسيمة الشريك من الإصدار إلى دفع الكشف</w:t>
      </w:r>
    </w:p>
    <w:p>
      <w:r>
        <w:br w:type="page"/>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4. مخططات النشاط: العمليات التشغيلية</w:t>
      </w:r>
    </w:p>
    <w:p>
      <w:pPr>
        <w:bidi/>
        <w:spacing w:after="120" w:line="300"/>
        <w:jc w:val="right"/>
      </w:pPr>
      <w:r>
        <w:rPr>
          <w:rFonts w:ascii="Arial" w:cs="Arial" w:eastAsia="Arial" w:hAnsi="Arial"/>
          <w:color w:val="0F1B2D"/>
          <w:sz w:val="21"/>
          <w:szCs w:val="21"/>
          <w:rtl/>
        </w:rPr>
        <w:t xml:space="preserve">كل مخطط عملية يومية كما يفرضها النظام. ما يحدث خارج النظام (من يتسلم النقد، وكيف يُحفظ، ومتى يُورَّد) يُكمل مع فرق التشغيل في إجراءات مكتوبة.</w:t>
      </w:r>
    </w:p>
    <w:p>
      <w:pPr>
        <w:pStyle w:val="Heading2"/>
        <w:keepNext/>
        <w:bidi/>
        <w:spacing w:after="100" w:before="240"/>
        <w:jc w:val="right"/>
      </w:pPr>
      <w:r>
        <w:rPr>
          <w:rFonts w:ascii="Arial" w:cs="Arial" w:eastAsia="Arial" w:hAnsi="Arial"/>
          <w:b/>
          <w:bCs/>
          <w:color w:val="0A5BD3"/>
          <w:sz w:val="24"/>
          <w:szCs w:val="24"/>
          <w:rtl/>
        </w:rPr>
        <w:t xml:space="preserve">4.1 AC-1 البيع النقدي في الكاونتر وتوريد النقد</w:t>
      </w:r>
    </w:p>
    <w:p>
      <w:pPr>
        <w:keepNext/>
        <w:spacing w:after="60" w:before="120"/>
        <w:jc w:val="center"/>
      </w:pPr>
      <w:r>
        <w:drawing>
          <wp:inline distT="0" distB="0" distL="0" distR="0">
            <wp:extent cx="3438525"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438525" cy="609600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AC-1: البيع النقدي وتوريد النقد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2410"/>
        <w:gridCol w:w="5783"/>
      </w:tblGrid>
      <w:tr>
        <w:trPr>
          <w:tblHeader/>
        </w:trPr>
        <w:tc>
          <w:tcPr>
            <w:tcW w:type="dxa" w:w="144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الخطوة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من</w:t>
            </w:r>
          </w:p>
        </w:tc>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يفرضه النظام</w:t>
            </w:r>
          </w:p>
        </w:tc>
      </w:tr>
      <w:tr>
        <w:trPr>
          <w:cantSplit/>
        </w:trPr>
        <w:tc>
          <w:tcPr>
            <w:tcW w:type="dxa" w:w="144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البيع</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كاونتر الناقل</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الخيار النقدي مفتوح لقناة الكاونتر، والناقل تحت حد النقد الذي تضعه المنصة له</w:t>
            </w:r>
          </w:p>
        </w:tc>
      </w:tr>
      <w:tr>
        <w:trPr>
          <w:cantSplit/>
        </w:trPr>
        <w:tc>
          <w:tcPr>
            <w:tcW w:type="dxa" w:w="144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الدين</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النظام</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كل بيع نقدي يزيد ما يدين به الناقل للمنصة، ويظهر في تقرير عمر النقد</w:t>
            </w:r>
          </w:p>
        </w:tc>
      </w:tr>
      <w:tr>
        <w:trPr>
          <w:cantSplit/>
        </w:trPr>
        <w:tc>
          <w:tcPr>
            <w:tcW w:type="dxa" w:w="144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التوريد</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مالية المنصة</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التوريد بما لا يزيد عن الدين، وتأكيده أو رفضه من موظف آخر</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4.2 AC-2 الصعود عند باب الحافلة</w:t>
      </w:r>
    </w:p>
    <w:p>
      <w:pPr>
        <w:keepNext/>
        <w:spacing w:after="60" w:before="120"/>
        <w:jc w:val="center"/>
      </w:pPr>
      <w:r>
        <w:drawing>
          <wp:inline distT="0" distB="0" distL="0" distR="0">
            <wp:extent cx="4467225"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467225" cy="819150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AC-2: الصعود عند الباب، متصلاً أو دون اتصال</w:t>
      </w:r>
    </w:p>
    <w:p>
      <w:r>
        <w:br w:type="page"/>
      </w:r>
    </w:p>
    <w:p>
      <w:pPr>
        <w:pStyle w:val="Heading2"/>
        <w:keepNext/>
        <w:bidi/>
        <w:spacing w:after="100" w:before="240"/>
        <w:jc w:val="right"/>
      </w:pPr>
      <w:r>
        <w:rPr>
          <w:rFonts w:ascii="Arial" w:cs="Arial" w:eastAsia="Arial" w:hAnsi="Arial"/>
          <w:b/>
          <w:bCs/>
          <w:color w:val="0A5BD3"/>
          <w:sz w:val="24"/>
          <w:szCs w:val="24"/>
          <w:rtl/>
        </w:rPr>
        <w:t xml:space="preserve">4.3 AC-3 الحجز الآن والدفع لاحقاً</w:t>
      </w:r>
    </w:p>
    <w:p>
      <w:pPr>
        <w:keepNext/>
        <w:spacing w:after="60" w:before="120"/>
        <w:jc w:val="center"/>
      </w:pPr>
      <w:r>
        <w:drawing>
          <wp:inline distT="0" distB="0" distL="0" distR="0">
            <wp:extent cx="6096000" cy="732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096000" cy="732472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AC-3: دورة الحجز المؤجل الدفع</w:t>
      </w:r>
    </w:p>
    <w:p>
      <w:pPr>
        <w:bidi/>
        <w:spacing w:after="120" w:line="300"/>
        <w:jc w:val="right"/>
      </w:pPr>
      <w:r>
        <w:rPr>
          <w:rFonts w:ascii="Arial" w:cs="Arial" w:eastAsia="Arial" w:hAnsi="Arial"/>
          <w:color w:val="0F1B2D"/>
          <w:sz w:val="21"/>
          <w:szCs w:val="21"/>
          <w:rtl/>
        </w:rPr>
        <w:t xml:space="preserve">القيم الافتراضية: مدة الحجز 24 ساعة، والتوقف 120 دقيقة قبل المغادرة، وحجزان مفتوحان على الأكثر لكل مسافر؛ وكلها إعدادات تضبطها المنصة.</w:t>
      </w:r>
    </w:p>
    <w:p>
      <w:r>
        <w:br w:type="page"/>
      </w:r>
    </w:p>
    <w:p>
      <w:pPr>
        <w:pStyle w:val="Heading2"/>
        <w:keepNext/>
        <w:bidi/>
        <w:spacing w:after="100" w:before="240"/>
        <w:jc w:val="right"/>
      </w:pPr>
      <w:r>
        <w:rPr>
          <w:rFonts w:ascii="Arial" w:cs="Arial" w:eastAsia="Arial" w:hAnsi="Arial"/>
          <w:b/>
          <w:bCs/>
          <w:color w:val="0A5BD3"/>
          <w:sz w:val="24"/>
          <w:szCs w:val="24"/>
          <w:rtl/>
        </w:rPr>
        <w:t xml:space="preserve">4.4 AC-4 تسجيل ناقل حتى نشر أول رحلة</w:t>
      </w:r>
    </w:p>
    <w:p>
      <w:pPr>
        <w:keepNext/>
        <w:spacing w:after="60" w:before="120"/>
        <w:jc w:val="center"/>
      </w:pPr>
      <w:r>
        <w:drawing>
          <wp:inline distT="0" distB="0" distL="0" distR="0">
            <wp:extent cx="4429125"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429125" cy="819150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AC-4: من التسجيل إلى نشر أول رحلة</w:t>
      </w:r>
    </w:p>
    <w:p>
      <w:r>
        <w:br w:type="page"/>
      </w:r>
    </w:p>
    <w:p>
      <w:pPr>
        <w:pStyle w:val="Heading2"/>
        <w:keepNext/>
        <w:bidi/>
        <w:spacing w:after="100" w:before="240"/>
        <w:jc w:val="right"/>
      </w:pPr>
      <w:r>
        <w:rPr>
          <w:rFonts w:ascii="Arial" w:cs="Arial" w:eastAsia="Arial" w:hAnsi="Arial"/>
          <w:b/>
          <w:bCs/>
          <w:color w:val="0A5BD3"/>
          <w:sz w:val="24"/>
          <w:szCs w:val="24"/>
          <w:rtl/>
        </w:rPr>
        <w:t xml:space="preserve">4.5 AC-5 تغيير في سياسة الصورة</w:t>
      </w:r>
    </w:p>
    <w:p>
      <w:pPr>
        <w:keepNext/>
        <w:spacing w:after="60" w:before="120"/>
        <w:jc w:val="center"/>
      </w:pPr>
      <w:r>
        <w:drawing>
          <wp:inline distT="0" distB="0" distL="0" distR="0">
            <wp:extent cx="4543425"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543425" cy="819150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AC-5: تغيير في سياسة الصورة بمراحله</w:t>
      </w:r>
    </w:p>
    <w:p>
      <w:r>
        <w:br w:type="page"/>
      </w:r>
    </w:p>
    <w:p>
      <w:pPr>
        <w:pStyle w:val="Heading2"/>
        <w:keepNext/>
        <w:bidi/>
        <w:spacing w:after="100" w:before="240"/>
        <w:jc w:val="right"/>
      </w:pPr>
      <w:r>
        <w:rPr>
          <w:rFonts w:ascii="Arial" w:cs="Arial" w:eastAsia="Arial" w:hAnsi="Arial"/>
          <w:b/>
          <w:bCs/>
          <w:color w:val="0A5BD3"/>
          <w:sz w:val="24"/>
          <w:szCs w:val="24"/>
          <w:rtl/>
        </w:rPr>
        <w:t xml:space="preserve">4.6 AC-6 الإقفال المالي اليومي</w:t>
      </w:r>
    </w:p>
    <w:p>
      <w:pPr>
        <w:keepNext/>
        <w:spacing w:after="60" w:before="120"/>
        <w:jc w:val="center"/>
      </w:pPr>
      <w:r>
        <w:drawing>
          <wp:inline distT="0" distB="0" distL="0" distR="0">
            <wp:extent cx="3962400"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962400" cy="819150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AC-6: الإقفال المالي اليومي</w:t>
      </w:r>
    </w:p>
    <w:p>
      <w:r>
        <w:br w:type="page"/>
      </w:r>
    </w:p>
    <w:p>
      <w:pPr>
        <w:pStyle w:val="Heading2"/>
        <w:keepNext/>
        <w:bidi/>
        <w:spacing w:after="100" w:before="240"/>
        <w:jc w:val="right"/>
      </w:pPr>
      <w:r>
        <w:rPr>
          <w:rFonts w:ascii="Arial" w:cs="Arial" w:eastAsia="Arial" w:hAnsi="Arial"/>
          <w:b/>
          <w:bCs/>
          <w:color w:val="0A5BD3"/>
          <w:sz w:val="24"/>
          <w:szCs w:val="24"/>
          <w:rtl/>
        </w:rPr>
        <w:t xml:space="preserve">4.7 AC-7 الاستغاثة والحوادث في الرحلة</w:t>
      </w:r>
    </w:p>
    <w:p>
      <w:pPr>
        <w:keepNext/>
        <w:spacing w:after="60" w:before="120"/>
        <w:jc w:val="center"/>
      </w:pPr>
      <w:r>
        <w:drawing>
          <wp:inline distT="0" distB="0" distL="0" distR="0">
            <wp:extent cx="6096000" cy="727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096000" cy="727710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AC-7: الاستغاثة والإبلاغ عن الحوادث</w:t>
      </w:r>
    </w:p>
    <w:p>
      <w:pPr>
        <w:bidi/>
        <w:spacing w:after="120" w:line="300"/>
        <w:jc w:val="right"/>
      </w:pPr>
      <w:r>
        <w:rPr>
          <w:rFonts w:ascii="Arial" w:cs="Arial" w:eastAsia="Arial" w:hAnsi="Arial"/>
          <w:color w:val="0F1B2D"/>
          <w:sz w:val="21"/>
          <w:szCs w:val="21"/>
          <w:rtl/>
        </w:rPr>
        <w:t xml:space="preserve">ما يحدث بعد الإبلاغ خارج النظام (الاتصال بالجهات، وإرسال المساعدة) يُكتب في إجراءات فريق العمليات.</w:t>
      </w:r>
    </w:p>
    <w:p>
      <w:r>
        <w:br w:type="page"/>
      </w:r>
    </w:p>
    <w:p>
      <w:pPr>
        <w:pStyle w:val="Heading2"/>
        <w:keepNext/>
        <w:bidi/>
        <w:spacing w:after="100" w:before="240"/>
        <w:jc w:val="right"/>
      </w:pPr>
      <w:r>
        <w:rPr>
          <w:rFonts w:ascii="Arial" w:cs="Arial" w:eastAsia="Arial" w:hAnsi="Arial"/>
          <w:b/>
          <w:bCs/>
          <w:color w:val="0A5BD3"/>
          <w:sz w:val="24"/>
          <w:szCs w:val="24"/>
          <w:rtl/>
        </w:rPr>
        <w:t xml:space="preserve">4.8 AC-8 المسافر في محطة الصعود</w:t>
      </w:r>
    </w:p>
    <w:p>
      <w:pPr>
        <w:keepNext/>
        <w:spacing w:after="60" w:before="120"/>
        <w:jc w:val="center"/>
      </w:pPr>
      <w:r>
        <w:drawing>
          <wp:inline distT="0" distB="0" distL="0" distR="0">
            <wp:extent cx="3848100"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848100" cy="819150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AC-8: من وصول المسافر إلى المحطة حتى صعوده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2410"/>
        <w:gridCol w:w="5783"/>
      </w:tblGrid>
      <w:tr>
        <w:trPr>
          <w:tblHeader/>
        </w:trPr>
        <w:tc>
          <w:tcPr>
            <w:tcW w:type="dxa" w:w="144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الخطوة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من</w:t>
            </w:r>
          </w:p>
        </w:tc>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يفرضه النظام</w:t>
            </w:r>
          </w:p>
        </w:tc>
      </w:tr>
      <w:tr>
        <w:trPr>
          <w:cantSplit/>
        </w:trPr>
        <w:tc>
          <w:tcPr>
            <w:tcW w:type="dxa" w:w="144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البيع</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كاونتر شركة التشغيل</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صلاحية BOOKING من الناقل في هذه المحطة، والشركة تحت حدها النقدي</w:t>
            </w:r>
          </w:p>
        </w:tc>
      </w:tr>
      <w:tr>
        <w:trPr>
          <w:cantSplit/>
        </w:trPr>
        <w:tc>
          <w:tcPr>
            <w:tcW w:type="dxa" w:w="144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التسجيل</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الكاونتر</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صلاحية BOARDING_PASS، ونافذة التسجيل، وأرقام الناقل المطلوبة، والاطلاع على الوثيقة</w:t>
            </w:r>
          </w:p>
        </w:tc>
      </w:tr>
      <w:tr>
        <w:trPr>
          <w:cantSplit/>
        </w:trPr>
        <w:tc>
          <w:tcPr>
            <w:tcW w:type="dxa" w:w="144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الشاشة العملاقة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النظام</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الرحلات وبواباتها وحالاتها دون بيانات المسافرين، حين تفعّل المنصة شاشات المحطة</w:t>
            </w:r>
          </w:p>
        </w:tc>
      </w:tr>
      <w:tr>
        <w:trPr>
          <w:cantSplit/>
        </w:trPr>
        <w:tc>
          <w:tcPr>
            <w:tcW w:type="dxa" w:w="144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الصعود</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البوابة</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صلاحية BOARDING، وتسجيل التذكرة في المحطة نفسها</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4.9 AC-9 إلغاء الناقل لرحلة</w:t>
      </w:r>
    </w:p>
    <w:p>
      <w:pPr>
        <w:keepNext/>
        <w:spacing w:after="60" w:before="120"/>
        <w:jc w:val="center"/>
      </w:pPr>
      <w:r>
        <w:drawing>
          <wp:inline distT="0" distB="0" distL="0" distR="0">
            <wp:extent cx="3924300"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924300" cy="819150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AC-9: إلغاء الرحلة</w:t>
      </w:r>
    </w:p>
    <w:p>
      <w:r>
        <w:br w:type="page"/>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5. ما يبقى للنمذجة مع فرق التشغيل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855"/>
        <w:gridCol w:w="2891"/>
      </w:tblGrid>
      <w:tr>
        <w:trPr>
          <w:tblHeader/>
        </w:trPr>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العملية</w:t>
            </w:r>
          </w:p>
        </w:tc>
        <w:tc>
          <w:tcPr>
            <w:tcW w:type="dxa" w:w="385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لماذا لم تُرسم هنا</w:t>
            </w:r>
          </w:p>
        </w:tc>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من يعدّها</w:t>
            </w:r>
          </w:p>
        </w:tc>
      </w:tr>
      <w:tr>
        <w:trPr>
          <w:cantSplit/>
        </w:trPr>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معالجة الشكوى حتى التعويض</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المسار مبني جزئياً؛ قرار التعويض ليس خطوة مستقلة</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فريق الدعم والمالية</w:t>
            </w:r>
          </w:p>
        </w:tc>
      </w:tr>
      <w:tr>
        <w:trPr>
          <w:cantSplit/>
        </w:trPr>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إرسال الفواتير إلى الهيئة الضريبية</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غير مبني حتى تصدر مواصفة الربط</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فريق التنفيذ مع الهيئة الضريبية</w:t>
            </w:r>
          </w:p>
        </w:tc>
      </w:tr>
      <w:tr>
        <w:trPr>
          <w:cantSplit/>
        </w:trPr>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تسليم الشحنة وإثباته</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وحدة الشحن مغلقة، وبيانات فقط</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عند فتح مرحلة الشحن</w:t>
            </w:r>
          </w:p>
        </w:tc>
      </w:tr>
      <w:tr>
        <w:trPr>
          <w:cantSplit/>
        </w:trPr>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ما بعد الاستغاثة خارج النظام</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الاتصال بالجهات وإرسال المساعدة إجراءات بشرية</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فريق العمليات مع الجهات</w:t>
            </w:r>
          </w:p>
        </w:tc>
      </w:tr>
    </w:tbl>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5"/>
        <w:sz w:val="16"/>
        <w:szCs w:val="16"/>
        <w:rtl/>
      </w:rPr>
      <w:t xml:space="preserve">صفحة </w:t>
    </w:r>
    <w:r>
      <w:rPr>
        <w:rFonts w:ascii="Arial" w:cs="Arial" w:eastAsia="Arial" w:hAnsi="Arial"/>
        <w:color w:val="4B556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line="300"/>
      <w:jc w:val="right"/>
    </w:pPr>
    <w:r>
      <w:rPr>
        <w:rFonts w:ascii="Arial" w:cs="Arial" w:eastAsia="Arial" w:hAnsi="Arial"/>
        <w:color w:val="4B5565"/>
        <w:sz w:val="16"/>
        <w:szCs w:val="16"/>
        <w:rtl/>
      </w:rPr>
      <w:t xml:space="preserve">مسلك · نماذج سلوك النظام ·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60"/>
      </w:pPr>
    </w:lvl>
  </w:abstractNum>
  <w:abstractNum w:abstractNumId="3" w15:restartNumberingAfterBreak="0">
    <w:multiLevelType w:val="hybridMultilevel"/>
    <w:lvl w:ilvl="0" w15:tentative="1">
      <w:start w:val="1"/>
      <w:numFmt w:val="decimal"/>
      <w:lvlText w:val="%1."/>
      <w:lvlJc w:val="right"/>
      <w:pPr>
        <w:ind w:righ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e92520af6145ba00a49cdc4bfbe5356d6a35840.png"/><Relationship Id="rId10" Type="http://schemas.openxmlformats.org/officeDocument/2006/relationships/image" Target="media/e08f2f59b053736e1e815b3e84fe4d5901549054.png"/><Relationship Id="rId11" Type="http://schemas.openxmlformats.org/officeDocument/2006/relationships/image" Target="media/392be79697fec5328d7f8a6ec65dd8dc87aab6d5.png"/><Relationship Id="rId12" Type="http://schemas.openxmlformats.org/officeDocument/2006/relationships/image" Target="media/09e67a9b1e0880da50bd18a0a14a52535a344e2e.png"/><Relationship Id="rId13" Type="http://schemas.openxmlformats.org/officeDocument/2006/relationships/image" Target="media/9c2aaf312109f042e634758d437f6f6fd94470ba.png"/><Relationship Id="rId14" Type="http://schemas.openxmlformats.org/officeDocument/2006/relationships/image" Target="media/b5428c07bf2446b614291e864e401f1494abc12b.png"/><Relationship Id="rId15" Type="http://schemas.openxmlformats.org/officeDocument/2006/relationships/image" Target="media/03aa3b826216d9b8398ffe05826272a779f4ea15.png"/><Relationship Id="rId16" Type="http://schemas.openxmlformats.org/officeDocument/2006/relationships/image" Target="media/253f0033e58d1f25cfb54280430a34aebffca0a5.png"/><Relationship Id="rId17" Type="http://schemas.openxmlformats.org/officeDocument/2006/relationships/image" Target="media/9fc501e9196fd80e26c59432e6bf29a02bc03ccf.png"/><Relationship Id="rId18" Type="http://schemas.openxmlformats.org/officeDocument/2006/relationships/image" Target="media/dc550d7981fc145935c233db8579996ed0f06635.png"/><Relationship Id="rId19" Type="http://schemas.openxmlformats.org/officeDocument/2006/relationships/image" Target="media/050f4312c9640a8ecc445f5b8c6de3304bd8ef97.png"/><Relationship Id="rId20" Type="http://schemas.openxmlformats.org/officeDocument/2006/relationships/image" Target="media/eaaaae26ec6090a69e304c10c5b292189095c079.png"/><Relationship Id="rId21" Type="http://schemas.openxmlformats.org/officeDocument/2006/relationships/image" Target="media/8bb4561fcb191add0b6942f2909c6e7af4efe6dc.png"/><Relationship Id="rId22" Type="http://schemas.openxmlformats.org/officeDocument/2006/relationships/image" Target="media/ee611de07e82ce97c027653d74d625859be67e10.png"/><Relationship Id="rId23" Type="http://schemas.openxmlformats.org/officeDocument/2006/relationships/image" Target="media/5d59dc1ea6efcbe4ddcef4fea6b51c94d63a183f.png"/><Relationship Id="rId24" Type="http://schemas.openxmlformats.org/officeDocument/2006/relationships/image" Target="media/f67dcc56a095a53ce36ee4ea97ea4f8e7d3230fb.png"/><Relationship Id="rId25" Type="http://schemas.openxmlformats.org/officeDocument/2006/relationships/image" Target="media/7cf28a0a57cab76b98bec40ef3f92e10991b6794.png"/><Relationship Id="rId26" Type="http://schemas.openxmlformats.org/officeDocument/2006/relationships/image" Target="media/11b67c49d2918f25f78522923783afeb5ddbbc3a.png"/><Relationship Id="rId27" Type="http://schemas.openxmlformats.org/officeDocument/2006/relationships/image" Target="media/cf8b7cc9157695a7df3d16230061e25f1eb7dc65.png"/><Relationship Id="rId28" Type="http://schemas.openxmlformats.org/officeDocument/2006/relationships/image" Target="media/baf65935493c45f5f5255e24a66aa2dcef9a103e.png"/><Relationship Id="rId29" Type="http://schemas.openxmlformats.org/officeDocument/2006/relationships/image" Target="media/58b5d544a6c2f92447bd8fa9c476e68e9f983215.png"/><Relationship Id="rId30" Type="http://schemas.openxmlformats.org/officeDocument/2006/relationships/image" Target="media/e3d622be15c86a9f672b7e7e4f00ed7cd966354c.png"/><Relationship Id="rId31" Type="http://schemas.openxmlformats.org/officeDocument/2006/relationships/image" Target="media/9823d9e7a48719df4ddbad136bea054eb4af21a4.png"/><Relationship Id="rId32" Type="http://schemas.openxmlformats.org/officeDocument/2006/relationships/image" Target="media/f90d5ca39bf4cf291f63eb7eaae0e386538ce750.png"/><Relationship Id="rId33" Type="http://schemas.openxmlformats.org/officeDocument/2006/relationships/image" Target="media/600c1ad3c8c83f39f0cfc630704d17ca8e21894f.png"/><Relationship Id="rId34" Type="http://schemas.openxmlformats.org/officeDocument/2006/relationships/image" Target="media/aa011ecff88460d73f3c25a0cf0b0c6132893119.png"/><Relationship Id="rId35" Type="http://schemas.openxmlformats.org/officeDocument/2006/relationships/image" Target="media/ff2caa49e73ae94dc2e9620a1286f65f99d95c6f.png"/><Relationship Id="rId36" Type="http://schemas.openxmlformats.org/officeDocument/2006/relationships/image" Target="media/814e11245225b3eface6150b5465ef9854297db0.png"/><Relationship Id="rId37" Type="http://schemas.openxmlformats.org/officeDocument/2006/relationships/image" Target="media/44e26bcbe382cc67a6d6be581949c03694ec8f44.png"/><Relationship Id="rId38" Type="http://schemas.openxmlformats.org/officeDocument/2006/relationships/image" Target="media/c7ea3c6860bff6eac0fccfdfd61f35c75bb6b5d6.png"/><Relationship Id="rId39" Type="http://schemas.openxmlformats.org/officeDocument/2006/relationships/image" Target="media/25d66f05baf8010c9bf88bbcc272496f97749466.png"/><Relationship Id="rId40" Type="http://schemas.openxmlformats.org/officeDocument/2006/relationships/image" Target="media/b56c0aef3135a70092facb43ab8b7914919f4f08.png"/><Relationship Id="rId41" Type="http://schemas.openxmlformats.org/officeDocument/2006/relationships/image" Target="media/c9c2bdfec652103003134c208f29b85b364d6790.png"/><Relationship Id="rId42" Type="http://schemas.openxmlformats.org/officeDocument/2006/relationships/image" Target="media/98837a0503ca668e83b4eed88d9185f9c1c59ba0.png"/><Relationship Id="rId43" Type="http://schemas.openxmlformats.org/officeDocument/2006/relationships/image" Target="media/e03968a10222d73c6a9bf2527dccacf5190ba491.png"/><Relationship Id="rId44" Type="http://schemas.openxmlformats.org/officeDocument/2006/relationships/image" Target="media/1936e0a75136c8c84d46bd1835e8093153753fb4.png"/><Relationship Id="rId45" Type="http://schemas.openxmlformats.org/officeDocument/2006/relationships/image" Target="media/b40f77cad11685ba2db7cb3a5bb7e6343e2ae155.png"/><Relationship Id="rId46" Type="http://schemas.openxmlformats.org/officeDocument/2006/relationships/image" Target="media/e627e552746f6080f256fe49e642d5443216060f.png"/><Relationship Id="rId47" Type="http://schemas.openxmlformats.org/officeDocument/2006/relationships/image" Target="media/9c832551c7957212aebe3ac62fd5fcc55697a5a3.png"/><Relationship Id="rId48" Type="http://schemas.openxmlformats.org/officeDocument/2006/relationships/image" Target="media/08c10c260e5d6e61f151b827e31231a0532c70ad.png"/><Relationship Id="rId49" Type="http://schemas.openxmlformats.org/officeDocument/2006/relationships/image" Target="media/7ba70af9ea29af7e5749dcf335705119e6dfb5a8.png"/><Relationship Id="rId50" Type="http://schemas.openxmlformats.org/officeDocument/2006/relationships/image" Target="media/99dec37ec3acf5791f592b605878d1c3e159441e.png"/><Relationship Id="rId51" Type="http://schemas.openxmlformats.org/officeDocument/2006/relationships/image" Target="media/23fba42231c579811dcf4491dd7a6ab9348dc09f.png"/><Relationship Id="rId5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مسلك · نماذج سلوك النظام · 1.1</dc:title>
  <dc:creator>Masslak</dc:creator>
  <cp:lastModifiedBy>Un-named</cp:lastModifiedBy>
  <cp:revision>1</cp:revision>
  <dcterms:created xsi:type="dcterms:W3CDTF">2026-10-13T11:15:07.257Z</dcterms:created>
  <dcterms:modified xsi:type="dcterms:W3CDTF">2026-10-13T11:15:07.258Z</dcterms:modified>
</cp:coreProperties>
</file>

<file path=docProps/custom.xml><?xml version="1.0" encoding="utf-8"?>
<Properties xmlns="http://schemas.openxmlformats.org/officeDocument/2006/custom-properties" xmlns:vt="http://schemas.openxmlformats.org/officeDocument/2006/docPropsVTypes"/>
</file>