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"/>
        <w:gridCol w:w="914"/>
        <w:gridCol w:w="2648"/>
        <w:gridCol w:w="3560"/>
        <w:gridCol w:w="914"/>
        <w:gridCol w:w="914"/>
      </w:tblGrid>
      <w:tr>
        <w:trPr>
          <w:cantSplit/>
          <w:tblHeader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الدعم غير منفّذ (DOC-F01 G-03)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دعم عبر TB-3 بدور بلا صلاحيات حساسة (DQ-F01-7)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مقترحة RPO ≤ 15 دقيقة وRTO ≤ 4 ساعات (docs/10-detailed-analysis/00-overview-and-cross-cutting.md:169)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خطة منفّذة (O-14 في 20-database-design)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2026-10-13T21:35:44.448Z</dcterms:created>
  <dcterms:modified xsi:type="dcterms:W3CDTF">2026-10-13T21:35:44.448Z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