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تطبيق الهوية البصرية على الموقع (الصف 58 في </w:t>
      </w:r>
      <w:r>
        <w:rPr>
          <w:rFonts w:ascii="Courier New" w:cs="Courier New" w:eastAsia="Courier New" w:hAnsi="Courier New"/>
          <w:b/>
          <w:bCs/>
          <w:color w:val="1F2937"/>
          <w:sz w:val="40"/>
          <w:szCs w:val="40"/>
          <w:rtl/>
        </w:rPr>
        <w:t xml:space="preserve">‎docs/31‎</w:t>
      </w:r>
      <w:r>
        <w:rPr>
          <w:rFonts w:ascii="Arial" w:cs="Arial" w:eastAsia="Arial" w:hAnsi="Arial"/>
          <w:b/>
          <w:bCs/>
          <w:color w:val="1F3A5F"/>
          <w:sz w:val="48"/>
          <w:szCs w:val="48"/>
          <w:rtl/>
        </w:rPr>
        <w:t xml:space="preserve">)</w:t>
      </w:r>
    </w:p>
    <w:p>
      <w:pPr>
        <w:bidi/>
        <w:spacing w:after="110" w:before="0" w:line="312"/>
      </w:pPr>
      <w:r>
        <w:rPr>
          <w:rFonts w:ascii="Arial" w:cs="Arial" w:eastAsia="Arial" w:hAnsi="Arial"/>
          <w:b w:val="false"/>
          <w:bCs w:val="false"/>
          <w:sz w:val="21"/>
          <w:szCs w:val="21"/>
          <w:rtl/>
        </w:rPr>
        <w:t xml:space="preserve">التاريخ: 2026-10-25. كتبه وكيل ذكاء اصطناعي.</w:t>
      </w:r>
    </w:p>
    <w:p>
      <w:pPr>
        <w:pStyle w:val="Heading1"/>
        <w:bidi/>
      </w:pPr>
      <w:bookmarkStart w:name="_sec1" w:id="1"/>
      <w:r>
        <w:rPr>
          <w:rFonts w:ascii="Arial" w:cs="Arial" w:eastAsia="Arial" w:hAnsi="Arial"/>
          <w:b/>
          <w:bCs/>
          <w:color w:val="1F3A5F"/>
          <w:sz w:val="32"/>
          <w:szCs w:val="32"/>
          <w:rtl/>
        </w:rPr>
        <w:t xml:space="preserve">1. ما طلبه المالك</w:t>
      </w:r>
      <w:bookmarkEnd w:id="1"/>
    </w:p>
    <w:p>
      <w:pPr>
        <w:bidi/>
        <w:spacing w:after="110" w:before="0" w:line="312"/>
      </w:pPr>
      <w:r>
        <w:rPr>
          <w:rFonts w:ascii="Arial" w:cs="Arial" w:eastAsia="Arial" w:hAnsi="Arial"/>
          <w:b w:val="false"/>
          <w:bCs w:val="false"/>
          <w:sz w:val="21"/>
          <w:szCs w:val="21"/>
          <w:rtl/>
        </w:rPr>
        <w:t xml:space="preserve">«في تصميم الموقع اعتمد الهوية البصرية المرفقة»، ثم «الان اعمل التصميم كاملا للموقع اذا كانت المعمارية و النظام جاهزا للاطلاق التجريبي».</w:t>
      </w:r>
    </w:p>
    <w:p>
      <w:pPr>
        <w:bidi/>
        <w:spacing w:after="110" w:before="0" w:line="312"/>
      </w:pPr>
      <w:r>
        <w:rPr>
          <w:rFonts w:ascii="Arial" w:cs="Arial" w:eastAsia="Arial" w:hAnsi="Arial"/>
          <w:b w:val="false"/>
          <w:bCs w:val="false"/>
          <w:sz w:val="21"/>
          <w:szCs w:val="21"/>
          <w:rtl/>
        </w:rPr>
        <w:t xml:space="preserve">النظام جاهز للتشغيل التجريبي: كل الاختبارات ناجحة محليًا وعلى GitHub، وصورتا النشر تعملان (</w:t>
      </w:r>
      <w:r>
        <w:rPr>
          <w:rFonts w:ascii="Courier New" w:cs="Courier New" w:eastAsia="Courier New" w:hAnsi="Courier New"/>
          <w:b w:val="false"/>
          <w:bCs w:val="false"/>
          <w:color w:val="1F2937"/>
          <w:sz w:val="18"/>
          <w:szCs w:val="18"/>
          <w:shd w:fill="F1F3F5" w:color="auto" w:val="clear"/>
          <w:rtl/>
        </w:rPr>
        <w:t xml:space="preserve">‎docs/53‎</w:t>
      </w:r>
      <w:r>
        <w:rPr>
          <w:rFonts w:ascii="Arial" w:cs="Arial" w:eastAsia="Arial" w:hAnsi="Arial"/>
          <w:b w:val="false"/>
          <w:bCs w:val="false"/>
          <w:sz w:val="21"/>
          <w:szCs w:val="21"/>
          <w:rtl/>
        </w:rPr>
        <w:t xml:space="preserve">)، ودليل النشر جاهز (</w:t>
      </w:r>
      <w:r>
        <w:rPr>
          <w:rFonts w:ascii="Courier New" w:cs="Courier New" w:eastAsia="Courier New" w:hAnsi="Courier New"/>
          <w:b w:val="false"/>
          <w:bCs w:val="false"/>
          <w:color w:val="1F2937"/>
          <w:sz w:val="18"/>
          <w:szCs w:val="18"/>
          <w:shd w:fill="F1F3F5" w:color="auto" w:val="clear"/>
          <w:rtl/>
        </w:rPr>
        <w:t xml:space="preserve">‎docs/54‎</w:t>
      </w:r>
      <w:r>
        <w:rPr>
          <w:rFonts w:ascii="Arial" w:cs="Arial" w:eastAsia="Arial" w:hAnsi="Arial"/>
          <w:b w:val="false"/>
          <w:bCs w:val="false"/>
          <w:sz w:val="21"/>
          <w:szCs w:val="21"/>
          <w:rtl/>
        </w:rPr>
        <w:t xml:space="preserve">). لذلك نُفّذ التصميم كاملًا على دليل الهوية البصرية، الإصدار 2.0، أكتوبر 2026.</w:t>
      </w:r>
    </w:p>
    <w:p>
      <w:pPr>
        <w:pStyle w:val="Heading1"/>
        <w:bidi/>
      </w:pPr>
      <w:bookmarkStart w:name="_sec2" w:id="2"/>
      <w:r>
        <w:rPr>
          <w:rFonts w:ascii="Arial" w:cs="Arial" w:eastAsia="Arial" w:hAnsi="Arial"/>
          <w:b/>
          <w:bCs/>
          <w:color w:val="1F3A5F"/>
          <w:sz w:val="32"/>
          <w:szCs w:val="32"/>
          <w:rtl/>
        </w:rPr>
        <w:t xml:space="preserve">2. ما نُقل من الدليل إلى الموقع</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4"/>
        <w:gridCol w:w="6440"/>
      </w:tblGrid>
      <w:tr>
        <w:trPr>
          <w:cantSplit/>
          <w:tblHeader/>
        </w:trPr>
        <w:tc>
          <w:tcPr>
            <w:tcW w:type="dxa" w:w="3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الدليل</w:t>
            </w:r>
          </w:p>
        </w:tc>
        <w:tc>
          <w:tcPr>
            <w:tcW w:type="dxa" w:w="6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الموقع</w:t>
            </w:r>
          </w:p>
        </w:tc>
      </w:tr>
      <w:tr>
        <w:trPr>
          <w:cantSplit/>
        </w:trPr>
        <w:tc>
          <w:tcPr>
            <w:tcW w:type="dxa" w:w="3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الشعار ونسخه (ص 5–8)</w:t>
            </w:r>
          </w:p>
        </w:tc>
        <w:tc>
          <w:tcPr>
            <w:tcW w:type="dxa" w:w="6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الرمز من قياساته الهندسية (ص 6). وحُوّل اسم BANKFAS بخط Sekuya إلى أشكال، فلا يحمّل الموقع خط الشعار. النسخة الملونة على الفاتح، والمعكوسة على أخضر الخزنة. والرمز وحده أيقونة المتصفح</w:t>
            </w:r>
          </w:p>
        </w:tc>
      </w:tr>
      <w:tr>
        <w:trPr>
          <w:cantSplit/>
        </w:trPr>
        <w:tc>
          <w:tcPr>
            <w:tcW w:type="dxa" w:w="3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العلامة (ص 11)</w:t>
            </w:r>
          </w:p>
        </w:tc>
        <w:tc>
          <w:tcPr>
            <w:tcW w:type="dxa" w:w="6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أخضر الخزنة ‎#062A22‎، والزمردي ‎#00A97F‎، والنعناعي ‎#37DDB1‎ على الداكن فقط، والعاجي ‎#F4F7F5‎ أرضية الصفحات</w:t>
            </w:r>
          </w:p>
        </w:tc>
      </w:tr>
      <w:tr>
        <w:trPr>
          <w:cantSplit/>
        </w:trPr>
        <w:tc>
          <w:tcPr>
            <w:tcW w:type="dxa" w:w="3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المنصة (ص 13)</w:t>
            </w:r>
          </w:p>
        </w:tc>
        <w:tc>
          <w:tcPr>
            <w:tcW w:type="dxa" w:w="6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الإجراء الرئيسي ‎#007A5C‎، والنص ‎#11211D‎، والنص الثانوي ‎#4E6660‎، والفواصل ‎#DCE5E1‎، والبطاقات بيضاء</w:t>
            </w:r>
          </w:p>
        </w:tc>
      </w:tr>
      <w:tr>
        <w:trPr>
          <w:cantSplit/>
        </w:trPr>
        <w:tc>
          <w:tcPr>
            <w:tcW w:type="dxa" w:w="3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الحالات (ص 13)</w:t>
            </w:r>
          </w:p>
        </w:tc>
        <w:tc>
          <w:tcPr>
            <w:tcW w:type="dxa" w:w="6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حالة لون ورمز وكلمة: ○ مسودة، ◇ قيد الدراسة، ◆ في اللجنة، ● معتمد أو فعّال، ✕ مرفوض أو متوقف</w:t>
            </w:r>
          </w:p>
        </w:tc>
      </w:tr>
      <w:tr>
        <w:trPr>
          <w:cantSplit/>
        </w:trPr>
        <w:tc>
          <w:tcPr>
            <w:tcW w:type="dxa" w:w="3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الخطوط (ص 16–17)</w:t>
            </w:r>
          </w:p>
        </w:tc>
        <w:tc>
          <w:tcPr>
            <w:tcW w:type="dxa" w:w="6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IBM Plex Sans Arabic للعربية، وIBM Plex Sans للإنجليزية، وIBM Plex Mono للمبالغ والأرقام المرجعية في الجداول. الخطوط مضمّنة في الموقع نفسه، ولا تُطلب من أي جهة خارجية</w:t>
            </w:r>
          </w:p>
        </w:tc>
      </w:tr>
      <w:tr>
        <w:trPr>
          <w:cantSplit/>
        </w:trPr>
        <w:tc>
          <w:tcPr>
            <w:tcW w:type="dxa" w:w="3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الشق المائل (ص 18)</w:t>
            </w:r>
          </w:p>
        </w:tc>
        <w:tc>
          <w:tcPr>
            <w:tcW w:type="dxa" w:w="6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صفوف الشقوق على صفحة الدخول، فيه شقّان بالنعناعي. ومؤشر قائمة المهام في الصفحة الأولى شقّ مائل</w:t>
            </w:r>
          </w:p>
        </w:tc>
      </w:tr>
      <w:tr>
        <w:trPr>
          <w:cantSplit/>
        </w:trPr>
        <w:tc>
          <w:tcPr>
            <w:tcW w:type="dxa" w:w="3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التسهيلات (ص 23)</w:t>
            </w:r>
          </w:p>
        </w:tc>
        <w:tc>
          <w:tcPr>
            <w:tcW w:type="dxa" w:w="6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جانبي بأخضر الخزنة، فيه الشعار المعكوس، والصفحة الحالية بالنعناعي. وشريط علوي أبيض، وبطاقات بيضاء على أرضية عاجية</w:t>
            </w:r>
          </w:p>
        </w:tc>
      </w:tr>
      <w:tr>
        <w:trPr>
          <w:cantSplit/>
        </w:trPr>
        <w:tc>
          <w:tcPr>
            <w:tcW w:type="dxa" w:w="3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الواجهة (ص 20)</w:t>
            </w:r>
          </w:p>
        </w:tc>
        <w:tc>
          <w:tcPr>
            <w:tcW w:type="dxa" w:w="6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الأزرار: رئيسي ممتلئ، وثانوي بإطار، وزر الرفض بإطار أحمر. والحقول بحواف مستديرة وإطار زمردي عند الكتابة. ورأس الجدول رمادي فاتح</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ما طلبه المالك</w:t>
        </w:r>
      </w:hyperlink>
    </w:p>
    <w:p>
      <w:pPr>
        <w:bidi/>
        <w:spacing w:after="50" w:before="0"/>
        <w:ind w:left="0"/>
      </w:pPr>
      <w:hyperlink w:history="1" w:anchor="_sec2">
        <w:r>
          <w:rPr>
            <w:rFonts w:ascii="Arial" w:cs="Arial" w:eastAsia="Arial" w:hAnsi="Arial"/>
            <w:b/>
            <w:bCs/>
            <w:color w:val="1F3A5F"/>
            <w:sz w:val="20"/>
            <w:szCs w:val="20"/>
            <w:rtl/>
          </w:rPr>
          <w:t xml:space="preserve">2. ما نُقل من الدليل إلى الموقع</w:t>
        </w:r>
      </w:hyperlink>
    </w:p>
    <w:p>
      <w:pPr>
        <w:bidi/>
        <w:spacing w:after="50" w:before="0"/>
        <w:ind w:left="0"/>
      </w:pPr>
      <w:hyperlink w:history="1" w:anchor="_sec3">
        <w:r>
          <w:rPr>
            <w:rFonts w:ascii="Arial" w:cs="Arial" w:eastAsia="Arial" w:hAnsi="Arial"/>
            <w:b/>
            <w:bCs/>
            <w:color w:val="1F3A5F"/>
            <w:sz w:val="20"/>
            <w:szCs w:val="20"/>
            <w:rtl/>
          </w:rPr>
          <w:t xml:space="preserve">3. الشاشات</w:t>
        </w:r>
      </w:hyperlink>
    </w:p>
    <w:p>
      <w:pPr>
        <w:bidi/>
        <w:spacing w:after="50" w:before="0"/>
        <w:ind w:left="0"/>
      </w:pPr>
      <w:hyperlink w:history="1" w:anchor="_sec4">
        <w:r>
          <w:rPr>
            <w:rFonts w:ascii="Arial" w:cs="Arial" w:eastAsia="Arial" w:hAnsi="Arial"/>
            <w:b/>
            <w:bCs/>
            <w:color w:val="1F3A5F"/>
            <w:sz w:val="20"/>
            <w:szCs w:val="20"/>
            <w:rtl/>
          </w:rPr>
          <w:t xml:space="preserve">4. ما تغيّر في الكود</w:t>
        </w:r>
      </w:hyperlink>
    </w:p>
    <w:p>
      <w:pPr>
        <w:bidi/>
        <w:spacing w:after="50" w:before="0"/>
        <w:ind w:left="0"/>
      </w:pPr>
      <w:hyperlink w:history="1" w:anchor="_sec5">
        <w:r>
          <w:rPr>
            <w:rFonts w:ascii="Arial" w:cs="Arial" w:eastAsia="Arial" w:hAnsi="Arial"/>
            <w:b/>
            <w:bCs/>
            <w:color w:val="1F3A5F"/>
            <w:sz w:val="20"/>
            <w:szCs w:val="20"/>
            <w:rtl/>
          </w:rPr>
          <w:t xml:space="preserve">5. المطبوعات والبريد (الدفعة الثانية)</w:t>
        </w:r>
      </w:hyperlink>
    </w:p>
    <w:p>
      <w:pPr>
        <w:bidi/>
        <w:spacing w:after="50" w:before="0"/>
        <w:ind w:left="0"/>
      </w:pPr>
      <w:hyperlink w:history="1" w:anchor="_sec6">
        <w:r>
          <w:rPr>
            <w:rFonts w:ascii="Arial" w:cs="Arial" w:eastAsia="Arial" w:hAnsi="Arial"/>
            <w:b/>
            <w:bCs/>
            <w:color w:val="1F3A5F"/>
            <w:sz w:val="20"/>
            <w:szCs w:val="20"/>
            <w:rtl/>
          </w:rPr>
          <w:t xml:space="preserve">6. ما بقي</w:t>
        </w:r>
      </w:hyperlink>
    </w:p>
    <w:p>
      <w:r>
        <w:br w:type="page"/>
      </w:r>
    </w:p>
    <w:p>
      <w:pPr>
        <w:pStyle w:val="Heading1"/>
        <w:bidi/>
      </w:pPr>
      <w:bookmarkStart w:name="_sec3" w:id="3"/>
      <w:r>
        <w:rPr>
          <w:rFonts w:ascii="Arial" w:cs="Arial" w:eastAsia="Arial" w:hAnsi="Arial"/>
          <w:b/>
          <w:bCs/>
          <w:color w:val="1F3A5F"/>
          <w:sz w:val="32"/>
          <w:szCs w:val="32"/>
          <w:rtl/>
        </w:rPr>
        <w:t xml:space="preserve">3. الشاشات</w:t>
      </w:r>
      <w:bookmarkEnd w:id="3"/>
    </w:p>
    <w:p>
      <w:pPr>
        <w:bidi/>
        <w:spacing w:after="110" w:before="0" w:line="312"/>
      </w:pPr>
      <w:r>
        <w:rPr>
          <w:rFonts w:ascii="Arial" w:cs="Arial" w:eastAsia="Arial" w:hAnsi="Arial"/>
          <w:b w:val="false"/>
          <w:bCs w:val="false"/>
          <w:sz w:val="21"/>
          <w:szCs w:val="21"/>
          <w:rtl/>
        </w:rPr>
        <w:t xml:space="preserve">صفحة الدخول بالعربية: لوحة العلامة في جهة بداية القراءة (اليمين)، والنموذج بجانبها.</w:t>
      </w:r>
    </w:p>
    <w:p>
      <w:pPr>
        <w:keepNext/>
        <w:bidi/>
        <w:spacing w:after="60" w:before="160"/>
        <w:jc w:val="center"/>
      </w:pPr>
      <w:r>
        <w:drawing>
          <wp:inline distT="0" distB="0" distL="0" distR="0">
            <wp:extent cx="6096000" cy="3657600"/>
            <wp:effectExtent t="0" r="0" b="0" l="0"/>
            <wp:docPr id="1" name="diagrams/brand/login-ar.png" descr="صفحة الدخول" title="صفحة الدخ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57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صفحة الدخول</w:t>
      </w:r>
    </w:p>
    <w:p>
      <w:pPr>
        <w:bidi/>
        <w:spacing w:after="110" w:before="0" w:line="312"/>
      </w:pPr>
      <w:r>
        <w:rPr>
          <w:rFonts w:ascii="Arial" w:cs="Arial" w:eastAsia="Arial" w:hAnsi="Arial"/>
          <w:b w:val="false"/>
          <w:bCs w:val="false"/>
          <w:sz w:val="21"/>
          <w:szCs w:val="21"/>
          <w:rtl/>
        </w:rPr>
        <w:t xml:space="preserve">شاشة المستخدمين: الشريط الجانبي، والحالات بلونها ورمزها.</w:t>
      </w:r>
    </w:p>
    <w:p>
      <w:pPr>
        <w:keepNext/>
        <w:bidi/>
        <w:spacing w:after="60" w:before="160"/>
        <w:jc w:val="center"/>
      </w:pPr>
      <w:r>
        <w:drawing>
          <wp:inline distT="0" distB="0" distL="0" distR="0">
            <wp:extent cx="6096000" cy="3657600"/>
            <wp:effectExtent t="0" r="0" b="0" l="0"/>
            <wp:docPr id="1" name="diagrams/brand/users-ar.png" descr="المستخدمون بالعربية" title="المستخدمون بالعرب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657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المستخدمون بالعربية</w:t>
      </w:r>
    </w:p>
    <w:p>
      <w:pPr>
        <w:bidi/>
        <w:spacing w:after="110" w:before="0" w:line="312"/>
      </w:pPr>
      <w:r>
        <w:rPr>
          <w:rFonts w:ascii="Arial" w:cs="Arial" w:eastAsia="Arial" w:hAnsi="Arial"/>
          <w:b w:val="false"/>
          <w:bCs w:val="false"/>
          <w:sz w:val="21"/>
          <w:szCs w:val="21"/>
          <w:rtl/>
        </w:rPr>
        <w:t xml:space="preserve">الشاشة نفسها بالإنجليزية. اتجاه الصفحة ينقلب وحده.</w:t>
      </w:r>
    </w:p>
    <w:p>
      <w:pPr>
        <w:keepNext/>
        <w:bidi/>
        <w:spacing w:after="60" w:before="160"/>
        <w:jc w:val="center"/>
      </w:pPr>
      <w:r>
        <w:drawing>
          <wp:inline distT="0" distB="0" distL="0" distR="0">
            <wp:extent cx="6096000" cy="3657600"/>
            <wp:effectExtent t="0" r="0" b="0" l="0"/>
            <wp:docPr id="1" name="diagrams/brand/users-en.png" descr="المستخدمون بالإنجليزية" title="المستخدمون بالإنجليز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57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المستخدمون بالإنجليزية</w:t>
      </w:r>
    </w:p>
    <w:p>
      <w:pPr>
        <w:bidi/>
        <w:spacing w:after="110" w:before="0" w:line="312"/>
      </w:pPr>
      <w:r>
        <w:rPr>
          <w:rFonts w:ascii="Arial" w:cs="Arial" w:eastAsia="Arial" w:hAnsi="Arial"/>
          <w:b w:val="false"/>
          <w:bCs w:val="false"/>
          <w:sz w:val="21"/>
          <w:szCs w:val="21"/>
          <w:rtl/>
        </w:rPr>
        <w:t xml:space="preserve">على الجوال: الشريط الجانبي يصير شريطًا أفقيًا يُمرَّر فوق الصفحة.</w:t>
      </w:r>
    </w:p>
    <w:p>
      <w:pPr>
        <w:keepNext/>
        <w:bidi/>
        <w:spacing w:after="60" w:before="160"/>
        <w:jc w:val="center"/>
      </w:pPr>
      <w:r>
        <w:drawing>
          <wp:inline distT="0" distB="0" distL="0" distR="0">
            <wp:extent cx="3895725" cy="8191500"/>
            <wp:effectExtent t="0" r="0" b="0" l="0"/>
            <wp:docPr id="1" name="diagrams/brand/mobile-home-ar.png" descr="الجوال" title="الجو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957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الجوال</w:t>
      </w:r>
    </w:p>
    <w:p>
      <w:pPr>
        <w:bidi/>
        <w:spacing w:after="110" w:before="0" w:line="312"/>
      </w:pPr>
      <w:r>
        <w:rPr>
          <w:rFonts w:ascii="Arial" w:cs="Arial" w:eastAsia="Arial" w:hAnsi="Arial"/>
          <w:b w:val="false"/>
          <w:bCs w:val="false"/>
          <w:sz w:val="21"/>
          <w:szCs w:val="21"/>
          <w:rtl/>
        </w:rPr>
        <w:t xml:space="preserve">البيانات في الصور توضيحية.</w:t>
      </w:r>
    </w:p>
    <w:p>
      <w:pPr>
        <w:pStyle w:val="Heading1"/>
        <w:bidi/>
      </w:pPr>
      <w:bookmarkStart w:name="_sec4" w:id="4"/>
      <w:r>
        <w:rPr>
          <w:rFonts w:ascii="Arial" w:cs="Arial" w:eastAsia="Arial" w:hAnsi="Arial"/>
          <w:b/>
          <w:bCs/>
          <w:color w:val="1F3A5F"/>
          <w:sz w:val="32"/>
          <w:szCs w:val="32"/>
          <w:rtl/>
        </w:rPr>
        <w:t xml:space="preserve">4. ما تغيّر في الكود</w:t>
      </w:r>
      <w:bookmarkEnd w:id="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‎app/web/src/brand/‎</w:t>
      </w:r>
      <w:r>
        <w:rPr>
          <w:rFonts w:ascii="Arial" w:cs="Arial" w:eastAsia="Arial" w:hAnsi="Arial"/>
          <w:b w:val="false"/>
          <w:bCs w:val="false"/>
          <w:sz w:val="21"/>
          <w:szCs w:val="21"/>
          <w:rtl/>
        </w:rPr>
        <w:t xml:space="preserve">: ملفات الشعار الثلاثة (الرمز، والملون، والمعكوس). يولّدها </w:t>
      </w:r>
      <w:r>
        <w:rPr>
          <w:rFonts w:ascii="Courier New" w:cs="Courier New" w:eastAsia="Courier New" w:hAnsi="Courier New"/>
          <w:b w:val="false"/>
          <w:bCs w:val="false"/>
          <w:color w:val="1F2937"/>
          <w:sz w:val="18"/>
          <w:szCs w:val="18"/>
          <w:shd w:fill="F1F3F5" w:color="auto" w:val="clear"/>
          <w:rtl/>
        </w:rPr>
        <w:t xml:space="preserve">‎tools/brand/logo.js‎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‎app/web/src/brand.tsx‎</w:t>
      </w:r>
      <w:r>
        <w:rPr>
          <w:rFonts w:ascii="Arial" w:cs="Arial" w:eastAsia="Arial" w:hAnsi="Arial"/>
          <w:b w:val="false"/>
          <w:bCs w:val="false"/>
          <w:sz w:val="21"/>
          <w:szCs w:val="21"/>
          <w:rtl/>
        </w:rPr>
        <w:t xml:space="preserve">: الشعار، وشارة الحالة </w:t>
      </w:r>
      <w:r>
        <w:rPr>
          <w:rFonts w:ascii="Courier New" w:cs="Courier New" w:eastAsia="Courier New" w:hAnsi="Courier New"/>
          <w:b w:val="false"/>
          <w:bCs w:val="false"/>
          <w:color w:val="1F2937"/>
          <w:sz w:val="18"/>
          <w:szCs w:val="18"/>
          <w:shd w:fill="F1F3F5" w:color="auto" w:val="clear"/>
          <w:rtl/>
        </w:rPr>
        <w:t xml:space="preserve">‎Chip‎</w:t>
      </w:r>
      <w:r>
        <w:rPr>
          <w:rFonts w:ascii="Arial" w:cs="Arial" w:eastAsia="Arial" w:hAnsi="Arial"/>
          <w:b w:val="false"/>
          <w:bCs w:val="false"/>
          <w:sz w:val="21"/>
          <w:szCs w:val="21"/>
          <w:rtl/>
        </w:rPr>
        <w:t xml:space="preserve">، وتخطيط صفحات الدخول.</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‎app/web/src/styles.css‎</w:t>
      </w:r>
      <w:r>
        <w:rPr>
          <w:rFonts w:ascii="Arial" w:cs="Arial" w:eastAsia="Arial" w:hAnsi="Arial"/>
          <w:b w:val="false"/>
          <w:bCs w:val="false"/>
          <w:sz w:val="21"/>
          <w:szCs w:val="21"/>
          <w:rtl/>
        </w:rPr>
        <w:t xml:space="preserve">: ملف التصميم كاملًا، وفيه الألوان والخطوط والمقاسات والمكونات.</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الشاشات: الشريط الجانبي في البوابة ولوحة المشغّل، وصفحات الدخول والتسجيل، وخلايا «الحالة» في 54 جدولًا.</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 جديد </w:t>
      </w:r>
      <w:r>
        <w:rPr>
          <w:rFonts w:ascii="Courier New" w:cs="Courier New" w:eastAsia="Courier New" w:hAnsi="Courier New"/>
          <w:b w:val="false"/>
          <w:bCs w:val="false"/>
          <w:color w:val="1F2937"/>
          <w:sz w:val="18"/>
          <w:szCs w:val="18"/>
          <w:shd w:fill="F1F3F5" w:color="auto" w:val="clear"/>
          <w:rtl/>
        </w:rPr>
        <w:t xml:space="preserve">‎brand.test.tsx‎</w:t>
      </w:r>
      <w:r>
        <w:rPr>
          <w:rFonts w:ascii="Arial" w:cs="Arial" w:eastAsia="Arial" w:hAnsi="Arial"/>
          <w:b w:val="false"/>
          <w:bCs w:val="false"/>
          <w:sz w:val="21"/>
          <w:szCs w:val="21"/>
          <w:rtl/>
        </w:rPr>
        <w:t xml:space="preserve"> يتحقق من ألوان الحالات. ولم يتغير شيء في الخادم أو قاعدة البيانات.</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مكتوب في ADR 0055.</w:t>
      </w:r>
    </w:p>
    <w:p>
      <w:pPr>
        <w:bidi/>
        <w:spacing w:after="60" w:before="0"/>
      </w:pPr>
    </w:p>
    <w:p>
      <w:pPr>
        <w:pStyle w:val="Heading1"/>
        <w:bidi/>
      </w:pPr>
      <w:bookmarkStart w:name="_sec5" w:id="5"/>
      <w:r>
        <w:rPr>
          <w:rFonts w:ascii="Arial" w:cs="Arial" w:eastAsia="Arial" w:hAnsi="Arial"/>
          <w:b/>
          <w:bCs/>
          <w:color w:val="1F3A5F"/>
          <w:sz w:val="32"/>
          <w:szCs w:val="32"/>
          <w:rtl/>
        </w:rPr>
        <w:t xml:space="preserve">5. المطبوعات والبريد (الدفعة الثانية)</w:t>
      </w:r>
      <w:bookmarkEnd w:id="5"/>
    </w:p>
    <w:p>
      <w:pPr>
        <w:pStyle w:val="ListParagraph"/>
        <w:numPr>
          <w:ilvl w:val="0"/>
          <w:numId w:val="2"/>
        </w:numPr>
        <w:bidi/>
        <w:spacing w:after="70" w:before="0" w:line="300"/>
      </w:pPr>
      <w:r>
        <w:rPr>
          <w:rFonts w:ascii="Arial" w:cs="Arial" w:eastAsia="Arial" w:hAnsi="Arial"/>
          <w:b/>
          <w:bCs/>
          <w:sz w:val="21"/>
          <w:szCs w:val="21"/>
          <w:rtl/>
        </w:rPr>
        <w:t xml:space="preserve">المطبوعات:</w:t>
      </w:r>
      <w:r>
        <w:rPr>
          <w:rFonts w:ascii="Arial" w:cs="Arial" w:eastAsia="Arial" w:hAnsi="Arial"/>
          <w:b w:val="false"/>
          <w:bCs w:val="false"/>
          <w:sz w:val="21"/>
          <w:szCs w:val="21"/>
          <w:rtl/>
        </w:rPr>
        <w:t xml:space="preserve"> شروط الاعتماد، والفاتورة المبدئية، وطباعة الطلب، والتقارير بصيغتيها HTML وPDF. صارت كلها بخطوط Plex، والعناوين بأخضر الخزنة فوق خط زمردي، ورؤوس الجداول بالرمادي الفاتح، والأرقام بخط Mono. التنسيق مشترك في ملف واحد: </w:t>
      </w:r>
      <w:r>
        <w:rPr>
          <w:rFonts w:ascii="Courier New" w:cs="Courier New" w:eastAsia="Courier New" w:hAnsi="Courier New"/>
          <w:b w:val="false"/>
          <w:bCs w:val="false"/>
          <w:color w:val="1F2937"/>
          <w:sz w:val="18"/>
          <w:szCs w:val="18"/>
          <w:shd w:fill="F1F3F5" w:color="auto" w:val="clear"/>
          <w:rtl/>
        </w:rPr>
        <w:t xml:space="preserve">‎PrintStyle‎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‎BankFas.Data‎</w:t>
      </w:r>
      <w:r>
        <w:rPr>
          <w:rFonts w:ascii="Arial" w:cs="Arial" w:eastAsia="Arial" w:hAnsi="Arial"/>
          <w:b w:val="false"/>
          <w:bCs w:val="false"/>
          <w:sz w:val="21"/>
          <w:szCs w:val="21"/>
          <w:rtl/>
        </w:rPr>
        <w:t xml:space="preserve">. صورة النشر تثبّت الخطوط نفسها ليستعملها Chromium عند إخراج PDF، والمتصفح يجلبها من </w:t>
      </w:r>
      <w:r>
        <w:rPr>
          <w:rFonts w:ascii="Courier New" w:cs="Courier New" w:eastAsia="Courier New" w:hAnsi="Courier New"/>
          <w:b w:val="false"/>
          <w:bCs w:val="false"/>
          <w:color w:val="1F2937"/>
          <w:sz w:val="18"/>
          <w:szCs w:val="18"/>
          <w:shd w:fill="F1F3F5" w:color="auto" w:val="clear"/>
          <w:rtl/>
        </w:rPr>
        <w:t xml:space="preserve">‎/fonts‎</w:t>
      </w:r>
      <w:r>
        <w:rPr>
          <w:rFonts w:ascii="Arial" w:cs="Arial" w:eastAsia="Arial" w:hAnsi="Arial"/>
          <w:b w:val="false"/>
          <w:bCs w:val="false"/>
          <w:sz w:val="21"/>
          <w:szCs w:val="21"/>
          <w:rtl/>
        </w:rPr>
        <w:t xml:space="preserve"> في الموقع.</w:t>
      </w:r>
    </w:p>
    <w:p>
      <w:pPr>
        <w:pStyle w:val="ListParagraph"/>
        <w:numPr>
          <w:ilvl w:val="0"/>
          <w:numId w:val="2"/>
        </w:numPr>
        <w:bidi/>
        <w:spacing w:after="70" w:before="0" w:line="300"/>
      </w:pPr>
      <w:r>
        <w:rPr>
          <w:rFonts w:ascii="Arial" w:cs="Arial" w:eastAsia="Arial" w:hAnsi="Arial"/>
          <w:b/>
          <w:bCs/>
          <w:sz w:val="21"/>
          <w:szCs w:val="21"/>
          <w:rtl/>
        </w:rPr>
        <w:t xml:space="preserve">الفاتورة المبدئية</w:t>
      </w:r>
      <w:r>
        <w:rPr>
          <w:rFonts w:ascii="Arial" w:cs="Arial" w:eastAsia="Arial" w:hAnsi="Arial"/>
          <w:b w:val="false"/>
          <w:bCs w:val="false"/>
          <w:sz w:val="21"/>
          <w:szCs w:val="21"/>
          <w:rtl/>
        </w:rPr>
        <w:t xml:space="preserve"> مستند الشركة المشتركة إلى عميلها. لذلك أخذت الخطوط والألوان فقط، وليس عليها شعار BankFas.</w:t>
      </w:r>
    </w:p>
    <w:p>
      <w:pPr>
        <w:pStyle w:val="ListParagraph"/>
        <w:numPr>
          <w:ilvl w:val="0"/>
          <w:numId w:val="2"/>
        </w:numPr>
        <w:bidi/>
        <w:spacing w:after="70" w:before="0" w:line="300"/>
      </w:pPr>
      <w:r>
        <w:rPr>
          <w:rFonts w:ascii="Arial" w:cs="Arial" w:eastAsia="Arial" w:hAnsi="Arial"/>
          <w:b/>
          <w:bCs/>
          <w:sz w:val="21"/>
          <w:szCs w:val="21"/>
          <w:rtl/>
        </w:rPr>
        <w:t xml:space="preserve">البريد الإلكتروني:</w:t>
      </w:r>
      <w:r>
        <w:rPr>
          <w:rFonts w:ascii="Arial" w:cs="Arial" w:eastAsia="Arial" w:hAnsi="Arial"/>
          <w:b w:val="false"/>
          <w:bCs w:val="false"/>
          <w:sz w:val="21"/>
          <w:szCs w:val="21"/>
          <w:rtl/>
        </w:rPr>
        <w:t xml:space="preserve"> كل رسالة صار لها نسخة HTML بجانب النص: شريط أخضر الخزنة فيه اسم BANKFAS نصًا لا صورة، فيظهر حتى إن حجب البريد الصور. ثم النص، ثم الرابط زرًا، ثم تذييل العلامة. والاتجاه يُحدَّد من لغة الرسالة. وتبقى النسخة النصية لمن لا يعرض HTML.</w:t>
      </w:r>
    </w:p>
    <w:p>
      <w:pPr>
        <w:bidi/>
        <w:spacing w:after="60" w:before="0"/>
      </w:pPr>
    </w:p>
    <w:p>
      <w:pPr>
        <w:keepNext/>
        <w:bidi/>
        <w:spacing w:after="60" w:before="160"/>
        <w:jc w:val="center"/>
      </w:pPr>
      <w:r>
        <w:drawing>
          <wp:inline distT="0" distB="0" distL="0" distR="0">
            <wp:extent cx="6096000" cy="4610100"/>
            <wp:effectExtent t="0" r="0" b="0" l="0"/>
            <wp:docPr id="1" name="diagrams/brand/print-ar.png" descr="طباعة الشروط" title="طباعة الشرو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61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طباعة الشروط</w:t>
      </w:r>
    </w:p>
    <w:p>
      <w:pPr>
        <w:keepNext/>
        <w:bidi/>
        <w:spacing w:after="60" w:before="160"/>
        <w:jc w:val="center"/>
      </w:pPr>
      <w:r>
        <w:drawing>
          <wp:inline distT="0" distB="0" distL="0" distR="0">
            <wp:extent cx="6096000" cy="4876800"/>
            <wp:effectExtent t="0" r="0" b="0" l="0"/>
            <wp:docPr id="1" name="diagrams/brand/mail-ar.png" descr="رسالة دعوة" title="رسالة دعو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876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رسالة دعوة</w:t>
      </w:r>
    </w:p>
    <w:p>
      <w:pPr>
        <w:pStyle w:val="Heading1"/>
        <w:bidi/>
      </w:pPr>
      <w:bookmarkStart w:name="_sec6" w:id="6"/>
      <w:r>
        <w:rPr>
          <w:rFonts w:ascii="Arial" w:cs="Arial" w:eastAsia="Arial" w:hAnsi="Arial"/>
          <w:b/>
          <w:bCs/>
          <w:color w:val="1F3A5F"/>
          <w:sz w:val="32"/>
          <w:szCs w:val="32"/>
          <w:rtl/>
        </w:rPr>
        <w:t xml:space="preserve">6. ما بقي</w:t>
      </w:r>
      <w:bookmarkEnd w:id="6"/>
    </w:p>
    <w:p>
      <w:pPr>
        <w:pStyle w:val="ListParagraph"/>
        <w:numPr>
          <w:ilvl w:val="0"/>
          <w:numId w:val="2"/>
        </w:numPr>
        <w:bidi/>
        <w:spacing w:after="70" w:before="0" w:line="300"/>
      </w:pPr>
      <w:r>
        <w:rPr>
          <w:rFonts w:ascii="Arial" w:cs="Arial" w:eastAsia="Arial" w:hAnsi="Arial"/>
          <w:b/>
          <w:bCs/>
          <w:sz w:val="21"/>
          <w:szCs w:val="21"/>
          <w:rtl/>
        </w:rPr>
        <w:t xml:space="preserve">ملف SVG الرسمي للشعار</w:t>
      </w:r>
      <w:r>
        <w:rPr>
          <w:rFonts w:ascii="Arial" w:cs="Arial" w:eastAsia="Arial" w:hAnsi="Arial"/>
          <w:b w:val="false"/>
          <w:bCs w:val="false"/>
          <w:sz w:val="21"/>
          <w:szCs w:val="21"/>
          <w:rtl/>
        </w:rPr>
        <w:t xml:space="preserve">: الشعار مرسوم من قياسات الدليل. إن وُجد ملف SVG معتمد من المصمم، يوضع مكانه في </w:t>
      </w:r>
      <w:r>
        <w:rPr>
          <w:rFonts w:ascii="Courier New" w:cs="Courier New" w:eastAsia="Courier New" w:hAnsi="Courier New"/>
          <w:b w:val="false"/>
          <w:bCs w:val="false"/>
          <w:color w:val="1F2937"/>
          <w:sz w:val="18"/>
          <w:szCs w:val="18"/>
          <w:shd w:fill="F1F3F5" w:color="auto" w:val="clear"/>
          <w:rtl/>
        </w:rPr>
        <w:t xml:space="preserve">‎app/web/src/brand/‎</w:t>
      </w:r>
      <w:r>
        <w:rPr>
          <w:rFonts w:ascii="Arial" w:cs="Arial" w:eastAsia="Arial" w:hAnsi="Arial"/>
          <w:b w:val="false"/>
          <w:bCs w:val="false"/>
          <w:sz w:val="21"/>
          <w:szCs w:val="21"/>
          <w:rtl/>
        </w:rPr>
        <w:t xml:space="preserve"> دون أي تغيير آخر.</w:t>
      </w:r>
    </w:p>
    <w:p>
      <w:pPr>
        <w:pStyle w:val="ListParagraph"/>
        <w:numPr>
          <w:ilvl w:val="0"/>
          <w:numId w:val="2"/>
        </w:numPr>
        <w:bidi/>
        <w:spacing w:after="70" w:before="0" w:line="300"/>
      </w:pPr>
      <w:r>
        <w:rPr>
          <w:rFonts w:ascii="Arial" w:cs="Arial" w:eastAsia="Arial" w:hAnsi="Arial"/>
          <w:b/>
          <w:bCs/>
          <w:sz w:val="21"/>
          <w:szCs w:val="21"/>
          <w:rtl/>
        </w:rPr>
        <w:t xml:space="preserve">غلاف تقرير التقييم الائتماني</w:t>
      </w:r>
      <w:r>
        <w:rPr>
          <w:rFonts w:ascii="Arial" w:cs="Arial" w:eastAsia="Arial" w:hAnsi="Arial"/>
          <w:b w:val="false"/>
          <w:bCs w:val="false"/>
          <w:sz w:val="21"/>
          <w:szCs w:val="21"/>
          <w:rtl/>
        </w:rPr>
        <w:t xml:space="preserve"> بأخضر الخزنة ونمط الشقوق (ص 24): يُبنى مع شاشة طباعة تقرير التقييم حين تُطلب.</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الهوية البصرية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34b3b4561bd36a7a37b4f088ebfc3ac587a53b8.png"/><Relationship Id="rId10" Type="http://schemas.openxmlformats.org/officeDocument/2006/relationships/image" Target="media/7a40f03bb3f719042f45dba12bc81ab38d2b0ed2.png"/><Relationship Id="rId11" Type="http://schemas.openxmlformats.org/officeDocument/2006/relationships/image" Target="media/ca94491bdc38339af772b9551ea5d6ca228d99d5.png"/><Relationship Id="rId12" Type="http://schemas.openxmlformats.org/officeDocument/2006/relationships/image" Target="media/2975129e9d2976d0a814e1368457333f76c89e3b.png"/><Relationship Id="rId13" Type="http://schemas.openxmlformats.org/officeDocument/2006/relationships/image" Target="media/b9ee666d9de26ed9ad35e7405807e2aef612bcac.png"/><Relationship Id="rId14" Type="http://schemas.openxmlformats.org/officeDocument/2006/relationships/image" Target="media/2c767df61a775e1cdedaea187536d506c2d0486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تطبيق الهوية البصرية على الموقع (الصف 58 في docs/31)</dc:title>
  <dc:creator>Claude</dc:creator>
  <dc:description>BankFas database design document</dc:description>
  <cp:lastModifiedBy>Un-named</cp:lastModifiedBy>
  <cp:revision>1</cp:revision>
  <dcterms:created xsi:type="dcterms:W3CDTF">2026-10-25T18:03:07.214Z</dcterms:created>
  <dcterms:modified xsi:type="dcterms:W3CDTF">2026-10-25T18:03:07.214Z</dcterms:modified>
</cp:coreProperties>
</file>

<file path=docProps/custom.xml><?xml version="1.0" encoding="utf-8"?>
<Properties xmlns="http://schemas.openxmlformats.org/officeDocument/2006/custom-properties" xmlns:vt="http://schemas.openxmlformats.org/officeDocument/2006/docPropsVTypes"/>
</file>