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2026-10-11</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(194 جدولًا في 20 مخططًا)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 0.2)</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4">
        <w:r>
          <w:rPr>
            <w:rFonts w:ascii="Arial" w:cs="Arial" w:eastAsia="Arial" w:hAnsi="Arial"/>
            <w:b/>
            <w:bCs/>
            <w:color w:val="1F3A5F"/>
            <w:sz w:val="20"/>
            <w:szCs w:val="20"/>
            <w:rtl/>
          </w:rPr>
          <w:t xml:space="preserve">8. الفهرسة</w:t>
        </w:r>
      </w:hyperlink>
    </w:p>
    <w:p>
      <w:pPr>
        <w:bidi/>
        <w:spacing w:after="50" w:before="0"/>
        <w:ind w:left="0"/>
      </w:pPr>
      <w:hyperlink w:history="1" w:anchor="_sec25">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0">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95">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99">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104">
        <w:r>
          <w:rPr>
            <w:rFonts w:ascii="Arial" w:cs="Arial" w:eastAsia="Arial" w:hAnsi="Arial"/>
            <w:b/>
            <w:bCs/>
            <w:color w:val="1F3A5F"/>
            <w:sz w:val="20"/>
            <w:szCs w:val="20"/>
            <w:rtl/>
          </w:rPr>
          <w:t xml:space="preserve">13. البذور وتهيئة المشترك (خطة — لم تُنفَّذ بعد)</w:t>
        </w:r>
      </w:hyperlink>
    </w:p>
    <w:p>
      <w:pPr>
        <w:bidi/>
        <w:spacing w:after="50" w:before="0"/>
        <w:ind w:left="0"/>
      </w:pPr>
      <w:hyperlink w:history="1" w:anchor="_sec105">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106">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107">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108">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109">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 0.2)</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4845"/>
        <w:gridCol w:w="4019"/>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(§18)</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6"/>
        <w:gridCol w:w="7318"/>
      </w:tblGrid>
      <w:tr>
        <w:trPr>
          <w:cantSplit/>
          <w:tblHeader/>
        </w:trPr>
        <w:tc>
          <w:tcPr>
            <w:tcW w:type="dxa" w:w="25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3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3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194</w:t>
            </w:r>
            <w:r>
              <w:rPr>
                <w:rFonts w:ascii="Arial" w:cs="Arial" w:eastAsia="Arial" w:hAnsi="Arial"/>
                <w:b w:val="false"/>
                <w:bCs w:val="false"/>
                <w:sz w:val="18"/>
                <w:szCs w:val="18"/>
                <w:rtl/>
              </w:rPr>
              <w:t xml:space="preserve"> في 20 مخططًا</w:t>
            </w:r>
          </w:p>
        </w:tc>
      </w:tr>
      <w:tr>
        <w:trPr>
          <w:cantSplit/>
        </w:trPr>
        <w:tc>
          <w:tcPr>
            <w:tcW w:type="dxa" w:w="2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3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3,280 مُعرَّفة في النماذج + الأعمدة الآلية = </w:t>
            </w:r>
            <w:r>
              <w:rPr>
                <w:rFonts w:ascii="Arial" w:cs="Arial" w:eastAsia="Arial" w:hAnsi="Arial"/>
                <w:b/>
                <w:bCs/>
                <w:sz w:val="18"/>
                <w:szCs w:val="18"/>
                <w:rtl/>
              </w:rPr>
              <w:t xml:space="preserve">3,804</w:t>
            </w:r>
            <w:r>
              <w:rPr>
                <w:rFonts w:ascii="Arial" w:cs="Arial" w:eastAsia="Arial" w:hAnsi="Arial"/>
                <w:b w:val="false"/>
                <w:bCs w:val="false"/>
                <w:sz w:val="18"/>
                <w:szCs w:val="18"/>
                <w:rtl/>
              </w:rPr>
              <w:t xml:space="preserve"> في DDL</w:t>
            </w:r>
          </w:p>
        </w:tc>
      </w:tr>
      <w:tr>
        <w:trPr>
          <w:cantSplit/>
        </w:trPr>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3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763</w:t>
            </w:r>
            <w:r>
              <w:rPr>
                <w:rFonts w:ascii="Arial" w:cs="Arial" w:eastAsia="Arial" w:hAnsi="Arial"/>
                <w:b w:val="false"/>
                <w:bCs w:val="false"/>
                <w:sz w:val="18"/>
                <w:szCs w:val="18"/>
                <w:rtl/>
              </w:rPr>
              <w:t xml:space="preserve"> = 184 لملكية المشترك (</w:t>
            </w:r>
            <w:r>
              <w:rPr>
                <w:rFonts w:ascii="Courier New" w:cs="Courier New" w:eastAsia="Courier New" w:hAnsi="Courier New"/>
                <w:b w:val="false"/>
                <w:bCs w:val="false"/>
                <w:color w:val="1F2937"/>
                <w:sz w:val="16"/>
                <w:szCs w:val="16"/>
                <w:shd w:fill="F1F3F5" w:color="auto" w:val="clear"/>
                <w:rtl/>
              </w:rPr>
              <w:t xml:space="preserve">‎TenantId → plat.Tenant‎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515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+ 64 بسيطة نحو جداول عالمية/مختلطة</w:t>
            </w:r>
          </w:p>
        </w:tc>
      </w:tr>
      <w:tr>
        <w:trPr>
          <w:cantSplit/>
        </w:trPr>
        <w:tc>
          <w:tcPr>
            <w:tcW w:type="dxa" w:w="2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3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 غير مجمّع (206 مصفّاة · 47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3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387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+ 128 فهرسًا فريدًا</w:t>
            </w:r>
          </w:p>
        </w:tc>
      </w:tr>
      <w:tr>
        <w:trPr>
          <w:cantSplit/>
        </w:trPr>
        <w:tc>
          <w:tcPr>
            <w:tcW w:type="dxa" w:w="2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3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(جذور التجميعات المعرَّضة عبر API)</w:t>
            </w:r>
          </w:p>
        </w:tc>
      </w:tr>
      <w:tr>
        <w:trPr>
          <w:cantSplit/>
        </w:trPr>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3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(180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الـ11 العالمية خارجها)</w:t>
            </w:r>
          </w:p>
        </w:tc>
      </w:tr>
      <w:tr>
        <w:trPr>
          <w:cantSplit/>
        </w:trPr>
        <w:tc>
          <w:tcPr>
            <w:tcW w:type="dxa" w:w="2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3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3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يقرأ التطبيق وحدات مشتركه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194 جدولًا؛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(88 مفتاحًا من الـ515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الهوية بالمشترك</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لا يكفي أن يكون المشترك موجودًا؛ يجب أن يكون المستخدم نشطًا وينتمي إليه.</w:t>
      </w:r>
    </w:p>
    <w:p>
      <w:pPr>
        <w:bidi/>
        <w:spacing w:after="60" w:before="0"/>
      </w:pPr>
    </w:p>
    <w:p>
      <w:pPr>
        <w:bidi/>
        <w:spacing w:after="110" w:before="0" w:line="312"/>
      </w:pPr>
      <w:r>
        <w:rPr>
          <w:rFonts w:ascii="Arial" w:cs="Arial" w:eastAsia="Arial" w:hAnsi="Arial"/>
          <w:b w:val="false"/>
          <w:bCs w:val="false"/>
          <w:sz w:val="21"/>
          <w:szCs w:val="21"/>
          <w:rtl/>
        </w:rPr>
        <w:t xml:space="preserve">الطبقات 1–3 داخل القاعدة. الطبقة 4 داخلها أيضًا، لكن </w:t>
      </w:r>
      <w:r>
        <w:rPr>
          <w:rFonts w:ascii="Arial" w:cs="Arial" w:eastAsia="Arial" w:hAnsi="Arial"/>
          <w:b/>
          <w:bCs/>
          <w:sz w:val="21"/>
          <w:szCs w:val="21"/>
          <w:rtl/>
        </w:rPr>
        <w:t xml:space="preserve">هوية المستخدم نفسها تبقى مصدوقة من التطبيق</w:t>
      </w:r>
      <w:r>
        <w:rPr>
          <w:rFonts w:ascii="Arial" w:cs="Arial" w:eastAsia="Arial" w:hAnsi="Arial"/>
          <w:b w:val="false"/>
          <w:bCs w:val="false"/>
          <w:sz w:val="21"/>
          <w:szCs w:val="21"/>
          <w:rtl/>
        </w:rPr>
        <w:t xml:space="preserve"> (انظر الحد المتبقي في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‎sec.usp_SetSessionContext(@TenantId, @UserId, @ClientIp, @CorrelationId)‎</w:t>
      </w:r>
      <w:r>
        <w:rPr>
          <w:rFonts w:ascii="Arial" w:cs="Arial" w:eastAsia="Arial" w:hAnsi="Arial"/>
          <w:b w:val="false"/>
          <w:bCs w:val="false"/>
          <w:sz w:val="21"/>
          <w:szCs w:val="21"/>
          <w:rtl/>
        </w:rPr>
        <w:t xml:space="preserve"> يُستدعى </w:t>
      </w:r>
      <w:r>
        <w:rPr>
          <w:rFonts w:ascii="Arial" w:cs="Arial" w:eastAsia="Arial" w:hAnsi="Arial"/>
          <w:b/>
          <w:bCs/>
          <w:sz w:val="21"/>
          <w:szCs w:val="21"/>
          <w:rtl/>
        </w:rPr>
        <w:t xml:space="preserve">عند فتح كل اتصال من المجمّع</w:t>
      </w:r>
      <w:r>
        <w:rPr>
          <w:rFonts w:ascii="Arial" w:cs="Arial" w:eastAsia="Arial" w:hAnsi="Arial"/>
          <w:b w:val="false"/>
          <w:bCs w:val="false"/>
          <w:sz w:val="21"/>
          <w:szCs w:val="21"/>
          <w:rtl/>
        </w:rPr>
        <w:t xml:space="preserve"> وقبل أي استعلام، ويتحقق بالترتيب:</w:t>
      </w:r>
    </w:p>
    <w:p>
      <w:pPr>
        <w:pStyle w:val="ListParagraph"/>
        <w:numPr>
          <w:ilvl w:val="1"/>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مطلوبان (خطأ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w:t>
      </w:r>
    </w:p>
    <w:p>
      <w:pPr>
        <w:pStyle w:val="ListParagraph"/>
        <w:numPr>
          <w:ilvl w:val="1"/>
          <w:numId w:val="4"/>
        </w:numPr>
        <w:bidi/>
        <w:spacing w:after="70" w:before="0" w:line="300"/>
      </w:pPr>
      <w:r>
        <w:rPr>
          <w:rFonts w:ascii="Arial" w:cs="Arial" w:eastAsia="Arial" w:hAnsi="Arial"/>
          <w:b w:val="false"/>
          <w:bCs w:val="false"/>
          <w:sz w:val="21"/>
          <w:szCs w:val="21"/>
          <w:rtl/>
        </w:rPr>
        <w:t xml:space="preserve">المشترك موجود وحالته من </w:t>
      </w:r>
      <w:r>
        <w:rPr>
          <w:rFonts w:ascii="Courier New" w:cs="Courier New" w:eastAsia="Courier New" w:hAnsi="Courier New"/>
          <w:b w:val="false"/>
          <w:bCs w:val="false"/>
          <w:color w:val="1F2937"/>
          <w:sz w:val="18"/>
          <w:szCs w:val="18"/>
          <w:shd w:fill="F1F3F5" w:color="auto" w:val="clear"/>
          <w:rtl/>
        </w:rPr>
        <w:t xml:space="preserve">‎TRIAL/ACTIVE/SUSPENDED/ARCHIVED_READ_ONLY‎</w:t>
      </w:r>
      <w:r>
        <w:rPr>
          <w:rFonts w:ascii="Arial" w:cs="Arial" w:eastAsia="Arial" w:hAnsi="Arial"/>
          <w:b w:val="false"/>
          <w:bCs w:val="false"/>
          <w:sz w:val="21"/>
          <w:szCs w:val="21"/>
          <w:rtl/>
        </w:rPr>
        <w:t xml:space="preserve"> (خطأ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w:t>
      </w:r>
    </w:p>
    <w:p>
      <w:pPr>
        <w:pStyle w:val="ListParagraph"/>
        <w:numPr>
          <w:ilvl w:val="1"/>
          <w:numId w:val="4"/>
        </w:numPr>
        <w:bidi/>
        <w:spacing w:after="70" w:before="0" w:line="300"/>
      </w:pPr>
      <w:r>
        <w:rPr>
          <w:rFonts w:ascii="Arial" w:cs="Arial" w:eastAsia="Arial" w:hAnsi="Arial"/>
          <w:b/>
          <w:bCs/>
          <w:sz w:val="21"/>
          <w:szCs w:val="21"/>
          <w:rtl/>
        </w:rPr>
        <w:t xml:space="preserve">المستخدم بحالة </w:t>
      </w:r>
      <w:r>
        <w:rPr>
          <w:rFonts w:ascii="Courier New" w:cs="Courier New" w:eastAsia="Courier New" w:hAnsi="Courier New"/>
          <w:b/>
          <w:bCs/>
          <w:color w:val="1F2937"/>
          <w:sz w:val="18"/>
          <w:szCs w:val="18"/>
          <w:shd w:fill="F1F3F5" w:color="auto" w:val="clear"/>
          <w:rtl/>
        </w:rPr>
        <w:t xml:space="preserve">‎ACTIVE‎</w:t>
      </w:r>
      <w:r>
        <w:rPr>
          <w:rFonts w:ascii="Arial" w:cs="Arial" w:eastAsia="Arial" w:hAnsi="Arial"/>
          <w:b/>
          <w:bCs/>
          <w:sz w:val="21"/>
          <w:szCs w:val="21"/>
          <w:rtl/>
        </w:rPr>
        <w:t xml:space="preserve"> ومنتمٍ إلى المشترك نفسه</w:t>
      </w:r>
      <w:r>
        <w:rPr>
          <w:rFonts w:ascii="Arial" w:cs="Arial" w:eastAsia="Arial" w:hAnsi="Arial"/>
          <w:b w:val="false"/>
          <w:bCs w:val="false"/>
          <w:sz w:val="21"/>
          <w:szCs w:val="21"/>
          <w:rtl/>
        </w:rPr>
        <w:t xml:space="preserve"> (خطأ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برسالة عامة لا تكشف وجود المستخدم). ثم 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فلا يستطيع استعلام لاحق تغيير المشترك.</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‎WITH EXECUTE AS‎</w:t>
      </w:r>
      <w:r>
        <w:rPr>
          <w:rFonts w:ascii="Arial" w:cs="Arial" w:eastAsia="Arial" w:hAnsi="Arial"/>
          <w:b w:val="false"/>
          <w:bCs w:val="false"/>
          <w:sz w:val="21"/>
          <w:szCs w:val="21"/>
          <w:rtl/>
        </w:rPr>
        <w:t xml:space="preserve">): هذا الدور داخلي بلا تسجيل دخول، يملك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 ويتجاوز RLS </w:t>
      </w:r>
      <w:r>
        <w:rPr>
          <w:rFonts w:ascii="Arial" w:cs="Arial" w:eastAsia="Arial" w:hAnsi="Arial"/>
          <w:b/>
          <w:bCs/>
          <w:sz w:val="21"/>
          <w:szCs w:val="21"/>
          <w:rtl/>
        </w:rPr>
        <w:t xml:space="preserve">داخل هذا الإجراء فقط</w:t>
      </w:r>
      <w:r>
        <w:rPr>
          <w:rFonts w:ascii="Arial" w:cs="Arial" w:eastAsia="Arial" w:hAnsi="Arial"/>
          <w:b w:val="false"/>
          <w:bCs w:val="false"/>
          <w:sz w:val="21"/>
          <w:szCs w:val="21"/>
          <w:rtl/>
        </w:rPr>
        <w:t xml:space="preserve"> (عضوية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في دوال السياسات). لولاه لما رأى الإجراء صف المستخدم قبل ضبط السياق.</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يُرفع خطأ ويجب على التطبيق إعادة الاتصال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ولا يستعمله. هذا شرط على التطبيق لا يفرضه المحرك؛ يُختبر في S1.</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المهام الخلفية وتكامل المشترك لا تملك مستخدمًا بشريًا. تُنشأ لكل مشترك عند التهيئة مستخدم خدمة بعلم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ويُستعمل في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لمهامه.</w:t>
      </w:r>
    </w:p>
    <w:p>
      <w:pPr>
        <w:pStyle w:val="ListParagraph"/>
        <w:numPr>
          <w:ilvl w:val="0"/>
          <w:numId w:val="3"/>
        </w:numPr>
        <w:bidi/>
        <w:spacing w:after="70" w:before="0" w:line="300"/>
      </w:pPr>
      <w:r>
        <w:rPr>
          <w:rFonts w:ascii="Arial" w:cs="Arial" w:eastAsia="Arial" w:hAnsi="Arial"/>
          <w:b/>
          <w:bCs/>
          <w:sz w:val="21"/>
          <w:szCs w:val="21"/>
          <w:rtl/>
        </w:rPr>
        <w:t xml:space="preserve">الحد المتبقي (مفتوح، O-11):</w:t>
      </w:r>
      <w:r>
        <w:rPr>
          <w:rFonts w:ascii="Arial" w:cs="Arial" w:eastAsia="Arial" w:hAnsi="Arial"/>
          <w:b w:val="false"/>
          <w:bCs w:val="false"/>
          <w:sz w:val="21"/>
          <w:szCs w:val="21"/>
          <w:rtl/>
        </w:rPr>
        <w:t xml:space="preserve"> الإجراء يتحقق من </w:t>
      </w:r>
      <w:r>
        <w:rPr>
          <w:rFonts w:ascii="Arial" w:cs="Arial" w:eastAsia="Arial" w:hAnsi="Arial"/>
          <w:b/>
          <w:bCs/>
          <w:sz w:val="21"/>
          <w:szCs w:val="21"/>
          <w:rtl/>
        </w:rPr>
        <w:t xml:space="preserve">الترابط</w:t>
      </w:r>
      <w:r>
        <w:rPr>
          <w:rFonts w:ascii="Arial" w:cs="Arial" w:eastAsia="Arial" w:hAnsi="Arial"/>
          <w:b w:val="false"/>
          <w:bCs w:val="false"/>
          <w:sz w:val="21"/>
          <w:szCs w:val="21"/>
          <w:rtl/>
        </w:rPr>
        <w:t xml:space="preserve"> بين المشترك والمستخدم، لكنه </w:t>
      </w:r>
      <w:r>
        <w:rPr>
          <w:rFonts w:ascii="Arial" w:cs="Arial" w:eastAsia="Arial" w:hAnsi="Arial"/>
          <w:b/>
          <w:bCs/>
          <w:sz w:val="21"/>
          <w:szCs w:val="21"/>
          <w:rtl/>
        </w:rPr>
        <w:t xml:space="preserve">لا يوثّق أن المستخدم هو من يدّعي أنه هو</w:t>
      </w:r>
      <w:r>
        <w:rPr>
          <w:rFonts w:ascii="Arial" w:cs="Arial" w:eastAsia="Arial" w:hAnsi="Arial"/>
          <w:b w:val="false"/>
          <w:bCs w:val="false"/>
          <w:sz w:val="21"/>
          <w:szCs w:val="21"/>
          <w:rtl/>
        </w:rPr>
        <w:t xml:space="preserve">. أي تطبيق مخترق يملك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اختيار أي مستخدم نشط من أي مشترك. لذلك يبقى عزل الهوية مسؤولية التطبيق في المصادقة، ويُعالج أحد خيارين قبل الإنتاج: (أ) دور تطبيق مستقل لكل مشترك (</w:t>
      </w:r>
      <w:r>
        <w:rPr>
          <w:rFonts w:ascii="Courier New" w:cs="Courier New" w:eastAsia="Courier New" w:hAnsi="Courier New"/>
          <w:b w:val="false"/>
          <w:bCs w:val="false"/>
          <w:color w:val="1F2937"/>
          <w:sz w:val="18"/>
          <w:szCs w:val="18"/>
          <w:shd w:fill="F1F3F5" w:color="auto" w:val="clear"/>
          <w:rtl/>
        </w:rPr>
        <w:t xml:space="preserve">‎sp_setapprole‎</w:t>
      </w:r>
      <w:r>
        <w:rPr>
          <w:rFonts w:ascii="Arial" w:cs="Arial" w:eastAsia="Arial" w:hAnsi="Arial"/>
          <w:b w:val="false"/>
          <w:bCs w:val="false"/>
          <w:sz w:val="21"/>
          <w:szCs w:val="21"/>
          <w:rtl/>
        </w:rPr>
        <w:t xml:space="preserve">) بكلمة مرور مشتقة من KMS، أو (ب) تمرير رمز موقَّع من طبقة الهوية يتحقق منه الإجراء. يُختار أحدهما في S1.</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110"/>
        <w:gridCol w:w="2685"/>
        <w:gridCol w:w="2466"/>
        <w:gridCol w:w="1000"/>
        <w:gridCol w:w="1603"/>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(تُحدَّد في S0 — O-12).</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تفعيل الإجراء الذي يتحقق من المنحة قبل أي وصول هو شرط S0</w:t>
      </w:r>
      <w:r>
        <w:rPr>
          <w:rFonts w:ascii="Arial" w:cs="Arial" w:eastAsia="Arial" w:hAnsi="Arial"/>
          <w:b w:val="false"/>
          <w:bCs w:val="false"/>
          <w:sz w:val="21"/>
          <w:szCs w:val="21"/>
          <w:rtl/>
        </w:rPr>
        <w:t xml:space="preserve">، لأن القاعدة وحدها لا تفرضه قبل إنشاء تلك الإجراءات.</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وسجل التدقيق.</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362075"/>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362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48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(161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(36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بسبب إلزامي.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9"/>
        <w:gridCol w:w="2867"/>
        <w:gridCol w:w="1606"/>
        <w:gridCol w:w="2982"/>
      </w:tblGrid>
      <w:tr>
        <w:trPr>
          <w:cantSplit/>
          <w:tblHeader/>
        </w:trPr>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5"/>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5"/>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موسومة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8"/>
        <w:gridCol w:w="3764"/>
        <w:gridCol w:w="4272"/>
      </w:tblGrid>
      <w:tr>
        <w:trPr>
          <w:cantSplit/>
          <w:tblHeader/>
        </w:trPr>
        <w:tc>
          <w:tcPr>
            <w:tcW w:type="dxa" w:w="1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4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(763)، والمركّب يمنع العبور بين المشتركين والتجميعات</w:t>
            </w:r>
          </w:p>
        </w:tc>
        <w:tc>
          <w:tcPr>
            <w:tcW w:type="dxa" w:w="4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4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4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4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4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4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الفهرسة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(196)</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(47)</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مفتاحان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فلا مسارات تعاقب متعددة.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5" w:id="25"/>
      <w:r>
        <w:rPr>
          <w:rFonts w:ascii="Arial" w:cs="Arial" w:eastAsia="Arial" w:hAnsi="Arial"/>
          <w:b/>
          <w:bCs/>
          <w:color w:val="1F3A5F"/>
          <w:sz w:val="32"/>
          <w:szCs w:val="32"/>
          <w:rtl/>
        </w:rPr>
        <w:t xml:space="preserve">9. الأدوار والصلاحيات (على مستوى القاعدة)</w:t>
      </w:r>
      <w:bookmarkEnd w:id="25"/>
    </w:p>
    <w:p>
      <w:pPr>
        <w:pStyle w:val="Heading2"/>
        <w:bidi/>
      </w:pPr>
      <w:bookmarkStart w:name="_sec26" w:id="26"/>
      <w:r>
        <w:rPr>
          <w:rFonts w:ascii="Arial" w:cs="Arial" w:eastAsia="Arial" w:hAnsi="Arial"/>
          <w:b/>
          <w:bCs/>
          <w:color w:val="2B5C8A"/>
          <w:sz w:val="26"/>
          <w:szCs w:val="26"/>
          <w:rtl/>
        </w:rPr>
        <w:t xml:space="preserve">9.1 الأدوار</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1"/>
        <w:gridCol w:w="2466"/>
        <w:gridCol w:w="5137"/>
      </w:tblGrid>
      <w:tr>
        <w:trPr>
          <w:cantSplit/>
          <w:tblHeader/>
        </w:trPr>
        <w:tc>
          <w:tcPr>
            <w:tcW w:type="dxa" w:w="2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2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2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2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w:t>
            </w:r>
          </w:p>
        </w:tc>
        <w:tc>
          <w:tcPr>
            <w:tcW w:type="dxa" w:w="5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فقط؛ يُنفَّذ به </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w:t>
            </w:r>
          </w:p>
        </w:tc>
      </w:tr>
      <w:tr>
        <w:trPr>
          <w:cantSplit/>
        </w:trPr>
        <w:tc>
          <w:tcPr>
            <w:tcW w:type="dxa" w:w="2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w:t>
            </w:r>
          </w:p>
        </w:tc>
      </w:tr>
      <w:tr>
        <w:trPr>
          <w:cantSplit/>
        </w:trPr>
        <w:tc>
          <w:tcPr>
            <w:tcW w:type="dxa" w:w="2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7" w:id="27"/>
      <w:r>
        <w:rPr>
          <w:rFonts w:ascii="Arial" w:cs="Arial" w:eastAsia="Arial" w:hAnsi="Arial"/>
          <w:b/>
          <w:bCs/>
          <w:color w:val="2B5C8A"/>
          <w:sz w:val="26"/>
          <w:szCs w:val="26"/>
          <w:rtl/>
        </w:rPr>
        <w:t xml:space="preserve">9.2 من أين تأتي المنح</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3"/>
        <w:gridCol w:w="3131"/>
      </w:tblGrid>
      <w:tr>
        <w:trPr>
          <w:cantSplit/>
          <w:tblHeader/>
        </w:trPr>
        <w:tc>
          <w:tcPr>
            <w:tcW w:type="dxa" w:w="6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28 عمودًا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(206 منحة)</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وتنفيذه بـ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ومنحه لـ</w:t>
            </w:r>
            <w:r>
              <w:rPr>
                <w:rFonts w:ascii="Courier New" w:cs="Courier New" w:eastAsia="Courier New" w:hAnsi="Courier New"/>
                <w:b w:val="false"/>
                <w:bCs w:val="false"/>
                <w:color w:val="1F2937"/>
                <w:sz w:val="16"/>
                <w:szCs w:val="16"/>
                <w:shd w:fill="F1F3F5" w:color="auto" w:val="clear"/>
                <w:rtl/>
              </w:rPr>
              <w:t xml:space="preserve">‎tp_app‎</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9.3 التحقق الثابت من الصلاحيات</w:t>
      </w:r>
      <w:bookmarkEnd w:id="2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جدولين فقط.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29" w:id="29"/>
      <w:r>
        <w:rPr>
          <w:rFonts w:ascii="Arial" w:cs="Arial" w:eastAsia="Arial" w:hAnsi="Arial"/>
          <w:b/>
          <w:bCs/>
          <w:color w:val="2B5C8A"/>
          <w:sz w:val="26"/>
          <w:szCs w:val="26"/>
          <w:rtl/>
        </w:rPr>
        <w:t xml:space="preserve">9.4 قواعد عامة</w:t>
      </w:r>
      <w:bookmarkEnd w:id="29"/>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0" w:id="30"/>
      <w:r>
        <w:rPr>
          <w:rFonts w:ascii="Arial" w:cs="Arial" w:eastAsia="Arial" w:hAnsi="Arial"/>
          <w:b/>
          <w:bCs/>
          <w:color w:val="1F3A5F"/>
          <w:sz w:val="32"/>
          <w:szCs w:val="32"/>
          <w:rtl/>
        </w:rPr>
        <w:t xml:space="preserve">10. ERD والمواصفات التفصيلية حسب الوحدة</w:t>
      </w:r>
      <w:bookmarkEnd w:id="30"/>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1" w:id="31"/>
      <w:r>
        <w:rPr>
          <w:rFonts w:ascii="Arial" w:cs="Arial" w:eastAsia="Arial" w:hAnsi="Arial"/>
          <w:b/>
          <w:bCs/>
          <w:color w:val="2B5C8A"/>
          <w:sz w:val="26"/>
          <w:szCs w:val="26"/>
          <w:rtl/>
        </w:rPr>
        <w:t xml:space="preserve">10.1 خريطة المخططات (Schema Map)</w:t>
      </w:r>
      <w:bookmarkEnd w:id="31"/>
    </w:p>
    <w:p>
      <w:pPr>
        <w:keepNext/>
        <w:bidi/>
        <w:spacing w:after="60" w:before="160"/>
        <w:jc w:val="center"/>
      </w:pPr>
      <w:r>
        <w:drawing>
          <wp:inline distT="0" distB="0" distL="0" distR="0">
            <wp:extent cx="6096000" cy="2057400"/>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057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2" w:id="32"/>
      <w:r>
        <w:rPr>
          <w:rFonts w:ascii="Arial" w:cs="Arial" w:eastAsia="Arial" w:hAnsi="Arial"/>
          <w:b/>
          <w:bCs/>
          <w:color w:val="2B5C8A"/>
          <w:sz w:val="26"/>
          <w:szCs w:val="26"/>
          <w:rtl/>
        </w:rPr>
        <w:t xml:space="preserve">10.2 قراءة المخططات</w:t>
      </w:r>
      <w:bookmarkEnd w:id="32"/>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3" w:id="33"/>
      <w:r>
        <w:rPr>
          <w:rFonts w:ascii="Arial" w:cs="Arial" w:eastAsia="Arial" w:hAnsi="Arial"/>
          <w:b/>
          <w:bCs/>
          <w:color w:val="2B5C8A"/>
          <w:sz w:val="26"/>
          <w:szCs w:val="26"/>
          <w:rtl/>
        </w:rPr>
        <w:t xml:space="preserve">10.3 م0 · المنصة والهوية والتدقيق</w:t>
      </w:r>
      <w:bookmarkEnd w:id="33"/>
    </w:p>
    <w:p>
      <w:pPr>
        <w:pStyle w:val="Heading3"/>
        <w:bidi/>
      </w:pPr>
      <w:bookmarkStart w:name="_sec34" w:id="34"/>
      <w:r>
        <w:rPr>
          <w:rFonts w:ascii="Arial" w:cs="Arial" w:eastAsia="Arial" w:hAnsi="Arial"/>
          <w:b/>
          <w:bCs/>
          <w:color w:val="2B5C8A"/>
          <w:sz w:val="23"/>
          <w:szCs w:val="23"/>
          <w:rtl/>
        </w:rPr>
        <w:t xml:space="preserve">م0 · المشترك والاشتراكات والمشغّلون (1/2)</w:t>
      </w:r>
      <w:bookmarkEnd w:id="34"/>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676400"/>
            <wp:effectExtent t="0" r="0" b="0" l="0"/>
            <wp:docPr id="1" name="diagrams/erd/m0_tenancy_1.png" descr="م0 · المشترك والاشتراكات والمشغّلون (1/2)" title="م0 · المشترك والاشتراكات والمشغّلون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676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09"/>
        <w:gridCol w:w="2592"/>
        <w:gridCol w:w="2463"/>
        <w:gridCol w:w="1000"/>
        <w:gridCol w:w="1000"/>
        <w:gridCol w:w="1000"/>
        <w:gridCol w:w="1000"/>
      </w:tblGrid>
      <w:tr>
        <w:trPr>
          <w:cantSplit/>
          <w:tblHeader/>
        </w:trPr>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حزمة وحدات وحدود ناعمة (FR-PLT-003/004، Q-PLT-11)</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الباقة (يحل محل Plan.IncludedModules json)</w:t>
            </w:r>
          </w:p>
        </w:tc>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تطبيق المشترك (tp_app) · حساب مشغّل المنصة: مخزن هوية منفصل عن AppUser (FR-PLT-006)</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فرعية محجوزة للنظام: www · admin · api · app… (FR-PLT-046)</w:t>
            </w:r>
          </w:p>
        </w:tc>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4"/>
        <w:gridCol w:w="1432"/>
        <w:gridCol w:w="1114"/>
        <w:gridCol w:w="1114"/>
        <w:gridCol w:w="1000"/>
        <w:gridCol w:w="1000"/>
        <w:gridCol w:w="1000"/>
      </w:tblGrid>
      <w:tr>
        <w:trPr>
          <w:cantSplit/>
          <w:tblHeader/>
        </w:trPr>
        <w:tc>
          <w:tcPr>
            <w:tcW w:type="dxa" w:w="3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1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1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5" w:id="35"/>
      <w:r>
        <w:rPr>
          <w:rFonts w:ascii="Arial" w:cs="Arial" w:eastAsia="Arial" w:hAnsi="Arial"/>
          <w:b/>
          <w:bCs/>
          <w:color w:val="2B5C8A"/>
          <w:sz w:val="23"/>
          <w:szCs w:val="23"/>
          <w:rtl/>
        </w:rPr>
        <w:t xml:space="preserve">م0 · المشترك والاشتراكات والمشغّلون (2/2)</w:t>
      </w:r>
      <w:bookmarkEnd w:id="35"/>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76300"/>
            <wp:effectExtent t="0" r="0" b="0" l="0"/>
            <wp:docPr id="1" name="diagrams/erd/m0_tenancy_2.png" descr="م0 · المشترك والاشتراكات والمشغّلون (2/2)" title="م0 · المشترك والاشتراكات والمشغّلون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76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1"/>
        <w:gridCol w:w="2619"/>
        <w:gridCol w:w="2494"/>
        <w:gridCol w:w="1000"/>
        <w:gridCol w:w="1000"/>
        <w:gridCol w:w="1000"/>
        <w:gridCol w:w="1000"/>
      </w:tblGrid>
      <w:tr>
        <w:trPr>
          <w:cantSplit/>
          <w:tblHeader/>
        </w:trPr>
        <w:tc>
          <w:tcPr>
            <w:tcW w:type="dxa" w:w="7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(FR-PLT-007، BR-PLT-017)</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مباشر لتطبيق المشترك (يقرأ صفّه عبر plat.v_CurrentTenant) · جذر العزل: المشترك (FR-PLT-001/002/046، BR-PLT-001/002)</w:t>
            </w:r>
          </w:p>
        </w:tc>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لكل مشترك؛ ملكية المنصة فقط: لا يكتبها تطبيق المشترك ويقرؤها عبر عرض مُحدَّد (DR-01)</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409"/>
        <w:gridCol w:w="1000"/>
        <w:gridCol w:w="1000"/>
        <w:gridCol w:w="1000"/>
        <w:gridCol w:w="1000"/>
        <w:gridCol w:w="1000"/>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الهوية والصلاحيات (1/2)</w:t>
      </w:r>
      <w:bookmarkEnd w:id="36"/>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95650"/>
            <wp:effectExtent t="0" r="0" b="0" l="0"/>
            <wp:docPr id="1" name="diagrams/erd/m0_identity_1.png" descr="م0 · الهوية والصلاحيات (1/2)" title="م0 · الهوية والصلاحي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95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8"/>
        <w:gridCol w:w="2700"/>
        <w:gridCol w:w="1906"/>
        <w:gridCol w:w="1000"/>
        <w:gridCol w:w="1000"/>
        <w:gridCol w:w="1000"/>
        <w:gridCol w:w="1000"/>
      </w:tblGrid>
      <w:tr>
        <w:trPr>
          <w:cantSplit/>
          <w:tblHeader/>
        </w:trPr>
        <w:tc>
          <w:tcPr>
            <w:tcW w:type="dxa" w:w="1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بوابة المشترك (FR-PLT-010..016، BR-PLT-004..006)</w:t>
            </w:r>
          </w:p>
        </w:tc>
        <w:tc>
          <w:tcPr>
            <w:tcW w:type="dxa" w:w="1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1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يخصصه المشترك أو مبذور (FR-PLT-018)</w:t>
            </w:r>
          </w:p>
        </w:tc>
        <w:tc>
          <w:tcPr>
            <w:tcW w:type="dxa" w:w="1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تملكه المنصة؛ لا يضيف المشترك صلاحية (FR-PLT-017)</w:t>
            </w:r>
          </w:p>
        </w:tc>
        <w:tc>
          <w:tcPr>
            <w:tcW w:type="dxa" w:w="1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دور-صلاحية؛ PERMISSION_LOCKED يُفرض في الخدمة (BR-PLT-019)</w:t>
            </w:r>
          </w:p>
        </w:tc>
        <w:tc>
          <w:tcPr>
            <w:tcW w:type="dxa" w:w="1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RoleId, PermissionId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5"/>
        <w:gridCol w:w="1664"/>
        <w:gridCol w:w="1000"/>
        <w:gridCol w:w="1000"/>
        <w:gridCol w:w="1000"/>
        <w:gridCol w:w="1000"/>
        <w:gridCol w:w="1545"/>
      </w:tblGrid>
      <w:tr>
        <w:trPr>
          <w:cantSplit/>
          <w:tblHeader/>
        </w:trPr>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الهوية والصلاحيات (2/2)</w:t>
      </w:r>
      <w:bookmarkEnd w:id="37"/>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914400"/>
            <wp:effectExtent t="0" r="0" b="0" l="0"/>
            <wp:docPr id="1" name="diagrams/erd/m0_identity_2.png" descr="م0 · الهوية والصلاحيات (2/2)" title="م0 · الهوية والصلاحي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6"/>
        <w:gridCol w:w="2699"/>
        <w:gridCol w:w="2429"/>
        <w:gridCol w:w="1000"/>
        <w:gridCol w:w="1000"/>
        <w:gridCol w:w="1000"/>
        <w:gridCol w:w="1000"/>
      </w:tblGrid>
      <w:tr>
        <w:trPr>
          <w:cantSplit/>
          <w:tblHeader/>
        </w:trPr>
        <w:tc>
          <w:tcPr>
            <w:tcW w:type="dxa" w:w="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مستخدم-دور؛ اتحاد الصلاحيات (BR-PLT-007، FR-PLT-018)</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RoleId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2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يراها المستخدم؛ تُهمل إن كان CompanyScopeMode=ALL (FR-PLT-020)</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CompanyId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OIDC/Entra بالمستخدم؛ جاهزية فقط (FR-PLT-015، §11)</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7"/>
        <w:gridCol w:w="1507"/>
        <w:gridCol w:w="1000"/>
        <w:gridCol w:w="1000"/>
        <w:gridCol w:w="1000"/>
        <w:gridCol w:w="1000"/>
        <w:gridCol w:w="1000"/>
      </w:tblGrid>
      <w:tr>
        <w:trPr>
          <w:cantSplit/>
          <w:tblHeader/>
        </w:trPr>
        <w:tc>
          <w:tcPr>
            <w:tcW w:type="dxa" w:w="3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الجلسات والمفاتيح والمحاولات (1/2)</w:t>
      </w:r>
      <w:bookmarkEnd w:id="38"/>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0_sessions_1.png" descr="م0 · الجلسات والمفاتيح والمحاولات (1/2)" title="م0 · الجلسات والمفاتيح والمحاول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3"/>
        <w:gridCol w:w="1198"/>
        <w:gridCol w:w="2203"/>
        <w:gridCol w:w="1000"/>
        <w:gridCol w:w="1000"/>
        <w:gridCol w:w="1000"/>
        <w:gridCol w:w="1000"/>
      </w:tblGrid>
      <w:tr>
        <w:trPr>
          <w:cantSplit/>
          <w:tblHeader/>
        </w:trPr>
        <w:tc>
          <w:tcPr>
            <w:tcW w:type="dxa" w:w="2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1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خمول 30 دقيقة ومطلقة 12 ساعة (FR-PLT-014)</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لخنق المعدل ونوافذ القفل؛ الأثر الدائم في aud.AuditLog (BR-PLT-005)</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1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رموز استرداد لمرة واحدة مُجزَّأة (FR-PLT-011، BR-PLT-006؛ بديل AppUser.RecoveryCodesHash json)</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1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(48 ساعة) أو إعادة تعيين كلمة المرور (30 دقيقة) لمرة واحدة (FR-PLT-013)</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8"/>
        <w:gridCol w:w="1486"/>
        <w:gridCol w:w="1000"/>
        <w:gridCol w:w="1000"/>
        <w:gridCol w:w="1000"/>
        <w:gridCol w:w="1000"/>
        <w:gridCol w:w="1000"/>
      </w:tblGrid>
      <w:tr>
        <w:trPr>
          <w:cantSplit/>
          <w:tblHeader/>
        </w:trPr>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الجلسات والمفاتيح والمحاولات (2/2)</w:t>
      </w:r>
      <w:bookmarkEnd w:id="39"/>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2857500"/>
            <wp:effectExtent t="0" r="0" b="0" l="0"/>
            <wp:docPr id="1" name="diagrams/erd/m0_sessions_2.png" descr="م0 · الجلسات والمفاتيح والمحاولات (2/2)" title="م0 · الجلسات والمفاتيح والمحاول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57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1665"/>
        <w:gridCol w:w="2913"/>
        <w:gridCol w:w="1000"/>
        <w:gridCol w:w="1000"/>
        <w:gridCol w:w="1000"/>
        <w:gridCol w:w="1000"/>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كلمات مرور لمنع إعادة استعمالها (BR-PLT-004)</w:t>
            </w:r>
          </w:p>
        </w:tc>
        <w:tc>
          <w:tcPr>
            <w:tcW w:type="dxa" w:w="2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المفتاح ملفوف بمفتاح رئيسي خارج القاعدة (FR-PLT-037، BR-PLT-015)</w:t>
            </w:r>
          </w:p>
        </w:tc>
        <w:tc>
          <w:tcPr>
            <w:tcW w:type="dxa" w:w="2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إنشاء وتدوير وإبطال (FR-PLT-037؛ شدة عالية BR-PLT-009)</w:t>
            </w:r>
          </w:p>
        </w:tc>
        <w:tc>
          <w:tcPr>
            <w:tcW w:type="dxa" w:w="2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1"/>
        <w:gridCol w:w="1733"/>
        <w:gridCol w:w="1000"/>
        <w:gridCol w:w="1000"/>
        <w:gridCol w:w="1000"/>
        <w:gridCol w:w="1000"/>
        <w:gridCol w:w="1000"/>
      </w:tblGrid>
      <w:tr>
        <w:trPr>
          <w:cantSplit/>
          <w:tblHeader/>
        </w:trPr>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 w:id="40"/>
      <w:r>
        <w:rPr>
          <w:rFonts w:ascii="Arial" w:cs="Arial" w:eastAsia="Arial" w:hAnsi="Arial"/>
          <w:b/>
          <w:bCs/>
          <w:color w:val="2B5C8A"/>
          <w:sz w:val="23"/>
          <w:szCs w:val="23"/>
          <w:rtl/>
        </w:rPr>
        <w:t xml:space="preserve">م0 · التدقيق والمستندات (1/2)</w:t>
      </w:r>
      <w:bookmarkEnd w:id="40"/>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00400"/>
            <wp:effectExtent t="0" r="0" b="0" l="0"/>
            <wp:docPr id="1" name="diagrams/erd/m0_audit_docs_1.png" descr="م0 · التدقيق والمستندات (1/2)" title="م0 · التدقيق والمستن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200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09"/>
        <w:gridCol w:w="2463"/>
        <w:gridCol w:w="2592"/>
        <w:gridCol w:w="1000"/>
        <w:gridCol w:w="1000"/>
        <w:gridCol w:w="1000"/>
        <w:gridCol w:w="1000"/>
      </w:tblGrid>
      <w:tr>
        <w:trPr>
          <w:cantSplit/>
          <w:tblHeader/>
        </w:trPr>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للإدراج فقط؛ TenantId الفارغ = حدث منصة لا يراه أي مشترك؛ سياسة RLS خاصة (BR-PLT-001/009)</w:t>
            </w:r>
          </w:p>
        </w:tc>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الهويات والصور والتصدير والتنزيل المقيّد؛ لكشف الشذوذ &gt;20/ساعة وR-PLT-3 (BR-PTY-009)</w:t>
            </w:r>
          </w:p>
        </w:tc>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المنطقي: بيانات المستند وحالته؛ الملف في doc.DocumentVersion (FR-PLT-027/028، BR-PLT-011)</w:t>
            </w:r>
          </w:p>
        </w:tc>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بأي كيان بدور وصفحة مرجعية؛ إلغاء الربط منطقي (FR-PLT-028)</w:t>
            </w:r>
          </w:p>
        </w:tc>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3"/>
        <w:gridCol w:w="2381"/>
        <w:gridCol w:w="1000"/>
        <w:gridCol w:w="1000"/>
        <w:gridCol w:w="1000"/>
        <w:gridCol w:w="1000"/>
        <w:gridCol w:w="1000"/>
      </w:tblGrid>
      <w:tr>
        <w:trPr>
          <w:cantSplit/>
          <w:tblHeader/>
        </w:trPr>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 w:id="41"/>
      <w:r>
        <w:rPr>
          <w:rFonts w:ascii="Arial" w:cs="Arial" w:eastAsia="Arial" w:hAnsi="Arial"/>
          <w:b/>
          <w:bCs/>
          <w:color w:val="2B5C8A"/>
          <w:sz w:val="23"/>
          <w:szCs w:val="23"/>
          <w:rtl/>
        </w:rPr>
        <w:t xml:space="preserve">م0 · التدقيق والمستندات (2/2)</w:t>
      </w:r>
      <w:bookmarkEnd w:id="41"/>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190875"/>
            <wp:effectExtent t="0" r="0" b="0" l="0"/>
            <wp:docPr id="1" name="diagrams/erd/m0_audit_docs_2.png" descr="م0 · التدقيق والمستندات (2/2)" title="م0 · التدقيق والمستن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190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1"/>
        <w:gridCol w:w="1876"/>
        <w:gridCol w:w="2657"/>
        <w:gridCol w:w="1000"/>
        <w:gridCol w:w="1000"/>
        <w:gridCol w:w="1000"/>
        <w:gridCol w:w="1000"/>
      </w:tblGrid>
      <w:tr>
        <w:trPr>
          <w:cantSplit/>
          <w:tblHeader/>
        </w:trPr>
        <w:tc>
          <w:tcPr>
            <w:tcW w:type="dxa" w:w="1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ثابت من الملف؛ التغيير يُنشئ إصدارًا جديدًا يفرضه التطبيق (FR-PLT-027، BR-PLT-011)</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5"/>
        <w:gridCol w:w="1644"/>
        <w:gridCol w:w="1000"/>
        <w:gridCol w:w="1000"/>
        <w:gridCol w:w="1000"/>
        <w:gridCol w:w="1000"/>
        <w:gridCol w:w="1265"/>
      </w:tblGrid>
      <w:tr>
        <w:trPr>
          <w:cantSplit/>
          <w:tblHeader/>
        </w:trPr>
        <w:tc>
          <w:tcPr>
            <w:tcW w:type="dxa" w:w="2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م0 · الإعدادات والمهام الخلفية (1/3)</w:t>
      </w:r>
      <w:bookmarkEnd w:id="42"/>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76475"/>
            <wp:effectExtent t="0" r="0" b="0" l="0"/>
            <wp:docPr id="1" name="diagrams/erd/m0_config_1.png" descr="م0 · الإعدادات والمهام الخلفية (1/3)" title="م0 · الإعدادات والمهام الخلفي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2276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1"/>
        <w:gridCol w:w="1876"/>
        <w:gridCol w:w="2657"/>
        <w:gridCol w:w="1000"/>
        <w:gridCol w:w="1000"/>
        <w:gridCol w:w="1000"/>
        <w:gridCol w:w="1000"/>
      </w:tblGrid>
      <w:tr>
        <w:trPr>
          <w:cantSplit/>
          <w:tblHeader/>
        </w:trPr>
        <w:tc>
          <w:tcPr>
            <w:tcW w:type="dxa" w:w="1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تصدير بيانات المشترك (FR-PLT-039، BR-PLT-016)</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التنبيهات المرسَلة: حدث واحد لكل (عنصر، عتبة) ولا تكرار في اليوم نفسه (FR-PLT-038)</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تنبيه انتهاء لكل نوع عنصر (FR-PLT-038، BR-PLT-013)</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المهام الخلفية: آخر تشغيل ومدته ونتيجته ظاهر لمدير الحساب (FR-PLT-044)</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5"/>
        <w:gridCol w:w="2179"/>
        <w:gridCol w:w="1000"/>
        <w:gridCol w:w="1000"/>
        <w:gridCol w:w="1000"/>
        <w:gridCol w:w="1000"/>
        <w:gridCol w:w="1000"/>
      </w:tblGrid>
      <w:tr>
        <w:trPr>
          <w:cantSplit/>
          <w:tblHeader/>
        </w:trPr>
        <w:tc>
          <w:tcPr>
            <w:tcW w:type="dxa" w:w="2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2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2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2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2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م0 · الإعدادات والمهام الخلفية (2/3)</w:t>
      </w:r>
      <w:bookmarkEnd w:id="43"/>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14875"/>
            <wp:effectExtent t="0" r="0" b="0" l="0"/>
            <wp:docPr id="1" name="diagrams/erd/m0_config_2.png" descr="م0 · الإعدادات والمهام الخلفية (2/3)" title="م0 · الإعدادات والمهام الخلفية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714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72"/>
        <w:gridCol w:w="2214"/>
        <w:gridCol w:w="2878"/>
        <w:gridCol w:w="1000"/>
        <w:gridCol w:w="1000"/>
        <w:gridCol w:w="1000"/>
        <w:gridCol w:w="1000"/>
      </w:tblGrid>
      <w:tr>
        <w:trPr>
          <w:cantSplit/>
          <w:tblHeader/>
        </w:trPr>
        <w:tc>
          <w:tcPr>
            <w:tcW w:type="dxa" w:w="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غير عمل؛ TenantId الفارغ = عطلة المنصة للقراءة فقط (FR-PLT-035، BR-PLT-014)</w:t>
            </w:r>
          </w:p>
        </w:tc>
        <w:tc>
          <w:tcPr>
            <w:tcW w:type="dxa" w:w="2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الصادرة؛ الملغى لا يُعاد استعماله (FR-PLT-026، BR-PLT-010)</w:t>
            </w:r>
          </w:p>
        </w:tc>
        <w:tc>
          <w:tcPr>
            <w:tcW w:type="dxa" w:w="2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لكل (تعريف، شركة اختيارية، فترة)؛ يُقفل صفه عند التخصيص داخل معاملة المستدعي (BR-PLT-010)</w:t>
            </w:r>
          </w:p>
        </w:tc>
        <w:tc>
          <w:tcPr>
            <w:tcW w:type="dxa" w:w="2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الترقيم بصيغة بوسوم مثل {seq:000}-{erp}-{yy} (FR-PLT-026)</w:t>
            </w:r>
          </w:p>
        </w:tc>
        <w:tc>
          <w:tcPr>
            <w:tcW w:type="dxa" w:w="2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5"/>
        <w:gridCol w:w="3069"/>
        <w:gridCol w:w="1000"/>
        <w:gridCol w:w="1000"/>
        <w:gridCol w:w="1000"/>
        <w:gridCol w:w="1000"/>
        <w:gridCol w:w="1000"/>
      </w:tblGrid>
      <w:tr>
        <w:trPr>
          <w:cantSplit/>
          <w:tblHeader/>
        </w:trPr>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م0 · الإعدادات والمهام الخلفية (3/3)</w:t>
      </w:r>
      <w:bookmarkEnd w:id="44"/>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1475"/>
            <wp:effectExtent t="0" r="0" b="0" l="0"/>
            <wp:docPr id="1" name="diagrams/erd/m0_config_3.png" descr="م0 · الإعدادات والمهام الخلفية (3/3)" title="م0 · الإعدادات والمهام الخلفية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71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42"/>
        <w:gridCol w:w="2627"/>
        <w:gridCol w:w="2495"/>
        <w:gridCol w:w="1000"/>
        <w:gridCol w:w="1000"/>
        <w:gridCol w:w="1000"/>
        <w:gridCol w:w="1000"/>
      </w:tblGrid>
      <w:tr>
        <w:trPr>
          <w:cantSplit/>
          <w:tblHeader/>
        </w:trPr>
        <w:tc>
          <w:tcPr>
            <w:tcW w:type="dxa" w:w="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تسليم مرة واحدة على الأقل؛ الحمولة معرّفات بلا بيانات مقيّدة (FR-PLT-042)</w:t>
            </w:r>
          </w:p>
        </w:tc>
        <w:tc>
          <w:tcPr>
            <w:tcW w:type="dxa" w:w="2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2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المُرقَّم لكل حزمة؛ تكرار التشغيل لا يكرر شيئًا (FR-PLT-008)</w:t>
            </w:r>
          </w:p>
        </w:tc>
        <w:tc>
          <w:tcPr>
            <w:tcW w:type="dxa" w:w="2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2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مفتاح إعداد بحدود المنصة الدنيا والقصوى (BR-PLT-018، FR-PLT-043)</w:t>
            </w:r>
          </w:p>
        </w:tc>
        <w:tc>
          <w:tcPr>
            <w:tcW w:type="dxa" w:w="2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2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سياسات الأمان والمهل والعتبات وwork.start/work.end (FR-PLT-043)</w:t>
            </w:r>
          </w:p>
        </w:tc>
        <w:tc>
          <w:tcPr>
            <w:tcW w:type="dxa" w:w="2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34"/>
        <w:gridCol w:w="1000"/>
        <w:gridCol w:w="1381"/>
        <w:gridCol w:w="1381"/>
        <w:gridCol w:w="1184"/>
        <w:gridCol w:w="1000"/>
        <w:gridCol w:w="1184"/>
      </w:tblGrid>
      <w:tr>
        <w:trPr>
          <w:cantSplit/>
          <w:tblHeader/>
        </w:trPr>
        <w:tc>
          <w:tcPr>
            <w:tcW w:type="dxa" w:w="2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10.4 م1 · الهيكل المؤسسي والأشخاص</w:t>
      </w:r>
      <w:bookmarkEnd w:id="45"/>
    </w:p>
    <w:p>
      <w:pPr>
        <w:pStyle w:val="Heading3"/>
        <w:bidi/>
      </w:pPr>
      <w:bookmarkStart w:name="_sec46" w:id="46"/>
      <w:r>
        <w:rPr>
          <w:rFonts w:ascii="Arial" w:cs="Arial" w:eastAsia="Arial" w:hAnsi="Arial"/>
          <w:b/>
          <w:bCs/>
          <w:color w:val="2B5C8A"/>
          <w:sz w:val="23"/>
          <w:szCs w:val="23"/>
          <w:rtl/>
        </w:rPr>
        <w:t xml:space="preserve">م1 · الشركات والحوكمة (1/2)</w:t>
      </w:r>
      <w:bookmarkEnd w:id="46"/>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24250"/>
            <wp:effectExtent t="0" r="0" b="0" l="0"/>
            <wp:docPr id="1" name="diagrams/erd/m1_company_1.png" descr="م1 · الشركات والحوكمة (1/2)" title="م1 · الشركات والحوكم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524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537"/>
        <w:gridCol w:w="2387"/>
        <w:gridCol w:w="1000"/>
        <w:gridCol w:w="1000"/>
        <w:gridCol w:w="1000"/>
        <w:gridCol w:w="1000"/>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جذر الهيكل المؤسسي (FR-ORG-001..010، BR-ORG-001..004)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ضريبة بتاريخ سريان؛ CompanyId فارغ = افتراضي المشترك (FR-ORG-007، BR-ORG-005)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(FR-ORG-014، BR-ORG-016، Q-ORG-09: على مستوى المشترك وشركة اختيارية)</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ملكية بتاريخ سريان؛ المالك Party فرد أو جهة (FR-ORG-015..018، BR-ORG-006..008، G-7)</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6"/>
        <w:gridCol w:w="2258"/>
        <w:gridCol w:w="1000"/>
        <w:gridCol w:w="1000"/>
        <w:gridCol w:w="1000"/>
        <w:gridCol w:w="1000"/>
        <w:gridCol w:w="1000"/>
      </w:tblGrid>
      <w:tr>
        <w:trPr>
          <w:cantSplit/>
          <w:tblHeader/>
        </w:trPr>
        <w:tc>
          <w:tcPr>
            <w:tcW w:type="dxa" w:w="26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7" w:id="47"/>
      <w:r>
        <w:rPr>
          <w:rFonts w:ascii="Arial" w:cs="Arial" w:eastAsia="Arial" w:hAnsi="Arial"/>
          <w:b/>
          <w:bCs/>
          <w:color w:val="2B5C8A"/>
          <w:sz w:val="23"/>
          <w:szCs w:val="23"/>
          <w:rtl/>
        </w:rPr>
        <w:t xml:space="preserve">م1 · الشركات والحوكمة (2/2)</w:t>
      </w:r>
      <w:bookmarkEnd w:id="47"/>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228975" cy="8191500"/>
            <wp:effectExtent t="0" r="0" b="0" l="0"/>
            <wp:docPr id="1" name="diagrams/erd/m1_company_2.png" descr="م1 · الشركات والحوكمة (2/2)" title="م1 · الشركات والحوكم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2289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537"/>
        <w:gridCol w:w="2387"/>
        <w:gridCol w:w="1000"/>
        <w:gridCol w:w="1000"/>
        <w:gridCol w:w="1000"/>
        <w:gridCol w:w="1000"/>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حوكمة (FR-ORG-019، BR-ORG-009)</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عضوية في هيئة (FR-ORG-020، FR-ORG-021، BR-ORG-010)</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تفويض/منحة صلاحية لشركة (FR-ORG-023..028، BR-ORG-011..014)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37"/>
        <w:gridCol w:w="2018"/>
        <w:gridCol w:w="1000"/>
        <w:gridCol w:w="1000"/>
        <w:gridCol w:w="1000"/>
        <w:gridCol w:w="1000"/>
        <w:gridCol w:w="1009"/>
      </w:tblGrid>
      <w:tr>
        <w:trPr>
          <w:cantSplit/>
          <w:tblHeader/>
        </w:trPr>
        <w:tc>
          <w:tcPr>
            <w:tcW w:type="dxa" w:w="2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8" w:id="48"/>
      <w:r>
        <w:rPr>
          <w:rFonts w:ascii="Arial" w:cs="Arial" w:eastAsia="Arial" w:hAnsi="Arial"/>
          <w:b/>
          <w:bCs/>
          <w:color w:val="2B5C8A"/>
          <w:sz w:val="23"/>
          <w:szCs w:val="23"/>
          <w:rtl/>
        </w:rPr>
        <w:t xml:space="preserve">م1 · ملف الشركة و KYC (1/2)</w:t>
      </w:r>
      <w:bookmarkEnd w:id="48"/>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05050"/>
            <wp:effectExtent t="0" r="0" b="0" l="0"/>
            <wp:docPr id="1" name="diagrams/erd/m1_company_kyc_1.png" descr="م1 · ملف الشركة و KYC (1/2)" title="م1 · ملف الشركة و KY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2305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771"/>
        <w:gridCol w:w="3100"/>
        <w:gridCol w:w="1000"/>
        <w:gridCol w:w="1000"/>
        <w:gridCol w:w="1000"/>
        <w:gridCol w:w="100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3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الشركة 1:1 (G-1)</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1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فرع/مستودع/تابعة خارج الحساب كنص (G-3)</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المالي KYC بتاريخ سريان: شريحة الإيرادات والغرض (G-4)</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1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الحركة المتوقعة الشهرية CTP: اتجاه × 5 بنود (G-4)</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49"/>
        <w:gridCol w:w="2715"/>
        <w:gridCol w:w="1000"/>
        <w:gridCol w:w="1000"/>
        <w:gridCol w:w="1000"/>
        <w:gridCol w:w="1000"/>
        <w:gridCol w:w="1000"/>
      </w:tblGrid>
      <w:tr>
        <w:trPr>
          <w:cantSplit/>
          <w:tblHeader/>
        </w:trPr>
        <w:tc>
          <w:tcPr>
            <w:tcW w:type="dxa" w:w="21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 w:id="49"/>
      <w:r>
        <w:rPr>
          <w:rFonts w:ascii="Arial" w:cs="Arial" w:eastAsia="Arial" w:hAnsi="Arial"/>
          <w:b/>
          <w:bCs/>
          <w:color w:val="2B5C8A"/>
          <w:sz w:val="23"/>
          <w:szCs w:val="23"/>
          <w:rtl/>
        </w:rPr>
        <w:t xml:space="preserve">م1 · ملف الشركة و KYC (2/2)</w:t>
      </w:r>
      <w:bookmarkEnd w:id="49"/>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00100"/>
            <wp:effectExtent t="0" r="0" b="0" l="0"/>
            <wp:docPr id="1" name="diagrams/erd/m1_company_kyc_2.png" descr="م1 · ملف الشركة و KYC (2/2)" title="م1 · ملف الشركة و KY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72"/>
        <w:gridCol w:w="2130"/>
        <w:gridCol w:w="2662"/>
        <w:gridCol w:w="1000"/>
        <w:gridCol w:w="1000"/>
        <w:gridCol w:w="1000"/>
        <w:gridCol w:w="1000"/>
      </w:tblGrid>
      <w:tr>
        <w:trPr>
          <w:cantSplit/>
          <w:tblHeader/>
        </w:trPr>
        <w:tc>
          <w:tcPr>
            <w:tcW w:type="dxa" w:w="1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2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الأموال والثروة: قائمة متعددة (G-4)</w:t>
            </w:r>
          </w:p>
        </w:tc>
        <w:tc>
          <w:tcPr>
            <w:tcW w:type="dxa" w:w="2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FinancialProfileId, WealthSourceId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2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إفصاحات الشركة (G-5)</w:t>
            </w:r>
          </w:p>
        </w:tc>
        <w:tc>
          <w:tcPr>
            <w:tcW w:type="dxa" w:w="2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2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أصحاب العلاقة: مدققون، مستشار قانوني، جهات تنظيمية، أبرز العملاء/الموردين (G-6)</w:t>
            </w:r>
          </w:p>
        </w:tc>
        <w:tc>
          <w:tcPr>
            <w:tcW w:type="dxa" w:w="2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6"/>
        <w:gridCol w:w="2818"/>
        <w:gridCol w:w="1000"/>
        <w:gridCol w:w="1000"/>
        <w:gridCol w:w="1000"/>
        <w:gridCol w:w="1000"/>
        <w:gridCol w:w="1000"/>
      </w:tblGrid>
      <w:tr>
        <w:trPr>
          <w:cantSplit/>
          <w:tblHeader/>
        </w:trPr>
        <w:tc>
          <w:tcPr>
            <w:tcW w:type="dxa" w:w="2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م1 · الأشخاص والهوية و KYC (1/3)</w:t>
      </w:r>
      <w:bookmarkEnd w:id="50"/>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71650"/>
            <wp:effectExtent t="0" r="0" b="0" l="0"/>
            <wp:docPr id="1" name="diagrams/erd/m1_party_1.png" descr="م1 · الأشخاص والهوية و KYC (1/3)" title="م1 · الأشخاص والهوية و KY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2093"/>
        <w:gridCol w:w="2832"/>
        <w:gridCol w:w="1000"/>
        <w:gridCol w:w="1000"/>
        <w:gridCol w:w="1000"/>
        <w:gridCol w:w="1000"/>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2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متعدد الملكية: OwnerType+OwnerId بلا FK (مزوّد المالك يتحقق منه التطبيق) (FR-PTY-011، BR-PTY-015)</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2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متعددة الملكية (FR-PTY-012، BR-PTY-015)</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2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مخصص (FR-PTY-013، BR-PTY-014)</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الرقم مشفّر والصور مستندات مقيَّدة (FR-PTY-004..009، FR-PTY-020..022، BR-PTY-002..008)</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42"/>
        <w:gridCol w:w="2013"/>
        <w:gridCol w:w="1000"/>
        <w:gridCol w:w="1000"/>
        <w:gridCol w:w="1000"/>
        <w:gridCol w:w="1000"/>
        <w:gridCol w:w="1409"/>
      </w:tblGrid>
      <w:tr>
        <w:trPr>
          <w:cantSplit/>
          <w:tblHeader/>
        </w:trPr>
        <w:tc>
          <w:tcPr>
            <w:tcW w:type="dxa" w:w="24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24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24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م1 · الأشخاص والهوية و KYC (2/3)</w:t>
      </w:r>
      <w:bookmarkEnd w:id="51"/>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238875"/>
            <wp:effectExtent t="0" r="0" b="0" l="0"/>
            <wp:docPr id="1" name="diagrams/erd/m1_party_2.png" descr="م1 · الأشخاص والهوية و KYC (2/3)" title="م1 · الأشخاص والهوية و KY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6238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8"/>
        <w:gridCol w:w="2203"/>
        <w:gridCol w:w="2203"/>
        <w:gridCol w:w="1000"/>
        <w:gridCol w:w="1000"/>
        <w:gridCol w:w="1000"/>
        <w:gridCol w:w="1000"/>
      </w:tblGrid>
      <w:tr>
        <w:trPr>
          <w:cantSplit/>
          <w:tblHeader/>
        </w:trPr>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KYC لكل بنك ودور (FR-PTY-023، BR-PTY-012..013، G-8، G-14)</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اكتمال (FR-PTY-023، FR-PTY-024، G-14)</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ظهور البند بحسب الشكل القانوني؛ غياب الصفوف = ينطبق على الكل (G-15)</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KycProfileItemId, LegalEntityTypeId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أو جهة؛ لا دور مخزَّن (FR-PTY-001..003، BR-PTY-001..004، BR-PTY-016..018)</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2"/>
        <w:gridCol w:w="1932"/>
        <w:gridCol w:w="1000"/>
        <w:gridCol w:w="1000"/>
        <w:gridCol w:w="1000"/>
        <w:gridCol w:w="1000"/>
        <w:gridCol w:w="1000"/>
      </w:tblGrid>
      <w:tr>
        <w:trPr>
          <w:cantSplit/>
          <w:tblHeader/>
        </w:trPr>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1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1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1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‎pty.Party.LinkedCompanyId‎</w:t>
            </w:r>
          </w:p>
        </w:tc>
        <w:tc>
          <w:tcPr>
            <w:tcW w:type="dxa" w:w="1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1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م1 · الأشخاص والهوية و KYC (3/3)</w:t>
      </w:r>
      <w:bookmarkEnd w:id="52"/>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9675"/>
            <wp:effectExtent t="0" r="0" b="0" l="0"/>
            <wp:docPr id="1" name="diagrams/erd/m1_party_3.png" descr="م1 · الأشخاص والهوية و KYC (3/3)" title="م1 · الأشخاص والهوية و KY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209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9"/>
        <w:gridCol w:w="1818"/>
        <w:gridCol w:w="2727"/>
        <w:gridCol w:w="1000"/>
        <w:gridCol w:w="1000"/>
        <w:gridCol w:w="1000"/>
        <w:gridCol w:w="1000"/>
      </w:tblGrid>
      <w:tr>
        <w:trPr>
          <w:cantSplit/>
          <w:tblHeader/>
        </w:trPr>
        <w:tc>
          <w:tcPr>
            <w:tcW w:type="dxa" w:w="13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1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امتثال بتاريخ لكل شخص بصفته: PEP، عقوبات، تحقيقات، حصانة (G-9)</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1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مخصص لشخص (FR-PTY-013، FR-PTY-014)</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1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 والإقرار الضريبي FATCA/CRS (G-13)</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466"/>
        <w:gridCol w:w="1000"/>
        <w:gridCol w:w="1000"/>
        <w:gridCol w:w="1000"/>
        <w:gridCol w:w="1000"/>
        <w:gridCol w:w="1282"/>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3" w:id="53"/>
      <w:r>
        <w:rPr>
          <w:rFonts w:ascii="Arial" w:cs="Arial" w:eastAsia="Arial" w:hAnsi="Arial"/>
          <w:b/>
          <w:bCs/>
          <w:color w:val="2B5C8A"/>
          <w:sz w:val="26"/>
          <w:szCs w:val="26"/>
          <w:rtl/>
        </w:rPr>
        <w:t xml:space="preserve">10.5 م2–م3 · الجهات المالية والحسابات</w:t>
      </w:r>
      <w:bookmarkEnd w:id="53"/>
    </w:p>
    <w:p>
      <w:pPr>
        <w:pStyle w:val="Heading3"/>
        <w:bidi/>
      </w:pPr>
      <w:bookmarkStart w:name="_sec54" w:id="54"/>
      <w:r>
        <w:rPr>
          <w:rFonts w:ascii="Arial" w:cs="Arial" w:eastAsia="Arial" w:hAnsi="Arial"/>
          <w:b/>
          <w:bCs/>
          <w:color w:val="2B5C8A"/>
          <w:sz w:val="23"/>
          <w:szCs w:val="23"/>
          <w:rtl/>
        </w:rPr>
        <w:t xml:space="preserve">م2–م3 · الجهات المالية والحسابات والمفوّضون (1/3)</w:t>
      </w:r>
      <w:bookmarkEnd w:id="54"/>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0"/>
            <wp:effectExtent t="0" r="0" b="0" l="0"/>
            <wp:docPr id="1" name="diagrams/erd/m2_3_institutions_1.png" descr="م2–م3 · الجهات المالية والحسابات والمفوّضون (1/3)" title="م2–م3 · الجهات المالية والحسابات والمفوّض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6381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9"/>
        <w:gridCol w:w="2673"/>
        <w:gridCol w:w="2392"/>
        <w:gridCol w:w="1000"/>
        <w:gridCol w:w="1000"/>
        <w:gridCol w:w="1000"/>
        <w:gridCol w:w="1000"/>
      </w:tblGrid>
      <w:tr>
        <w:trPr>
          <w:cantSplit/>
          <w:tblHeader/>
        </w:trPr>
        <w:tc>
          <w:tcPr>
            <w:tcW w:type="dxa" w:w="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لدى البنك: سجل خفيف بلا هوية، PartyId اختياري للترقية (FR-INS-007/008، BR-INS-005/006/014)</w:t>
            </w:r>
          </w:p>
        </w:tc>
        <w:tc>
          <w:tcPr>
            <w:tcW w:type="dxa" w:w="2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 (FR-INS-001..004، BR-INS-001..003، BR-INS-012)؛ Locality محلي/أجنبي مشتقة (BR-INS-002) فلا تُخزَّن</w:t>
            </w:r>
          </w:p>
        </w:tc>
        <w:tc>
          <w:tcPr>
            <w:tcW w:type="dxa" w:w="2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هيكل المنشأة: إدارة/قسم/فرع، شجرة ذاتية حتى 4 مستويات (FR-INS-005/006، BR-INS-004)</w:t>
            </w:r>
          </w:p>
        </w:tc>
        <w:tc>
          <w:tcPr>
            <w:tcW w:type="dxa" w:w="2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شركة–منشأة (D-4)؛ فريدة مهما كانت حالتها (FR-INS-009، BR-INS-007/011)</w:t>
            </w:r>
          </w:p>
        </w:tc>
        <w:tc>
          <w:tcPr>
            <w:tcW w:type="dxa" w:w="2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7"/>
        <w:gridCol w:w="2082"/>
        <w:gridCol w:w="1000"/>
        <w:gridCol w:w="1000"/>
        <w:gridCol w:w="1000"/>
        <w:gridCol w:w="1000"/>
        <w:gridCol w:w="1425"/>
      </w:tblGrid>
      <w:tr>
        <w:trPr>
          <w:cantSplit/>
          <w:tblHeader/>
        </w:trPr>
        <w:tc>
          <w:tcPr>
            <w:tcW w:type="dxa" w:w="2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2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2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2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2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2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2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2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2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2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2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2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2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5" w:id="55"/>
      <w:r>
        <w:rPr>
          <w:rFonts w:ascii="Arial" w:cs="Arial" w:eastAsia="Arial" w:hAnsi="Arial"/>
          <w:b/>
          <w:bCs/>
          <w:color w:val="2B5C8A"/>
          <w:sz w:val="23"/>
          <w:szCs w:val="23"/>
          <w:rtl/>
        </w:rPr>
        <w:t xml:space="preserve">م2–م3 · الجهات المالية والحسابات والمفوّضون (2/3)</w:t>
      </w:r>
      <w:bookmarkEnd w:id="55"/>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47900"/>
            <wp:effectExtent t="0" r="0" b="0" l="0"/>
            <wp:docPr id="1" name="diagrams/erd/m2_3_institutions_2.png" descr="م2–م3 · الجهات المالية والحسابات والمفوّضون (2/3)" title="م2–م3 · الجهات المالية والحسابات والمفوّض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2247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2203"/>
        <w:gridCol w:w="2722"/>
        <w:gridCol w:w="1000"/>
        <w:gridCol w:w="1000"/>
        <w:gridCol w:w="1000"/>
        <w:gridCol w:w="1000"/>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جهة اتصال بدور ورتبة وفترة (FR-INS-010، BR-INS-008/009)</w:t>
            </w:r>
          </w:p>
        </w:tc>
        <w:tc>
          <w:tcPr>
            <w:tcW w:type="dxa" w:w="2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يُتعامل به ضمن علاقة مع جهة افتراضية وقناة (FR-INS-011..013، BR-INS-010)</w:t>
            </w:r>
          </w:p>
        </w:tc>
        <w:tc>
          <w:tcPr>
            <w:tcW w:type="dxa" w:w="2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صلاحية المفوّض بالحوكمة وقرار المراجع (S1-ب) (FR-ACC-018، BR-ACC-015)</w:t>
            </w:r>
          </w:p>
        </w:tc>
        <w:tc>
          <w:tcPr>
            <w:tcW w:type="dxa" w:w="2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شركة لدى منشأة (FR-ACC-001..009، BR-ACC-001..006، BR-ACC-016)؛ الرقم وIBAN مشفّران بفهرس أعمى للفرادة</w:t>
            </w:r>
          </w:p>
        </w:tc>
        <w:tc>
          <w:tcPr>
            <w:tcW w:type="dxa" w:w="2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6"/>
        <w:gridCol w:w="2107"/>
        <w:gridCol w:w="1000"/>
        <w:gridCol w:w="1000"/>
        <w:gridCol w:w="1000"/>
        <w:gridCol w:w="1000"/>
        <w:gridCol w:w="1341"/>
      </w:tblGrid>
      <w:tr>
        <w:trPr>
          <w:cantSplit/>
          <w:tblHeader/>
        </w:trPr>
        <w:tc>
          <w:tcPr>
            <w:tcW w:type="dxa" w:w="2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bl>
    <w:p>
      <w:pPr>
        <w:bidi/>
        <w:spacing w:after="120" w:before="0"/>
      </w:pPr>
    </w:p>
    <w:p>
      <w:pPr>
        <w:pStyle w:val="Heading3"/>
        <w:bidi/>
      </w:pPr>
      <w:bookmarkStart w:name="_sec56" w:id="56"/>
      <w:r>
        <w:rPr>
          <w:rFonts w:ascii="Arial" w:cs="Arial" w:eastAsia="Arial" w:hAnsi="Arial"/>
          <w:b/>
          <w:bCs/>
          <w:color w:val="2B5C8A"/>
          <w:sz w:val="23"/>
          <w:szCs w:val="23"/>
          <w:rtl/>
        </w:rPr>
        <w:t xml:space="preserve">م2–م3 · الجهات المالية والحسابات والمفوّضون (3/3)</w:t>
      </w:r>
      <w:bookmarkEnd w:id="56"/>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5686425" cy="8191500"/>
            <wp:effectExtent t="0" r="0" b="0" l="0"/>
            <wp:docPr id="1" name="diagrams/erd/m2_3_institutions_3.png" descr="م2–م3 · الجهات المالية والحسابات والمفوّضون (3/3)" title="م2–م3 · الجهات المالية والحسابات والمفوّض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86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4"/>
        <w:gridCol w:w="2239"/>
        <w:gridCol w:w="2351"/>
        <w:gridCol w:w="1000"/>
        <w:gridCol w:w="1000"/>
        <w:gridCol w:w="1000"/>
        <w:gridCol w:w="1000"/>
      </w:tblGrid>
      <w:tr>
        <w:trPr>
          <w:cantSplit/>
          <w:tblHeader/>
        </w:trPr>
        <w:tc>
          <w:tcPr>
            <w:tcW w:type="dxa" w:w="1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2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حساب بتسهيل بغرض (S2) (FR-ACC-010، BR-ACC-007)؛ يُملأ من شاشة التسهيل</w:t>
            </w:r>
          </w:p>
        </w:tc>
        <w:tc>
          <w:tcPr>
            <w:tcW w:type="dxa" w:w="2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شخص لدى علاقة (S1-ب) (FR-ACC-012، FR-ACC-023، BR-ACC-008/009) + إضافات docs/05 G-10</w:t>
            </w:r>
          </w:p>
        </w:tc>
        <w:tc>
          <w:tcPr>
            <w:tcW w:type="dxa" w:w="2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لعملية على حساب أو على البنك (S1-ب) (FR-ACC-013/014/017، BR-ACC-010/011)؛ لا تعديل في مكانه: الإغلاق والفتح؛ حالتها مشتقة فلا تُخزَّن</w:t>
            </w:r>
          </w:p>
        </w:tc>
        <w:tc>
          <w:tcPr>
            <w:tcW w:type="dxa" w:w="2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2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التوقيع المطلوبة للتوقيع المشترك (JointClassIds) (BR-ACC-013)</w:t>
            </w:r>
          </w:p>
        </w:tc>
        <w:tc>
          <w:tcPr>
            <w:tcW w:type="dxa" w:w="2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SignatoryAuthorityId, SignatureClassId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9"/>
        <w:gridCol w:w="1904"/>
        <w:gridCol w:w="1000"/>
        <w:gridCol w:w="1000"/>
        <w:gridCol w:w="1000"/>
        <w:gridCol w:w="1000"/>
        <w:gridCol w:w="1211"/>
      </w:tblGrid>
      <w:tr>
        <w:trPr>
          <w:cantSplit/>
          <w:tblHeader/>
        </w:trPr>
        <w:tc>
          <w:tcPr>
            <w:tcW w:type="dxa" w:w="2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7" w:id="57"/>
      <w:r>
        <w:rPr>
          <w:rFonts w:ascii="Arial" w:cs="Arial" w:eastAsia="Arial" w:hAnsi="Arial"/>
          <w:b/>
          <w:bCs/>
          <w:color w:val="2B5C8A"/>
          <w:sz w:val="26"/>
          <w:szCs w:val="26"/>
          <w:rtl/>
        </w:rPr>
        <w:t xml:space="preserve">10.6 م4 · الكتالوجات والمراجع</w:t>
      </w:r>
      <w:bookmarkEnd w:id="57"/>
    </w:p>
    <w:p>
      <w:pPr>
        <w:pStyle w:val="Heading3"/>
        <w:bidi/>
      </w:pPr>
      <w:bookmarkStart w:name="_sec58" w:id="58"/>
      <w:r>
        <w:rPr>
          <w:rFonts w:ascii="Arial" w:cs="Arial" w:eastAsia="Arial" w:hAnsi="Arial"/>
          <w:b/>
          <w:bCs/>
          <w:color w:val="2B5C8A"/>
          <w:sz w:val="23"/>
          <w:szCs w:val="23"/>
          <w:rtl/>
        </w:rPr>
        <w:t xml:space="preserve">م4 · المنتجات والرسوم والتمويل والضمانات (1/3)</w:t>
      </w:r>
      <w:bookmarkEnd w:id="58"/>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0225"/>
            <wp:effectExtent t="0" r="0" b="0" l="0"/>
            <wp:docPr id="1" name="diagrams/erd/m4_products_1.png" descr="م4 · المنتجات والرسوم والتمويل والضمانات (1/3)" title="م4 · المنتجات والرسوم والتمويل والضمان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1"/>
        <w:gridCol w:w="1876"/>
        <w:gridCol w:w="2657"/>
        <w:gridCol w:w="1000"/>
        <w:gridCol w:w="1000"/>
        <w:gridCol w:w="1000"/>
        <w:gridCol w:w="1000"/>
      </w:tblGrid>
      <w:tr>
        <w:trPr>
          <w:cantSplit/>
          <w:tblHeader/>
        </w:trPr>
        <w:tc>
          <w:tcPr>
            <w:tcW w:type="dxa" w:w="1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المنتجات: مسطّح (FR-CAT-007)</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البنكي بأعلامه (FR-CAT-007، BR-CAT-004)</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1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المصروف: فئة عريضة لا بند تعرفة (FR-CAT-008، BR-CAT-005، Q-CAT-10)</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التمويل (FR-CAT-009، BR-CAT-006)</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2372"/>
        <w:gridCol w:w="1000"/>
        <w:gridCol w:w="1000"/>
        <w:gridCol w:w="1000"/>
        <w:gridCol w:w="1000"/>
        <w:gridCol w:w="1000"/>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م4 · المنتجات والرسوم والتمويل والضمانات (2/3)</w:t>
      </w:r>
      <w:bookmarkEnd w:id="59"/>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409700"/>
            <wp:effectExtent t="0" r="0" b="0" l="0"/>
            <wp:docPr id="1" name="diagrams/erd/m4_products_2.png" descr="م4 · المنتجات والرسوم والتمويل والضمانات (2/3)" title="م4 · المنتجات والرسوم والتمويل والضمان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7"/>
        <w:gridCol w:w="1619"/>
        <w:gridCol w:w="2968"/>
        <w:gridCol w:w="1000"/>
        <w:gridCol w:w="1000"/>
        <w:gridCol w:w="1000"/>
        <w:gridCol w:w="1000"/>
      </w:tblGrid>
      <w:tr>
        <w:trPr>
          <w:cantSplit/>
          <w:tblHeader/>
        </w:trPr>
        <w:tc>
          <w:tcPr>
            <w:tcW w:type="dxa" w:w="12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المسموحة للمنتج؛ تعطيل الربط = حذفه ولا يمس قواعد تسعير قائمة (FR-CAT-010، BR-CAT-007)</w:t>
            </w:r>
          </w:p>
        </w:tc>
        <w:tc>
          <w:tcPr>
            <w:tcW w:type="dxa" w:w="2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المسموحة للمنتج (FR-CAT-010، BR-CAT-007)</w:t>
            </w:r>
          </w:p>
        </w:tc>
        <w:tc>
          <w:tcPr>
            <w:tcW w:type="dxa" w:w="2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التسهيل (FR-CAT-011)</w:t>
            </w:r>
          </w:p>
        </w:tc>
        <w:tc>
          <w:tcPr>
            <w:tcW w:type="dxa" w:w="2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الحد: رئيسي/جزئي (FR-CAT-012، BR-CAT-008)</w:t>
            </w:r>
          </w:p>
        </w:tc>
        <w:tc>
          <w:tcPr>
            <w:tcW w:type="dxa" w:w="2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8"/>
        <w:gridCol w:w="1906"/>
        <w:gridCol w:w="1000"/>
        <w:gridCol w:w="1000"/>
        <w:gridCol w:w="1000"/>
        <w:gridCol w:w="1000"/>
        <w:gridCol w:w="1000"/>
      </w:tblGrid>
      <w:tr>
        <w:trPr>
          <w:cantSplit/>
          <w:tblHeader/>
        </w:trPr>
        <w:tc>
          <w:tcPr>
            <w:tcW w:type="dxa" w:w="2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1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1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1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1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0" w:id="60"/>
      <w:r>
        <w:rPr>
          <w:rFonts w:ascii="Arial" w:cs="Arial" w:eastAsia="Arial" w:hAnsi="Arial"/>
          <w:b/>
          <w:bCs/>
          <w:color w:val="2B5C8A"/>
          <w:sz w:val="23"/>
          <w:szCs w:val="23"/>
          <w:rtl/>
        </w:rPr>
        <w:t xml:space="preserve">م4 · المنتجات والرسوم والتمويل والضمانات (3/3)</w:t>
      </w:r>
      <w:bookmarkEnd w:id="60"/>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00275"/>
            <wp:effectExtent t="0" r="0" b="0" l="0"/>
            <wp:docPr id="1" name="diagrams/erd/m4_products_3.png" descr="م4 · المنتجات والرسوم والتمويل والضمانات (3/3)" title="م4 · المنتجات والرسوم والتمويل والضمان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2200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1"/>
        <w:gridCol w:w="1496"/>
        <w:gridCol w:w="3117"/>
        <w:gridCol w:w="1000"/>
        <w:gridCol w:w="1000"/>
        <w:gridCol w:w="1000"/>
        <w:gridCol w:w="1000"/>
      </w:tblGrid>
      <w:tr>
        <w:trPr>
          <w:cantSplit/>
          <w:tblHeader/>
        </w:trPr>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31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المسموحة لنوع الحد؛ غياب الصفوف = أي منتج بعلامة ظاهرة (BR-CAT-008)</w:t>
            </w:r>
          </w:p>
        </w:tc>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LimitTypeId, ProductId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الضمان بنوع بنية وقالب سمات (FR-CAT-013)</w:t>
            </w:r>
          </w:p>
        </w:tc>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سمة في قالب نوع الضمان؛ لا تُحذف بل تُرمَّز Retired (BR-CAT-009)</w:t>
            </w:r>
          </w:p>
        </w:tc>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الالتزام بأربع عائلات (FR-CAT-014، BR-CAT-010)</w:t>
            </w:r>
          </w:p>
        </w:tc>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5"/>
        <w:gridCol w:w="1909"/>
        <w:gridCol w:w="1000"/>
        <w:gridCol w:w="1000"/>
        <w:gridCol w:w="1000"/>
        <w:gridCol w:w="1000"/>
        <w:gridCol w:w="1000"/>
      </w:tblGrid>
      <w:tr>
        <w:trPr>
          <w:cantSplit/>
          <w:tblHeader/>
        </w:trPr>
        <w:tc>
          <w:tcPr>
            <w:tcW w:type="dxa" w:w="2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1" w:id="61"/>
      <w:r>
        <w:rPr>
          <w:rFonts w:ascii="Arial" w:cs="Arial" w:eastAsia="Arial" w:hAnsi="Arial"/>
          <w:b/>
          <w:bCs/>
          <w:color w:val="2B5C8A"/>
          <w:sz w:val="23"/>
          <w:szCs w:val="23"/>
          <w:rtl/>
        </w:rPr>
        <w:t xml:space="preserve">م4 · الكتالوجات المرجعية (1/2)</w:t>
      </w:r>
      <w:bookmarkEnd w:id="61"/>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42925"/>
            <wp:effectExtent t="0" r="0" b="0" l="0"/>
            <wp:docPr id="1" name="diagrams/erd/m4_reference_1.png" descr="م4 · الكتالوجات المرجعية (1/2)" title="م4 · الكتالوجات المرجع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4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9"/>
        <w:gridCol w:w="2298"/>
        <w:gridCol w:w="2517"/>
        <w:gridCol w:w="1000"/>
        <w:gridCol w:w="1000"/>
        <w:gridCol w:w="1000"/>
        <w:gridCol w:w="1000"/>
      </w:tblGrid>
      <w:tr>
        <w:trPr>
          <w:cantSplit/>
          <w:tblHeader/>
        </w:trPr>
        <w:tc>
          <w:tcPr>
            <w:tcW w:type="dxa" w:w="1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العملات المفعّلة للمشترك: تفعيل مجموعة جزئية من المرجع العالمي (FR-CAT-023، Q-CAT-08)</w:t>
            </w:r>
          </w:p>
        </w:tc>
        <w:tc>
          <w:tcPr>
            <w:tcW w:type="dxa" w:w="2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CurrencyId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المنشأة المالية: بنك، شركة تمويل، استثمارية، مالية، فرد (FR-INS-001)</w:t>
            </w:r>
          </w:p>
        </w:tc>
        <w:tc>
          <w:tcPr>
            <w:tcW w:type="dxa" w:w="2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الحساب (FR-ACC-001)</w:t>
            </w:r>
          </w:p>
        </w:tc>
        <w:tc>
          <w:tcPr>
            <w:tcW w:type="dxa" w:w="2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 الكيان وسماته يعرّفها 10 (FR-ORG-002، BR-CAT-017) وتبذره هذه الوحدة؛ أعمدة الكتالوج مكتوبة يدويًا لأن فرادة الرمز بالدولة (10 §6.2) لا فرادته وحده</w:t>
            </w:r>
          </w:p>
        </w:tc>
        <w:tc>
          <w:tcPr>
            <w:tcW w:type="dxa" w:w="2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0"/>
        <w:gridCol w:w="1644"/>
        <w:gridCol w:w="1000"/>
        <w:gridCol w:w="1000"/>
        <w:gridCol w:w="1000"/>
        <w:gridCol w:w="1000"/>
        <w:gridCol w:w="1000"/>
      </w:tblGrid>
      <w:tr>
        <w:trPr>
          <w:cantSplit/>
          <w:tblHeader/>
        </w:trPr>
        <w:tc>
          <w:tcPr>
            <w:tcW w:type="dxa" w:w="3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م4 · الكتالوجات المرجعية (2/2)</w:t>
      </w:r>
      <w:bookmarkEnd w:id="62"/>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61975"/>
            <wp:effectExtent t="0" r="0" b="0" l="0"/>
            <wp:docPr id="1" name="diagrams/erd/m4_reference_2.png" descr="م4 · الكتالوجات المرجعية (2/2)" title="م4 · الكتالوجات المرجع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56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9"/>
        <w:gridCol w:w="2123"/>
        <w:gridCol w:w="2402"/>
        <w:gridCol w:w="1000"/>
        <w:gridCol w:w="1000"/>
        <w:gridCol w:w="1000"/>
        <w:gridCol w:w="1000"/>
      </w:tblGrid>
      <w:tr>
        <w:trPr>
          <w:cantSplit/>
          <w:tblHeader/>
        </w:trPr>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الوثيقة؛ يطبّق 10 أعلامه عند الرفع (FR-CAT-018، BR-CAT-016، FR-PLT-028)</w:t>
            </w:r>
          </w:p>
        </w:tc>
        <w:tc>
          <w:tcPr>
            <w:tcW w:type="dxa" w:w="2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المنصب: السمات يعرّفها 10 §6.2 وحده وتبذر هذه الوحدة صفوفه (FR-CAT-019، BR-CAT-017)؛ SortOrder من أساس الكتالوج</w:t>
            </w:r>
          </w:p>
        </w:tc>
        <w:tc>
          <w:tcPr>
            <w:tcW w:type="dxa" w:w="2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الصلاحية: السمات يعرّفها 10 §6.2 وحده وتبذر هذه الوحدة صفوفه (FR-CAT-019، FR-ORG-024)</w:t>
            </w:r>
          </w:p>
        </w:tc>
        <w:tc>
          <w:tcPr>
            <w:tcW w:type="dxa" w:w="2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34"/>
        <w:gridCol w:w="1000"/>
        <w:gridCol w:w="1381"/>
        <w:gridCol w:w="1381"/>
        <w:gridCol w:w="1184"/>
        <w:gridCol w:w="1000"/>
        <w:gridCol w:w="1184"/>
      </w:tblGrid>
      <w:tr>
        <w:trPr>
          <w:cantSplit/>
          <w:tblHeader/>
        </w:trPr>
        <w:tc>
          <w:tcPr>
            <w:tcW w:type="dxa" w:w="2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3" w:id="63"/>
      <w:r>
        <w:rPr>
          <w:rFonts w:ascii="Arial" w:cs="Arial" w:eastAsia="Arial" w:hAnsi="Arial"/>
          <w:b/>
          <w:bCs/>
          <w:color w:val="2B5C8A"/>
          <w:sz w:val="23"/>
          <w:szCs w:val="23"/>
          <w:rtl/>
        </w:rPr>
        <w:t xml:space="preserve">م4 · الأسعار المرجعية والقوائم (1/2)</w:t>
      </w:r>
      <w:bookmarkEnd w:id="63"/>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33775"/>
            <wp:effectExtent t="0" r="0" b="0" l="0"/>
            <wp:docPr id="1" name="diagrams/erd/m4_rates_lookups_1.png" descr="م4 · الأسعار المرجعية والقوائم (1/2)" title="م4 · الأسعار المرجعية والقوائم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35337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2"/>
        <w:gridCol w:w="1942"/>
        <w:gridCol w:w="2220"/>
        <w:gridCol w:w="1000"/>
        <w:gridCol w:w="1000"/>
        <w:gridCol w:w="1000"/>
        <w:gridCol w:w="1000"/>
      </w:tblGrid>
      <w:tr>
        <w:trPr>
          <w:cantSplit/>
          <w:tblHeader/>
        </w:trPr>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العملية البنكية المفوَّض بها (FR-ACC-013، BR-CAT-014)</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عملية بنوع/أنواع صلاحية حوكمة؛ «أي واحد يكفي» (BR-CAT-014، FR-CAT-019، Q-ACC-05)</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OperationTypeId, PowerTypeId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سوق (InstitutionId فارغ) أو داخلي لبنك (FR-CAT-015، BR-CAT-011)؛ الأسماء البديلة في BaseRateAlias</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بديل لسعر أساس (SIBOR ≡ SAIBOR) بحث بلا حساسية حالة وفريد ضمن النطاق (BR-CAT-011، FR-CAT-015)</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01"/>
        <w:gridCol w:w="1863"/>
        <w:gridCol w:w="1000"/>
        <w:gridCol w:w="1000"/>
        <w:gridCol w:w="1000"/>
        <w:gridCol w:w="1000"/>
        <w:gridCol w:w="1000"/>
      </w:tblGrid>
      <w:tr>
        <w:trPr>
          <w:cantSplit/>
          <w:tblHeader/>
        </w:trPr>
        <w:tc>
          <w:tcPr>
            <w:tcW w:type="dxa" w:w="3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w:t>
            </w:r>
          </w:p>
        </w:tc>
      </w:tr>
      <w:tr>
        <w:trPr>
          <w:cantSplit/>
        </w:trPr>
        <w:tc>
          <w:tcPr>
            <w:tcW w:type="dxa" w:w="3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‎cat.BaseRateAlias.InstitutionId‎</w:t>
            </w:r>
          </w:p>
        </w:tc>
        <w:tc>
          <w:tcPr>
            <w:tcW w:type="dxa" w:w="1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م4 · الأسعار المرجعية والقوائم (2/2)</w:t>
      </w:r>
      <w:bookmarkEnd w:id="64"/>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57575"/>
            <wp:effectExtent t="0" r="0" b="0" l="0"/>
            <wp:docPr id="1" name="diagrams/erd/m4_rates_lookups_2.png" descr="م4 · الأسعار المرجعية والقوائم (2/2)" title="م4 · الأسعار المرجعية والقوائم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3457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2382"/>
        <w:gridCol w:w="2382"/>
        <w:gridCol w:w="1000"/>
        <w:gridCol w:w="1000"/>
        <w:gridCol w:w="1000"/>
        <w:gridCol w:w="1000"/>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الأساس بتاريخ سريان؛ لا حذف: التصحيح صف جديد والقديم SUPERSEDED (FR-CAT-016، BR-CAT-012/013)</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قيم مملوكة للمشترك (FR-CAT-020، BR-CAT-015)</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في قائمة قيم مملوك للمشترك (FR-CAT-020)</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6"/>
        <w:gridCol w:w="2045"/>
        <w:gridCol w:w="1000"/>
        <w:gridCol w:w="1000"/>
        <w:gridCol w:w="1000"/>
        <w:gridCol w:w="1000"/>
        <w:gridCol w:w="1203"/>
      </w:tblGrid>
      <w:tr>
        <w:trPr>
          <w:cantSplit/>
          <w:tblHeader/>
        </w:trPr>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2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2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2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2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م4 · المراجع العامة (ref)</w:t>
      </w:r>
      <w:bookmarkEnd w:id="65"/>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8625"/>
            <wp:effectExtent t="0" r="0" b="0" l="0"/>
            <wp:docPr id="1" name="diagrams/erd/m4_global_ref.png" descr="م4 · المراجع العامة (ref)" title="م4 · المراجع العامة (r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428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4"/>
        <w:gridCol w:w="2444"/>
        <w:gridCol w:w="2166"/>
        <w:gridCol w:w="1000"/>
        <w:gridCol w:w="1000"/>
        <w:gridCol w:w="1000"/>
        <w:gridCol w:w="1000"/>
      </w:tblGrid>
      <w:tr>
        <w:trPr>
          <w:cantSplit/>
          <w:tblHeader/>
        </w:trPr>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مرجع عالمي للقراءة فقط يديره مشغّل المنصة (FR-CAT-026، BR-CAT-018، BR-CAT-015)</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مرجع عالمي ISO 4217 للقراءة فقط (FR-CAT-021، Q-CAT-08)</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 تسليم Incoterms: مرجع عالمي للقراءة فقط يديره المشغّل؛ القديم LEGACY للعرض لا للاختيار (FR-LCT-013، FR-CAT-021، BR-CAT-015)</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UCP 600 مرجعية: TenantId الفارغ = صف عام للقراءة فقط ينشره المشغّل وحده (FR-LCT-006، BR-LCT-018، BR-PLT-001)</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4"/>
        <w:gridCol w:w="2690"/>
        <w:gridCol w:w="1000"/>
        <w:gridCol w:w="1000"/>
        <w:gridCol w:w="1000"/>
        <w:gridCol w:w="1000"/>
        <w:gridCol w:w="1000"/>
      </w:tblGrid>
      <w:tr>
        <w:trPr>
          <w:cantSplit/>
          <w:tblHeader/>
        </w:trPr>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6" w:id="66"/>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66"/>
    </w:p>
    <w:p>
      <w:pPr>
        <w:pStyle w:val="Heading3"/>
        <w:bidi/>
      </w:pPr>
      <w:bookmarkStart w:name="_sec67" w:id="67"/>
      <w:r>
        <w:rPr>
          <w:rFonts w:ascii="Arial" w:cs="Arial" w:eastAsia="Arial" w:hAnsi="Arial"/>
          <w:b/>
          <w:bCs/>
          <w:color w:val="2B5C8A"/>
          <w:sz w:val="23"/>
          <w:szCs w:val="23"/>
          <w:rtl/>
        </w:rPr>
        <w:t xml:space="preserve">م5 · التسهيلات والمراجعات (1/2)</w:t>
      </w:r>
      <w:bookmarkEnd w:id="67"/>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48025"/>
            <wp:effectExtent t="0" r="0" b="0" l="0"/>
            <wp:docPr id="1" name="diagrams/erd/m5_facility_core_1.png" descr="م5 · التسهيلات والمراجعات (1/2)" title="م5 · التسهيلات والمراجع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48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3"/>
        <w:gridCol w:w="1185"/>
        <w:gridCol w:w="2216"/>
        <w:gridCol w:w="1000"/>
        <w:gridCol w:w="1000"/>
        <w:gridCol w:w="1000"/>
        <w:gridCol w:w="1000"/>
      </w:tblGrid>
      <w:tr>
        <w:trPr>
          <w:cantSplit/>
          <w:tblHeader/>
        </w:trPr>
        <w:tc>
          <w:tcPr>
            <w:tcW w:type="dxa" w:w="2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الائتمانية: جذر التجميعة (FR-FAC-001..008، BR-FAC-001/005/006)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معدّ/معتمِد لشروط التسهيل (FR-FAC-024، BR-FAC-003/004، §8)</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ضمن الحزمة بأسبقية (FR-FAC-004، BR-FAC-008، V-FAC-03)؛ نوعها من doc.Document.DocumentTypeId</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وحصته (FR-FAC-003، BR-FAC-007، V-FAC-02)؛ مجموع الحصص 100 ووكيل واحد يتحقق منهما التطبيق</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4"/>
        <w:gridCol w:w="1915"/>
        <w:gridCol w:w="1000"/>
        <w:gridCol w:w="1000"/>
        <w:gridCol w:w="1000"/>
        <w:gridCol w:w="1000"/>
        <w:gridCol w:w="1245"/>
      </w:tblGrid>
      <w:tr>
        <w:trPr>
          <w:cantSplit/>
          <w:tblHeader/>
        </w:trPr>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8" w:id="68"/>
      <w:r>
        <w:rPr>
          <w:rFonts w:ascii="Arial" w:cs="Arial" w:eastAsia="Arial" w:hAnsi="Arial"/>
          <w:b/>
          <w:bCs/>
          <w:color w:val="2B5C8A"/>
          <w:sz w:val="23"/>
          <w:szCs w:val="23"/>
          <w:rtl/>
        </w:rPr>
        <w:t xml:space="preserve">م5 · التسهيلات والمراجعات (2/2)</w:t>
      </w:r>
      <w:bookmarkEnd w:id="68"/>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943100"/>
            <wp:effectExtent t="0" r="0" b="0" l="0"/>
            <wp:docPr id="1" name="diagrams/erd/m5_facility_core_2.png" descr="م5 · التسهيلات والمراجعات (2/2)" title="م5 · التسهيلات والمراجع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943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1665"/>
        <w:gridCol w:w="2913"/>
        <w:gridCol w:w="1000"/>
        <w:gridCol w:w="1000"/>
        <w:gridCol w:w="1000"/>
        <w:gridCol w:w="1000"/>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الرصيد المعترف به (FR-FAC-009، BR-FAC-017)؛ PctOfLimit مشتق لا يُخزَّن</w:t>
            </w:r>
          </w:p>
        </w:tc>
        <w:tc>
          <w:tcPr>
            <w:tcW w:type="dxa" w:w="2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قيمتين لحقل واحد وحسمه (FR-FAC-026، BR-FAC-019، BR-FAC-008)</w:t>
            </w:r>
          </w:p>
        </w:tc>
        <w:tc>
          <w:tcPr>
            <w:tcW w:type="dxa" w:w="2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9"/>
        <w:gridCol w:w="1747"/>
        <w:gridCol w:w="1000"/>
        <w:gridCol w:w="1000"/>
        <w:gridCol w:w="1000"/>
        <w:gridCol w:w="1000"/>
        <w:gridCol w:w="1028"/>
      </w:tblGrid>
      <w:tr>
        <w:trPr>
          <w:cantSplit/>
          <w:tblHeader/>
        </w:trPr>
        <w:tc>
          <w:tcPr>
            <w:tcW w:type="dxa" w:w="3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م5 · الحدود والاستخدام والحجوزات (1/2)</w:t>
      </w:r>
      <w:bookmarkEnd w:id="69"/>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05350"/>
            <wp:effectExtent t="0" r="0" b="0" l="0"/>
            <wp:docPr id="1" name="diagrams/erd/m5_limits_1.png" descr="م5 · الحدود والاستخدام والحجوزات (1/2)" title="م5 · الحدود والاستخدام والحجوز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70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70"/>
        <w:gridCol w:w="2497"/>
        <w:gridCol w:w="2497"/>
        <w:gridCol w:w="1000"/>
        <w:gridCol w:w="1000"/>
        <w:gridCol w:w="1000"/>
        <w:gridCol w:w="1000"/>
      </w:tblGrid>
      <w:tr>
        <w:trPr>
          <w:cantSplit/>
          <w:tblHeader/>
        </w:trPr>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عقدة شجرة الحدود (FR-FAC-010/011، BR-FAC-009/010، V-FAC-04..07)</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منتج داخل حد: سقف اختياري SHARED_CAP دائمًا (FR-FAC-012، V-FAC-08)</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شركة على حد: مسموح/مستثنى/تخصيص (FR-FAC-013، BR-FAC-012، V-FAC-09)</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الفارغ = «غير محدد» لا صفر (FR-FAC-014، BR-FAC-016)</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2"/>
        <w:gridCol w:w="2121"/>
        <w:gridCol w:w="1000"/>
        <w:gridCol w:w="1000"/>
        <w:gridCol w:w="1000"/>
        <w:gridCol w:w="1000"/>
        <w:gridCol w:w="1061"/>
      </w:tblGrid>
      <w:tr>
        <w:trPr>
          <w:cantSplit/>
          <w:tblHeader/>
        </w:trPr>
        <w:tc>
          <w:tcPr>
            <w:tcW w:type="dxa" w:w="2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م5 · الحدود والاستخدام والحجوزات (2/2)</w:t>
      </w:r>
      <w:bookmarkEnd w:id="70"/>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924300" cy="8191500"/>
            <wp:effectExtent t="0" r="0" b="0" l="0"/>
            <wp:docPr id="1" name="diagrams/erd/m5_limits_2.png" descr="م5 · الحدود والاستخدام والحجوزات (2/2)" title="م5 · الحدود والاستخدام والحجوز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9243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6"/>
        <w:gridCol w:w="2699"/>
        <w:gridCol w:w="2429"/>
        <w:gridCol w:w="1000"/>
        <w:gridCol w:w="1000"/>
        <w:gridCol w:w="1000"/>
        <w:gridCol w:w="1000"/>
      </w:tblGrid>
      <w:tr>
        <w:trPr>
          <w:cantSplit/>
          <w:tblHeader/>
        </w:trPr>
        <w:tc>
          <w:tcPr>
            <w:tcW w:type="dxa" w:w="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استخدام فعّال: يدوي أو مرتبط باعتماد مستندي؛ لا حذف (FR-FAC-016/030، BR-FAC-013/020)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مبلغ لطلب = ExposureAmount (FR-FAC-017/018/020، BR-FAC-015)</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حركة على حجز أو استخدام؛ لا تعديل ولا حذف؛ مفتاح عدم التكرار (BR-FAC-015/020)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75"/>
        <w:gridCol w:w="1993"/>
        <w:gridCol w:w="1000"/>
        <w:gridCol w:w="1000"/>
        <w:gridCol w:w="1000"/>
        <w:gridCol w:w="1000"/>
        <w:gridCol w:w="1096"/>
      </w:tblGrid>
      <w:tr>
        <w:trPr>
          <w:cantSplit/>
          <w:tblHeader/>
        </w:trPr>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1" w:id="71"/>
      <w:r>
        <w:rPr>
          <w:rFonts w:ascii="Arial" w:cs="Arial" w:eastAsia="Arial" w:hAnsi="Arial"/>
          <w:b/>
          <w:bCs/>
          <w:color w:val="2B5C8A"/>
          <w:sz w:val="23"/>
          <w:szCs w:val="23"/>
          <w:rtl/>
        </w:rPr>
        <w:t xml:space="preserve">م5 · التسعير وشروط المقارنة (1/2)</w:t>
      </w:r>
      <w:bookmarkEnd w:id="71"/>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2181225" cy="8191500"/>
            <wp:effectExtent t="0" r="0" b="0" l="0"/>
            <wp:docPr id="1" name="diagrams/erd/m5_pricing_1.png" descr="م5 · التسعير وشروط المقارنة (1/2)" title="م5 · التسعير وشروط المقارن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181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537"/>
        <w:gridCol w:w="2387"/>
        <w:gridCol w:w="1000"/>
        <w:gridCol w:w="1000"/>
        <w:gridCol w:w="1000"/>
        <w:gridCol w:w="1000"/>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ووراثة وطرق (FR-PRC-006..017، BR-PRC-006..012، V-PRC-02)</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قاعدة TIERED بالمبلغ و/أو المدة (FR-PRC-003، BR-PRC-002)</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رسم في جدول التعرفة (FR-PRC-002، BR-PRC-002..005)</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جدول رسوم لبنك؛ خاص بتسهيل اختياريًا (FR-PRC-001، BR-PRC-001، V-PRC-01)</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76"/>
        <w:gridCol w:w="2055"/>
        <w:gridCol w:w="1000"/>
        <w:gridCol w:w="1000"/>
        <w:gridCol w:w="1000"/>
        <w:gridCol w:w="1000"/>
        <w:gridCol w:w="1233"/>
      </w:tblGrid>
      <w:tr>
        <w:trPr>
          <w:cantSplit/>
          <w:tblHeader/>
        </w:trPr>
        <w:tc>
          <w:tcPr>
            <w:tcW w:type="dxa" w:w="2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م5 · التسعير وشروط المقارنة (2/2)</w:t>
      </w:r>
      <w:bookmarkEnd w:id="72"/>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295900"/>
            <wp:effectExtent t="0" r="0" b="0" l="0"/>
            <wp:docPr id="1" name="diagrams/erd/m5_pricing_2.png" descr="م5 · التسعير وشروط المقارنة (2/2)" title="م5 · التسعير وشروط المقارن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5295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7"/>
        <w:gridCol w:w="1450"/>
        <w:gridCol w:w="2037"/>
        <w:gridCol w:w="1000"/>
        <w:gridCol w:w="1000"/>
        <w:gridCol w:w="1000"/>
        <w:gridCol w:w="1000"/>
      </w:tblGrid>
      <w:tr>
        <w:trPr>
          <w:cantSplit/>
          <w:tblHeader/>
        </w:trPr>
        <w:tc>
          <w:tcPr>
            <w:tcW w:type="dxa" w:w="23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بند تعرفة بالمبلغ و/أو المدة (FR-PRC-003، BR-PRC-002)</w:t>
            </w:r>
          </w:p>
        </w:tc>
        <w:tc>
          <w:tcPr>
            <w:tcW w:type="dxa" w:w="2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شرط قابل للمقارنة (FR-CMP-001)؛ الرمز بنمط PRC.MARGIN_PCT؛ النظامي لا يُحذف ولا تتغير وحدته (IsSystem)</w:t>
            </w:r>
          </w:p>
        </w:tc>
        <w:tc>
          <w:tcPr>
            <w:tcW w:type="dxa" w:w="2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شرط في تسهيل بنطاقها ومصدرها (FR-CMP-002..006، BR-CMP-001..006، V-CMP-01)</w:t>
            </w:r>
          </w:p>
        </w:tc>
        <w:tc>
          <w:tcPr>
            <w:tcW w:type="dxa" w:w="2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9"/>
        <w:gridCol w:w="2242"/>
        <w:gridCol w:w="1000"/>
        <w:gridCol w:w="1000"/>
        <w:gridCol w:w="1000"/>
        <w:gridCol w:w="1000"/>
        <w:gridCol w:w="1233"/>
      </w:tblGrid>
      <w:tr>
        <w:trPr>
          <w:cantSplit/>
          <w:tblHeader/>
        </w:trPr>
        <w:tc>
          <w:tcPr>
            <w:tcW w:type="dxa" w:w="2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2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م5 · الضمانات (1/2)</w:t>
      </w:r>
      <w:bookmarkEnd w:id="73"/>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62275"/>
            <wp:effectExtent t="0" r="0" b="0" l="0"/>
            <wp:docPr id="1" name="diagrams/erd/m5_collateral_1.png" descr="م5 · الضمانات (1/2)" title="م5 · 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2962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
        <w:gridCol w:w="2411"/>
        <w:gridCol w:w="2830"/>
        <w:gridCol w:w="1000"/>
        <w:gridCol w:w="1000"/>
        <w:gridCol w:w="1000"/>
        <w:gridCol w:w="1000"/>
      </w:tblGrid>
      <w:tr>
        <w:trPr>
          <w:cantSplit/>
          <w:tblHeader/>
        </w:trPr>
        <w:tc>
          <w:tcPr>
            <w:tcW w:type="dxa" w:w="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ضمان؛ اعتماد مستقل عن مراجعة التسهيل، والتعديل يُنشئ إصدارًا جديدًا (FR-COL-001/014، V-COL-01، §8)</w:t>
            </w:r>
          </w:p>
        </w:tc>
        <w:tc>
          <w:tcPr>
            <w:tcW w:type="dxa" w:w="2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ضمان بتسهيل أو حد؛ ضمان واحد لعدة تسهيلات (FR-COL-002، BR-COL-005)</w:t>
            </w:r>
          </w:p>
        </w:tc>
        <w:tc>
          <w:tcPr>
            <w:tcW w:type="dxa" w:w="2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كفالة 1:1 مع Collateral؛ الكفيل Party دائمًا ولا أرقام هوية هنا (FR-COL-003/004، BR-COL-001)</w:t>
            </w:r>
          </w:p>
        </w:tc>
        <w:tc>
          <w:tcPr>
            <w:tcW w:type="dxa" w:w="2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تأمين؛ مفتاح الفرادة (CollateralId,PolicyNo) يسمح بتجديد الوثيقة (FR-COL-006، BR-COL-003)</w:t>
            </w:r>
          </w:p>
        </w:tc>
        <w:tc>
          <w:tcPr>
            <w:tcW w:type="dxa" w:w="2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7"/>
        <w:gridCol w:w="1827"/>
        <w:gridCol w:w="1000"/>
        <w:gridCol w:w="1000"/>
        <w:gridCol w:w="1000"/>
        <w:gridCol w:w="1000"/>
        <w:gridCol w:w="1000"/>
      </w:tblGrid>
      <w:tr>
        <w:trPr>
          <w:cantSplit/>
          <w:tblHeader/>
        </w:trPr>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م5 · الضمانات (2/2)</w:t>
      </w:r>
      <w:bookmarkEnd w:id="74"/>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629025"/>
            <wp:effectExtent t="0" r="0" b="0" l="0"/>
            <wp:docPr id="1" name="diagrams/erd/m5_collateral_2.png" descr="م5 · الضمانات (2/2)" title="م5 · 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629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5"/>
        <w:gridCol w:w="2130"/>
        <w:gridCol w:w="2529"/>
        <w:gridCol w:w="1000"/>
        <w:gridCol w:w="1000"/>
        <w:gridCol w:w="1000"/>
        <w:gridCol w:w="1000"/>
      </w:tblGrid>
      <w:tr>
        <w:trPr>
          <w:cantSplit/>
          <w:tblHeader/>
        </w:trPr>
        <w:tc>
          <w:tcPr>
            <w:tcW w:type="dxa" w:w="1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2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لأمر 1:1؛ مبلغ مستقل قد يفوق الحد (FR-COL-005، BR-COL-002)؛ NextRenewalDue وPNRatio مشتقان</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2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موقّعو السند (SignerPartyIds)</w:t>
            </w:r>
          </w:p>
        </w:tc>
        <w:tc>
          <w:tcPr>
            <w:tcW w:type="dxa" w:w="2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PromissoryNoteId, PartyId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2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تقييم عقار (FR-COL-008، BR-COL-004)؛ مثل 3 مقيّمين في السنة الأولى ثم مقيّم سنويًا</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1"/>
        <w:gridCol w:w="1973"/>
        <w:gridCol w:w="1000"/>
        <w:gridCol w:w="1000"/>
        <w:gridCol w:w="1000"/>
        <w:gridCol w:w="1000"/>
        <w:gridCol w:w="1000"/>
      </w:tblGrid>
      <w:tr>
        <w:trPr>
          <w:cantSplit/>
          <w:tblHeader/>
        </w:trPr>
        <w:tc>
          <w:tcPr>
            <w:tcW w:type="dxa" w:w="2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5" w:id="75"/>
      <w:r>
        <w:rPr>
          <w:rFonts w:ascii="Arial" w:cs="Arial" w:eastAsia="Arial" w:hAnsi="Arial"/>
          <w:b/>
          <w:bCs/>
          <w:color w:val="2B5C8A"/>
          <w:sz w:val="23"/>
          <w:szCs w:val="23"/>
          <w:rtl/>
        </w:rPr>
        <w:t xml:space="preserve">م5 · الالتزامات والتعهدات (1/2)</w:t>
      </w:r>
      <w:bookmarkEnd w:id="75"/>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7429500"/>
            <wp:effectExtent t="0" r="0" b="0" l="0"/>
            <wp:docPr id="1" name="diagrams/erd/m5_obligations_1.png" descr="م5 · الالتزامات والتعهدات (1/2)" title="م5 · الالتزامات والتعه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7429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13"/>
        <w:gridCol w:w="2793"/>
        <w:gridCol w:w="2058"/>
        <w:gridCol w:w="1000"/>
        <w:gridCol w:w="1000"/>
        <w:gridCol w:w="1000"/>
        <w:gridCol w:w="1000"/>
      </w:tblGrid>
      <w:tr>
        <w:trPr>
          <w:cantSplit/>
          <w:tblHeader/>
        </w:trPr>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تعهد بتواريخ؛ الحدود المتدرجة = عدة نسخ (FR-OBL-006، BR-OBL-001/005/006، Q-OBL-01)</w:t>
            </w:r>
          </w:p>
        </w:tc>
        <w:tc>
          <w:tcPr>
            <w:tcW w:type="dxa" w:w="20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المشمولة بالتعهد عند اختيار حسابات محددة (AccountIds)</w:t>
            </w:r>
          </w:p>
        </w:tc>
        <w:tc>
          <w:tcPr>
            <w:tcW w:type="dxa" w:w="20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CovenantId, BankAccountId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لفترة وإصدار تقييم؛ يمنع التطبيق تعديل التقييم المخزَّن (FR-OBL-011، FR-FIN-012/013، BR-OBL-006/007، §8)</w:t>
            </w:r>
          </w:p>
        </w:tc>
        <w:tc>
          <w:tcPr>
            <w:tcW w:type="dxa" w:w="20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على تسهيل (أو حد/خط/شركات)؛ العائلة من ObligationType ولا تُحرَّر (FR-OBL-001، BR-OBL-001)</w:t>
            </w:r>
          </w:p>
        </w:tc>
        <w:tc>
          <w:tcPr>
            <w:tcW w:type="dxa" w:w="20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76"/>
        <w:gridCol w:w="2192"/>
        <w:gridCol w:w="1000"/>
        <w:gridCol w:w="1000"/>
        <w:gridCol w:w="1000"/>
        <w:gridCol w:w="1000"/>
        <w:gridCol w:w="1096"/>
      </w:tblGrid>
      <w:tr>
        <w:trPr>
          <w:cantSplit/>
          <w:tblHeader/>
        </w:trPr>
        <w:tc>
          <w:tcPr>
            <w:tcW w:type="dxa" w:w="2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م5 · الالتزامات والتعهدات (2/2)</w:t>
      </w:r>
      <w:bookmarkEnd w:id="76"/>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29425"/>
            <wp:effectExtent t="0" r="0" b="0" l="0"/>
            <wp:docPr id="1" name="diagrams/erd/m5_obligations_2.png" descr="م5 · الالتزامات والتعهدات (2/2)" title="م5 · الالتزامات والتعه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6829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2"/>
        <w:gridCol w:w="2586"/>
        <w:gridCol w:w="2586"/>
        <w:gridCol w:w="1000"/>
        <w:gridCol w:w="1000"/>
        <w:gridCol w:w="1000"/>
        <w:gridCol w:w="1000"/>
      </w:tblGrid>
      <w:tr>
        <w:trPr>
          <w:cantSplit/>
          <w:tblHeader/>
        </w:trPr>
        <w:tc>
          <w:tcPr>
            <w:tcW w:type="dxa" w:w="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خرق وعلاجه وتنازله (FR-OBL-012، BR-OBL-009/011، §8)</w:t>
            </w:r>
          </w:p>
        </w:tc>
        <w:tc>
          <w:tcPr>
            <w:tcW w:type="dxa" w:w="2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ينطبق عليها الالتزام (AppliesToCompanyIds)</w:t>
            </w:r>
          </w:p>
        </w:tc>
        <w:tc>
          <w:tcPr>
            <w:tcW w:type="dxa" w:w="2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ObligationId, CompanyId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أجندة مولَّد أو مسجَّل لحدث (FR-OBL-003..005، BR-OBL-003، §8)؛ DUE_SOON/OVERDUE مشتقتان</w:t>
            </w:r>
          </w:p>
        </w:tc>
        <w:tc>
          <w:tcPr>
            <w:tcW w:type="dxa" w:w="2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2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تقرير/إخطار 1:1 مع Obligation (FR-OBL-002/003، BR-OBL-002، V-OBL-01)</w:t>
            </w:r>
          </w:p>
        </w:tc>
        <w:tc>
          <w:tcPr>
            <w:tcW w:type="dxa" w:w="2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72"/>
        <w:gridCol w:w="2292"/>
        <w:gridCol w:w="1000"/>
        <w:gridCol w:w="1000"/>
        <w:gridCol w:w="1000"/>
        <w:gridCol w:w="1000"/>
        <w:gridCol w:w="1000"/>
      </w:tblGrid>
      <w:tr>
        <w:trPr>
          <w:cantSplit/>
          <w:tblHeader/>
        </w:trPr>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2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2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2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2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2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2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2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2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2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2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2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2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2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2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7" w:id="77"/>
      <w:r>
        <w:rPr>
          <w:rFonts w:ascii="Arial" w:cs="Arial" w:eastAsia="Arial" w:hAnsi="Arial"/>
          <w:b/>
          <w:bCs/>
          <w:color w:val="2B5C8A"/>
          <w:sz w:val="23"/>
          <w:szCs w:val="23"/>
          <w:rtl/>
        </w:rPr>
        <w:t xml:space="preserve">م5 · البيانات المالية والأرصدة (1/2)</w:t>
      </w:r>
      <w:bookmarkEnd w:id="77"/>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181100"/>
            <wp:effectExtent t="0" r="0" b="0" l="0"/>
            <wp:docPr id="1" name="diagrams/erd/m5_financials_1.png" descr="م5 · البيانات المالية والأرصدة (1/2)" title="م5 · البيانات المالية والأرصد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1181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46"/>
        <w:gridCol w:w="2559"/>
        <w:gridCol w:w="2559"/>
        <w:gridCol w:w="1000"/>
        <w:gridCol w:w="1000"/>
        <w:gridCol w:w="1000"/>
        <w:gridCol w:w="1000"/>
      </w:tblGrid>
      <w:tr>
        <w:trPr>
          <w:cantSplit/>
          <w:tblHeader/>
        </w:trPr>
        <w:tc>
          <w:tcPr>
            <w:tcW w:type="dxa" w:w="7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شهري لحساب بعملة الحساب (FR-FIN-008، BR-FIN-005/006، V-FIN-02)</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7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محوَّل للبنك في شهر؛ تجميع سنوي آلي (FR-FIN-009/010، BR-FIN-007/008)</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قائمة مالية؛ سري جدًا (FR-FIN-002/005/006، BR-FIN-001..004، §8)</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7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معياري للقوائم؛ 39 بندًا مبذورًا؛ النظامي في الصيغ لا يُحذف (FR-FIN-001، CatalogBase)</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5"/>
        <w:gridCol w:w="2359"/>
        <w:gridCol w:w="1000"/>
        <w:gridCol w:w="1000"/>
        <w:gridCol w:w="1000"/>
        <w:gridCol w:w="1000"/>
        <w:gridCol w:w="1000"/>
      </w:tblGrid>
      <w:tr>
        <w:trPr>
          <w:cantSplit/>
          <w:tblHeader/>
        </w:trPr>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2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2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2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2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2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2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2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2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2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2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2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2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2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2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8" w:id="78"/>
      <w:r>
        <w:rPr>
          <w:rFonts w:ascii="Arial" w:cs="Arial" w:eastAsia="Arial" w:hAnsi="Arial"/>
          <w:b/>
          <w:bCs/>
          <w:color w:val="2B5C8A"/>
          <w:sz w:val="23"/>
          <w:szCs w:val="23"/>
          <w:rtl/>
        </w:rPr>
        <w:t xml:space="preserve">م5 · البيانات المالية والأرصدة (2/2)</w:t>
      </w:r>
      <w:bookmarkEnd w:id="78"/>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2000250"/>
            <wp:effectExtent t="0" r="0" b="0" l="0"/>
            <wp:docPr id="1" name="diagrams/erd/m5_financials_2.png" descr="م5 · البيانات المالية والأرصدة (2/2)" title="م5 · البيانات المالية والأرصد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2000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3"/>
        <w:gridCol w:w="2047"/>
        <w:gridCol w:w="2814"/>
        <w:gridCol w:w="1000"/>
        <w:gridCol w:w="1000"/>
        <w:gridCol w:w="1000"/>
        <w:gridCol w:w="1000"/>
      </w:tblGrid>
      <w:tr>
        <w:trPr>
          <w:cantSplit/>
          <w:tblHeader/>
        </w:trPr>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البديلة للبند (Aliases) للصق والمطابقة</w:t>
            </w:r>
          </w:p>
        </w:tc>
        <w:tc>
          <w:tcPr>
            <w:tcW w:type="dxa" w:w="2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مقياس: قالب أو نسخة اتفاقية بإصدارات؛ لا تُنفَّذ نصًا (FR-FIN-011، BR-FIN-009، §12)</w:t>
            </w:r>
          </w:p>
        </w:tc>
        <w:tc>
          <w:tcPr>
            <w:tcW w:type="dxa" w:w="2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قائمة؛ بعملة الرأس والمخزَّن = المُدخل x UnitScale؛ Variance مشتق؛ سري جدًا (BR-FIN-001/002)</w:t>
            </w:r>
          </w:p>
        </w:tc>
        <w:tc>
          <w:tcPr>
            <w:tcW w:type="dxa" w:w="2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0"/>
        <w:gridCol w:w="2284"/>
        <w:gridCol w:w="1000"/>
        <w:gridCol w:w="1000"/>
        <w:gridCol w:w="1000"/>
        <w:gridCol w:w="1000"/>
        <w:gridCol w:w="1000"/>
      </w:tblGrid>
      <w:tr>
        <w:trPr>
          <w:cantSplit/>
          <w:tblHeader/>
        </w:trPr>
        <w:tc>
          <w:tcPr>
            <w:tcW w:type="dxa" w:w="2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79" w:id="79"/>
      <w:r>
        <w:rPr>
          <w:rFonts w:ascii="Arial" w:cs="Arial" w:eastAsia="Arial" w:hAnsi="Arial"/>
          <w:b/>
          <w:bCs/>
          <w:color w:val="2B5C8A"/>
          <w:sz w:val="26"/>
          <w:szCs w:val="26"/>
          <w:rtl/>
        </w:rPr>
        <w:t xml:space="preserve">10.8 م6 · الطلبات ودورات العمل والإشعارات</w:t>
      </w:r>
      <w:bookmarkEnd w:id="79"/>
    </w:p>
    <w:p>
      <w:pPr>
        <w:pStyle w:val="Heading3"/>
        <w:bidi/>
      </w:pPr>
      <w:bookmarkStart w:name="_sec80" w:id="80"/>
      <w:r>
        <w:rPr>
          <w:rFonts w:ascii="Arial" w:cs="Arial" w:eastAsia="Arial" w:hAnsi="Arial"/>
          <w:b/>
          <w:bCs/>
          <w:color w:val="2B5C8A"/>
          <w:sz w:val="23"/>
          <w:szCs w:val="23"/>
          <w:rtl/>
        </w:rPr>
        <w:t xml:space="preserve">م6 · قوالب دورات العمل (1/3)</w:t>
      </w:r>
      <w:bookmarkEnd w:id="80"/>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24150"/>
            <wp:effectExtent t="0" r="0" b="0" l="0"/>
            <wp:docPr id="1" name="diagrams/erd/m6_wf_templates_1.png" descr="م6 · قوالب دورات العمل (1/3)" title="م6 · قوالب دورات العمل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2724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75"/>
        <w:gridCol w:w="2303"/>
        <w:gridCol w:w="2686"/>
        <w:gridCol w:w="1000"/>
        <w:gridCol w:w="1000"/>
        <w:gridCol w:w="1000"/>
        <w:gridCol w:w="1000"/>
      </w:tblGrid>
      <w:tr>
        <w:trPr>
          <w:cantSplit/>
          <w:tblHeader/>
        </w:trPr>
        <w:tc>
          <w:tcPr>
            <w:tcW w:type="dxa" w:w="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(FR-REQ-001، BR-REQ-001، V-REQ-01)؛ الأنواع الجديدة بلا كود (FR-REQ-021)</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من يحق له الطلب؛ غياب الصفوف = لا أحد (فشل مغلق) (FR-REQ-007)</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للطالب: DRAFT · IN_APPROVAL · RETURNED · AWAITING_REQUESTER · IN_PROGRESS · COMPLETED · REJECTED · CANCELLED (BR-WFL-011، D-6)</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قالب دورة عمل؛ المنشور ثابت (FR-WFL-001/028، BR-WFL-019، AC-WFL-6)</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1"/>
        <w:gridCol w:w="1783"/>
        <w:gridCol w:w="1000"/>
        <w:gridCol w:w="1000"/>
        <w:gridCol w:w="1000"/>
        <w:gridCol w:w="1000"/>
        <w:gridCol w:w="1000"/>
      </w:tblGrid>
      <w:tr>
        <w:trPr>
          <w:cantSplit/>
          <w:tblHeader/>
        </w:trPr>
        <w:tc>
          <w:tcPr>
            <w:tcW w:type="dxa" w:w="3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1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1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1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1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1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1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1" w:id="81"/>
      <w:r>
        <w:rPr>
          <w:rFonts w:ascii="Arial" w:cs="Arial" w:eastAsia="Arial" w:hAnsi="Arial"/>
          <w:b/>
          <w:bCs/>
          <w:color w:val="2B5C8A"/>
          <w:sz w:val="23"/>
          <w:szCs w:val="23"/>
          <w:rtl/>
        </w:rPr>
        <w:t xml:space="preserve">م6 · قوالب دورات العمل (2/3)</w:t>
      </w:r>
      <w:bookmarkEnd w:id="81"/>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33800"/>
            <wp:effectExtent t="0" r="0" b="0" l="0"/>
            <wp:docPr id="1" name="diagrams/erd/m6_wf_templates_2.png" descr="م6 · قوالب دورات العمل (2/3)" title="م6 · قوالب دورات العمل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733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46"/>
        <w:gridCol w:w="2559"/>
        <w:gridCol w:w="2559"/>
        <w:gridCol w:w="1000"/>
        <w:gridCol w:w="1000"/>
        <w:gridCol w:w="1000"/>
        <w:gridCol w:w="1000"/>
      </w:tblGrid>
      <w:tr>
        <w:trPr>
          <w:cantSplit/>
          <w:tblHeader/>
        </w:trPr>
        <w:tc>
          <w:tcPr>
            <w:tcW w:type="dxa" w:w="7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في نسخة قالب (FR-WFL-003/004/005، BR-WFL-002/010/012)؛ حذف فعلي لمسودة النسخة فقط</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7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في مرحلة APPROVAL؛ ALL = كل الخانات، ودور بشخصين يلزمان معًا = خانتان (FR-WFL-007/041، BR-WFL-003/004)</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بين مرحلتين بشرط وأولوية؛ دورة خطية بتفرع شرطي بسيط (FR-WFL-006، BR-WFL-001، D-8)</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7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مسجَّل بالكود على مرحلة: مفتاح ومعاملات لا كود (FR-WFL-021، BR-WFL-015، §5.4)</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2"/>
        <w:gridCol w:w="2121"/>
        <w:gridCol w:w="1000"/>
        <w:gridCol w:w="1000"/>
        <w:gridCol w:w="1000"/>
        <w:gridCol w:w="1000"/>
        <w:gridCol w:w="1061"/>
      </w:tblGrid>
      <w:tr>
        <w:trPr>
          <w:cantSplit/>
          <w:tblHeader/>
        </w:trPr>
        <w:tc>
          <w:tcPr>
            <w:tcW w:type="dxa" w:w="2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2" w:id="82"/>
      <w:r>
        <w:rPr>
          <w:rFonts w:ascii="Arial" w:cs="Arial" w:eastAsia="Arial" w:hAnsi="Arial"/>
          <w:b/>
          <w:bCs/>
          <w:color w:val="2B5C8A"/>
          <w:sz w:val="23"/>
          <w:szCs w:val="23"/>
          <w:rtl/>
        </w:rPr>
        <w:t xml:space="preserve">م6 · قوالب دورات العمل (3/3)</w:t>
      </w:r>
      <w:bookmarkEnd w:id="82"/>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52550"/>
            <wp:effectExtent t="0" r="0" b="0" l="0"/>
            <wp:docPr id="1" name="diagrams/erd/m6_wf_templates_3.png" descr="م6 · قوالب دورات العمل (3/3)" title="م6 · قوالب دورات العمل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2042"/>
        <w:gridCol w:w="2883"/>
        <w:gridCol w:w="1000"/>
        <w:gridCol w:w="1000"/>
        <w:gridCol w:w="1000"/>
        <w:gridCol w:w="1000"/>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20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نسخة قالب يولّد النموذج بلا كود واجهة (FR-REQ-002..005، BR-REQ-003/004)</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20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مرفق على نسخة قالب (FR-REQ-006، BR-REQ-005، FR-WFL-024/025)</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0"/>
        <w:gridCol w:w="2144"/>
        <w:gridCol w:w="1000"/>
        <w:gridCol w:w="1000"/>
        <w:gridCol w:w="1000"/>
        <w:gridCol w:w="1000"/>
        <w:gridCol w:w="1000"/>
      </w:tblGrid>
      <w:tr>
        <w:trPr>
          <w:cantSplit/>
          <w:tblHeader/>
        </w:trPr>
        <w:tc>
          <w:tcPr>
            <w:tcW w:type="dxa" w:w="2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م6 · الطلبات وإجراءاتها (1/3)</w:t>
      </w:r>
      <w:bookmarkEnd w:id="83"/>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00800"/>
            <wp:effectExtent t="0" r="0" b="0" l="0"/>
            <wp:docPr id="1" name="diagrams/erd/m6_requests_1.png" descr="م6 · الطلبات وإجراءاتها (1/3)" title="م6 · الطلبات وإجراءاته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6400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46"/>
        <w:gridCol w:w="2559"/>
        <w:gridCol w:w="2559"/>
        <w:gridCol w:w="1000"/>
        <w:gridCol w:w="1000"/>
        <w:gridCol w:w="1000"/>
        <w:gridCol w:w="1000"/>
      </w:tblGrid>
      <w:tr>
        <w:trPr>
          <w:cantSplit/>
          <w:tblHeader/>
        </w:trPr>
        <w:tc>
          <w:tcPr>
            <w:tcW w:type="dxa" w:w="7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أكثر الجداول ازدحامًا؛ الحالة الداخلية منفصلة عن المرحلة الظاهرة (FR-WFL-001، FR-REQ-009، D-6، BR-REQ-002/003)</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7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للطالب أو داخلي؛ يمنع التطبيق تعديله، والسحب يترك الأصل (FR-REQ-017، BR-REQ-014)</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بطلب ينشئ DocumentLink (EntityType=Request) (FR-REQ-006، BR-REQ-005)</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7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بنص حر؛ تعديل بالإحلال ويبقى التاريخ؛ بلا تحقق خارجي (FR-REQ-010، X-DAT-7، BR-REQ-006)</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8"/>
        <w:gridCol w:w="2391"/>
        <w:gridCol w:w="1000"/>
        <w:gridCol w:w="1000"/>
        <w:gridCol w:w="1000"/>
        <w:gridCol w:w="1000"/>
        <w:gridCol w:w="1295"/>
      </w:tblGrid>
      <w:tr>
        <w:trPr>
          <w:cantSplit/>
          <w:tblHeader/>
        </w:trPr>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4" w:id="84"/>
      <w:r>
        <w:rPr>
          <w:rFonts w:ascii="Arial" w:cs="Arial" w:eastAsia="Arial" w:hAnsi="Arial"/>
          <w:b/>
          <w:bCs/>
          <w:color w:val="2B5C8A"/>
          <w:sz w:val="23"/>
          <w:szCs w:val="23"/>
          <w:rtl/>
        </w:rPr>
        <w:t xml:space="preserve">م6 · الطلبات وإجراءاتها (2/3)</w:t>
      </w:r>
      <w:bookmarkEnd w:id="84"/>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6_requests_2.png" descr="م6 · الطلبات وإجراءاتها (2/3)" title="م6 · الطلبات وإجراءاته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6"/>
        <w:gridCol w:w="2432"/>
        <w:gridCol w:w="2676"/>
        <w:gridCol w:w="1000"/>
        <w:gridCol w:w="1000"/>
        <w:gridCol w:w="1000"/>
        <w:gridCol w:w="1000"/>
      </w:tblGrid>
      <w:tr>
        <w:trPr>
          <w:cantSplit/>
          <w:tblHeader/>
        </w:trPr>
        <w:tc>
          <w:tcPr>
            <w:tcW w:type="dxa" w:w="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طلب إلى مرحلة؛ مصدر مقاييس الأزمنة والسحب والـ SLA (BR-WFL-002/007/012، §8)</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تُنشأ لكل دخول ودورة؛ الدورة الجديدة بخانات جديدة (BR-WFL-003، FR-WFL-007/008/011)</w:t>
            </w:r>
          </w:p>
        </w:tc>
        <w:tc>
          <w:tcPr>
            <w:tcW w:type="dxa" w:w="26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إجراءات للإضافة فقط يغطي كل حدث؛ غير AuditLog الأمني (FR-WFL-033/034، §6.2)</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خطاف بمفتاح عدم تكرار يعيد النتيجة المخزَّنة (FR-WFL-021، BR-WFL-015)</w:t>
            </w:r>
          </w:p>
        </w:tc>
        <w:tc>
          <w:tcPr>
            <w:tcW w:type="dxa" w:w="26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41"/>
        <w:gridCol w:w="2416"/>
        <w:gridCol w:w="1000"/>
        <w:gridCol w:w="1000"/>
        <w:gridCol w:w="1000"/>
        <w:gridCol w:w="1000"/>
        <w:gridCol w:w="1007"/>
      </w:tblGrid>
      <w:tr>
        <w:trPr>
          <w:cantSplit/>
          <w:tblHeader/>
        </w:trPr>
        <w:tc>
          <w:tcPr>
            <w:tcW w:type="dxa" w:w="2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2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2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bl>
    <w:p>
      <w:pPr>
        <w:bidi/>
        <w:spacing w:after="120" w:before="0"/>
      </w:pPr>
    </w:p>
    <w:p>
      <w:pPr>
        <w:pStyle w:val="Heading3"/>
        <w:bidi/>
      </w:pPr>
      <w:bookmarkStart w:name="_sec85" w:id="85"/>
      <w:r>
        <w:rPr>
          <w:rFonts w:ascii="Arial" w:cs="Arial" w:eastAsia="Arial" w:hAnsi="Arial"/>
          <w:b/>
          <w:bCs/>
          <w:color w:val="2B5C8A"/>
          <w:sz w:val="23"/>
          <w:szCs w:val="23"/>
          <w:rtl/>
        </w:rPr>
        <w:t xml:space="preserve">م6 · الطلبات وإجراءاتها (3/3)</w:t>
      </w:r>
      <w:bookmarkEnd w:id="85"/>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4124325"/>
            <wp:effectExtent t="0" r="0" b="0" l="0"/>
            <wp:docPr id="1" name="diagrams/erd/m6_requests_3.png" descr="م6 · الطلبات وإجراءاتها (3/3)" title="م6 · الطلبات وإجراءاته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1937"/>
        <w:gridCol w:w="2583"/>
        <w:gridCol w:w="1000"/>
        <w:gridCol w:w="1000"/>
        <w:gridCol w:w="1000"/>
        <w:gridCol w:w="1000"/>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مهام بفترة ونطاق؛ لا تفويض متسلسل (FR-WFL-020، BR-WFL-021، V-WFL-06)</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67"/>
        <w:gridCol w:w="1897"/>
        <w:gridCol w:w="1000"/>
        <w:gridCol w:w="1000"/>
        <w:gridCol w:w="1000"/>
        <w:gridCol w:w="1000"/>
        <w:gridCol w:w="1000"/>
      </w:tblGrid>
      <w:tr>
        <w:trPr>
          <w:cantSplit/>
          <w:tblHeader/>
        </w:trPr>
        <w:tc>
          <w:tcPr>
            <w:tcW w:type="dxa" w:w="2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1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1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1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1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6" w:id="86"/>
      <w:r>
        <w:rPr>
          <w:rFonts w:ascii="Arial" w:cs="Arial" w:eastAsia="Arial" w:hAnsi="Arial"/>
          <w:b/>
          <w:bCs/>
          <w:color w:val="2B5C8A"/>
          <w:sz w:val="23"/>
          <w:szCs w:val="23"/>
          <w:rtl/>
        </w:rPr>
        <w:t xml:space="preserve">م6 · الإشعارات (1/2)</w:t>
      </w:r>
      <w:bookmarkEnd w:id="86"/>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53075"/>
            <wp:effectExtent t="0" r="0" b="0" l="0"/>
            <wp:docPr id="1" name="diagrams/erd/m6_notifications_1.png" descr="م6 · الإشعارات (1/2)" title="م6 · الإشعار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553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37"/>
        <w:gridCol w:w="609"/>
        <w:gridCol w:w="2518"/>
        <w:gridCol w:w="1000"/>
        <w:gridCol w:w="1000"/>
        <w:gridCol w:w="1000"/>
        <w:gridCol w:w="1000"/>
      </w:tblGrid>
      <w:tr>
        <w:trPr>
          <w:cantSplit/>
          <w:tblHeader/>
        </w:trPr>
        <w:tc>
          <w:tcPr>
            <w:tcW w:type="dxa" w:w="27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7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ملخص لمستخدم وقناة وفترة؛ لا يُرسل فارغًا (FR-NTF-014، BR-NTF-004، JOB-NTF-DIGEST)</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7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لمستخدم؛ المحتوى بلا قيم مقيّدة (FR-NTF-005/006/007/021، BR-NTF-001/002/007/008/011)</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7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لكل قناة بحالاته وإعادة المحاولة (FR-NTF-019، BR-NTF-009، §8)</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7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تملكه 13 لكل الوحدات وتبذر فيه الوحدات أحداثها (FR-NTF-001، §9.2، §9.2-ب)</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8"/>
        <w:gridCol w:w="2596"/>
        <w:gridCol w:w="1000"/>
        <w:gridCol w:w="1000"/>
        <w:gridCol w:w="1000"/>
        <w:gridCol w:w="1000"/>
        <w:gridCol w:w="1000"/>
      </w:tblGrid>
      <w:tr>
        <w:trPr>
          <w:cantSplit/>
          <w:tblHeader/>
        </w:trPr>
        <w:tc>
          <w:tcPr>
            <w:tcW w:type="dxa" w:w="22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7" w:id="87"/>
      <w:r>
        <w:rPr>
          <w:rFonts w:ascii="Arial" w:cs="Arial" w:eastAsia="Arial" w:hAnsi="Arial"/>
          <w:b/>
          <w:bCs/>
          <w:color w:val="2B5C8A"/>
          <w:sz w:val="23"/>
          <w:szCs w:val="23"/>
          <w:rtl/>
        </w:rPr>
        <w:t xml:space="preserve">م6 · الإشعارات (2/2)</w:t>
      </w:r>
      <w:bookmarkEnd w:id="87"/>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0150"/>
            <wp:effectExtent t="0" r="0" b="0" l="0"/>
            <wp:docPr id="1" name="diagrams/erd/m6_notifications_2.png" descr="م6 · الإشعارات (2/2)" title="م6 · الإشعار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1200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946"/>
        <w:gridCol w:w="2919"/>
        <w:gridCol w:w="1000"/>
        <w:gridCol w:w="1000"/>
        <w:gridCol w:w="1000"/>
        <w:gridCol w:w="1000"/>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 المستخدم لكل مجموعة أحداث وقناة (FR-NTF-010، BR-NTF-003/014)؛ الإلزامي لا يُوقَف في التطبيق</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مستلمين لحدث؛ التعديل يسري على الأحداث التالية فقط (FR-NTF-003، BR-NTF-001، V-NTF-02)</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رسالة لكل (حدث، قناة، لغة)؛ الحذف = العودة إلى قالب البذرة (FR-NTF-012، FR-NTF-025)</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84"/>
        <w:gridCol w:w="2680"/>
        <w:gridCol w:w="1000"/>
        <w:gridCol w:w="1000"/>
        <w:gridCol w:w="1000"/>
        <w:gridCol w:w="1000"/>
        <w:gridCol w:w="1000"/>
      </w:tblGrid>
      <w:tr>
        <w:trPr>
          <w:cantSplit/>
          <w:tblHeader/>
        </w:trPr>
        <w:tc>
          <w:tcPr>
            <w:tcW w:type="dxa" w:w="2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6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6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6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8" w:id="88"/>
      <w:r>
        <w:rPr>
          <w:rFonts w:ascii="Arial" w:cs="Arial" w:eastAsia="Arial" w:hAnsi="Arial"/>
          <w:b/>
          <w:bCs/>
          <w:color w:val="2B5C8A"/>
          <w:sz w:val="26"/>
          <w:szCs w:val="26"/>
          <w:rtl/>
        </w:rPr>
        <w:t xml:space="preserve">10.9 م7/م8 · الاعتمادات المستندية والبروفورما</w:t>
      </w:r>
      <w:bookmarkEnd w:id="88"/>
    </w:p>
    <w:p>
      <w:pPr>
        <w:pStyle w:val="Heading3"/>
        <w:bidi/>
      </w:pPr>
      <w:bookmarkStart w:name="_sec89" w:id="89"/>
      <w:r>
        <w:rPr>
          <w:rFonts w:ascii="Arial" w:cs="Arial" w:eastAsia="Arial" w:hAnsi="Arial"/>
          <w:b/>
          <w:bCs/>
          <w:color w:val="2B5C8A"/>
          <w:sz w:val="23"/>
          <w:szCs w:val="23"/>
          <w:rtl/>
        </w:rPr>
        <w:t xml:space="preserve">م7/م8 · شروط الاعتماد والنماذج (1/3)</w:t>
      </w:r>
      <w:bookmarkEnd w:id="89"/>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14650"/>
            <wp:effectExtent t="0" r="0" b="0" l="0"/>
            <wp:docPr id="1" name="diagrams/erd/m7_8_lc_terms_1.png" descr="م7/م8 · شروط الاعتماد والنماذج (1/3)" title="م7/م8 · شروط الاعتماد والنماذج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291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4"/>
        <w:gridCol w:w="1001"/>
        <w:gridCol w:w="2369"/>
        <w:gridCol w:w="1000"/>
        <w:gridCol w:w="1000"/>
        <w:gridCol w:w="1000"/>
        <w:gridCol w:w="1000"/>
      </w:tblGrid>
      <w:tr>
        <w:trPr>
          <w:cantSplit/>
          <w:tblHeader/>
        </w:trPr>
        <w:tc>
          <w:tcPr>
            <w:tcW w:type="dxa" w:w="2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في شروط الاعتماد: بيانات تُبذر لكل مشترك (FR-LCT-004، BR-LCT-002)؛ مراجع UCP في lc.LcFieldUcpRef</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 لحقل: مادة + فقرة (UcpRefs في المواصفة)؛ يغذّي الشارة وR-LCT-01 وBR-LCT-018</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مورّد/عميل خفيف بلا هوية؛ يُرقّى إلى Party عند الحاجة (FR-LCT-036/037، BR-LCT-022، Q-PTY-03)</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بإصدارات: نص قالب بمعاملات (FR-LCT-017..019، BR-LCT-012)؛ مراجع UCP في lc.LcDocumentClauseUcpRef</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6"/>
        <w:gridCol w:w="2268"/>
        <w:gridCol w:w="1000"/>
        <w:gridCol w:w="1000"/>
        <w:gridCol w:w="1000"/>
        <w:gridCol w:w="1000"/>
        <w:gridCol w:w="1000"/>
      </w:tblGrid>
      <w:tr>
        <w:trPr>
          <w:cantSplit/>
          <w:tblHeader/>
        </w:trPr>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0" w:id="90"/>
      <w:r>
        <w:rPr>
          <w:rFonts w:ascii="Arial" w:cs="Arial" w:eastAsia="Arial" w:hAnsi="Arial"/>
          <w:b/>
          <w:bCs/>
          <w:color w:val="2B5C8A"/>
          <w:sz w:val="23"/>
          <w:szCs w:val="23"/>
          <w:rtl/>
        </w:rPr>
        <w:t xml:space="preserve">م7/م8 · شروط الاعتماد والنماذج (2/3)</w:t>
      </w:r>
      <w:bookmarkEnd w:id="90"/>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53175"/>
            <wp:effectExtent t="0" r="0" b="0" l="0"/>
            <wp:docPr id="1" name="diagrams/erd/m7_8_lc_terms_2.png" descr="م7/م8 · شروط الاعتماد والنماذج (2/3)" title="م7/م8 · شروط الاعتماد والنماذج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6353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78"/>
        <w:gridCol w:w="2067"/>
        <w:gridCol w:w="2919"/>
        <w:gridCol w:w="1000"/>
        <w:gridCol w:w="1000"/>
        <w:gridCol w:w="1000"/>
        <w:gridCol w:w="1000"/>
      </w:tblGrid>
      <w:tr>
        <w:trPr>
          <w:cantSplit/>
          <w:tblHeader/>
        </w:trPr>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2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 لبند مستند: مادة + فقرة (UcpRefs في المواصفة)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شروط اعتماد: صف لكل إصدار بأعمدة قاموس §6.2؛ مشترك بين البروفورما والطلب والاعتماد والتعديل (FR-LCT-001..035)</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2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مستند مختار في الشروط ومعاملاته؛ النص المصيَّر يُجمَّد عند القفل (FR-LCT-018، BR-LCT-012)</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2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الشروط: صف لكل فئة (6 صفوف كاملة يتحقق منها التطبيق V-LCT-12) (FR-LCT-020، BR-LCT-014)</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3"/>
        <w:gridCol w:w="1837"/>
        <w:gridCol w:w="1000"/>
        <w:gridCol w:w="1000"/>
        <w:gridCol w:w="1000"/>
        <w:gridCol w:w="1000"/>
        <w:gridCol w:w="1354"/>
      </w:tblGrid>
      <w:tr>
        <w:trPr>
          <w:cantSplit/>
          <w:tblHeader/>
        </w:trPr>
        <w:tc>
          <w:tcPr>
            <w:tcW w:type="dxa" w:w="2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1" w:id="91"/>
      <w:r>
        <w:rPr>
          <w:rFonts w:ascii="Arial" w:cs="Arial" w:eastAsia="Arial" w:hAnsi="Arial"/>
          <w:b/>
          <w:bCs/>
          <w:color w:val="2B5C8A"/>
          <w:sz w:val="23"/>
          <w:szCs w:val="23"/>
          <w:rtl/>
        </w:rPr>
        <w:t xml:space="preserve">م7/م8 · شروط الاعتماد والنماذج (3/3)</w:t>
      </w:r>
      <w:bookmarkEnd w:id="91"/>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5638800" cy="8191500"/>
            <wp:effectExtent t="0" r="0" b="0" l="0"/>
            <wp:docPr id="1" name="diagrams/erd/m7_8_lc_terms_3.png" descr="م7/م8 · شروط الاعتماد والنماذج (3/3)" title="م7/م8 · شروط الاعتماد والنماذج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6388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9"/>
        <w:gridCol w:w="1969"/>
        <w:gridCol w:w="2626"/>
        <w:gridCol w:w="1000"/>
        <w:gridCol w:w="1000"/>
        <w:gridCol w:w="1000"/>
        <w:gridCol w:w="1000"/>
      </w:tblGrid>
      <w:tr>
        <w:trPr>
          <w:cantSplit/>
          <w:tblHeader/>
        </w:trPr>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بنك/منتج/نوع نموذج بإصدار وفترة نفاذ وملحق عقدي (FR-LCT-026، BR-LCT-017، 02 F-14)</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حقل نظام إلى حقل PDF أو بند في ورقة البوابة (FR-LCT-027، BR-LCT-020)</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4"/>
        <w:gridCol w:w="1950"/>
        <w:gridCol w:w="1000"/>
        <w:gridCol w:w="1000"/>
        <w:gridCol w:w="1000"/>
        <w:gridCol w:w="1000"/>
        <w:gridCol w:w="1000"/>
      </w:tblGrid>
      <w:tr>
        <w:trPr>
          <w:cantSplit/>
          <w:tblHeader/>
        </w:trPr>
        <w:tc>
          <w:tcPr>
            <w:tcW w:type="dxa" w:w="2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2" w:id="92"/>
      <w:r>
        <w:rPr>
          <w:rFonts w:ascii="Arial" w:cs="Arial" w:eastAsia="Arial" w:hAnsi="Arial"/>
          <w:b/>
          <w:bCs/>
          <w:color w:val="2B5C8A"/>
          <w:sz w:val="23"/>
          <w:szCs w:val="23"/>
          <w:rtl/>
        </w:rPr>
        <w:t xml:space="preserve">م7/م8 · الاعتمادات والبروفورما (1/3)</w:t>
      </w:r>
      <w:bookmarkEnd w:id="92"/>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086475"/>
            <wp:effectExtent t="0" r="0" b="0" l="0"/>
            <wp:docPr id="1" name="diagrams/erd/m7_8_lc_ops_1.png" descr="م7/م8 · الاعتمادات والبروفورما (1/3)" title="م7/م8 · الاعتمادات والبروفورم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6086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9"/>
        <w:gridCol w:w="1013"/>
        <w:gridCol w:w="2352"/>
        <w:gridCol w:w="1000"/>
        <w:gridCol w:w="1000"/>
        <w:gridCol w:w="1000"/>
        <w:gridCol w:w="1000"/>
      </w:tblGrid>
      <w:tr>
        <w:trPr>
          <w:cantSplit/>
          <w:tblHeader/>
        </w:trPr>
        <w:tc>
          <w:tcPr>
            <w:tcW w:type="dxa" w:w="24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 للجانبين: مشتريات (نحن الطالب) ومبيعات (نحن المستفيد) (FR-LCI-011..016، FR-LCE-009، BR-LCI-004/008/016، BR-LCE-007/009)</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للاعتماد (ERP...)؛ بلا فرادة؛ البحث بالمطبَّع (FR-LCI-013، BR-REQ-006)</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اعتماد صادر أو مستلَم (FR-LCI-018/019، FR-LCE-020، BR-LCI-011/012، BR-LCE-014)؛ الحالات §8</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سحب/تقديم مستندات تحت اعتماد؛ في التصدير يشمل تحويل التخصيص (FR-LCI-023، BR-LCI-013، BR-LCE-011)؛ الحالات §8</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1"/>
        <w:gridCol w:w="2099"/>
        <w:gridCol w:w="1000"/>
        <w:gridCol w:w="1000"/>
        <w:gridCol w:w="1000"/>
        <w:gridCol w:w="1000"/>
        <w:gridCol w:w="1364"/>
      </w:tblGrid>
      <w:tr>
        <w:trPr>
          <w:cantSplit/>
          <w:tblHeader/>
        </w:trPr>
        <w:tc>
          <w:tcPr>
            <w:tcW w:type="dxa" w:w="24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93" w:id="93"/>
      <w:r>
        <w:rPr>
          <w:rFonts w:ascii="Arial" w:cs="Arial" w:eastAsia="Arial" w:hAnsi="Arial"/>
          <w:b/>
          <w:bCs/>
          <w:color w:val="2B5C8A"/>
          <w:sz w:val="23"/>
          <w:szCs w:val="23"/>
          <w:rtl/>
        </w:rPr>
        <w:t xml:space="preserve">م7/م8 · الاعتمادات والبروفورما (2/3)</w:t>
      </w:r>
      <w:bookmarkEnd w:id="93"/>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57675"/>
            <wp:effectExtent t="0" r="0" b="0" l="0"/>
            <wp:docPr id="1" name="diagrams/erd/m7_8_lc_ops_2.png" descr="م7/م8 · الاعتمادات والبروفورما (2/3)" title="م7/م8 · الاعتمادات والبروفورم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257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6"/>
        <w:gridCol w:w="2619"/>
        <w:gridCol w:w="2619"/>
        <w:gridCol w:w="1000"/>
        <w:gridCol w:w="1000"/>
        <w:gridCol w:w="1000"/>
        <w:gridCol w:w="1000"/>
      </w:tblGrid>
      <w:tr>
        <w:trPr>
          <w:cantSplit/>
          <w:tblHeader/>
        </w:trPr>
        <w:tc>
          <w:tcPr>
            <w:tcW w:type="dxa" w:w="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أمر بيع على اعتماد مستلَم؛ لا يقابله حد ائتماني (FR-LCE-013..015، BR-LCE-009..013)؛ الحالات §8</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سحب تصدير على أوامر بيع (FR-LCE-016/017، BR-LCE-011/013)</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على مستندات سحب أو اعتماد؛ القرار يتطلب lc.discrepancy.decide (FR-LCI-024، FR-LCE-021، §8)</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يمنع التطبيق تعديلها بعد الإصدار؛ الرقم {seq:000}-{erp}-{yy} (FR-LCE-005..008، BR-LCE-001..006)</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1"/>
        <w:gridCol w:w="1995"/>
        <w:gridCol w:w="1000"/>
        <w:gridCol w:w="1000"/>
        <w:gridCol w:w="1000"/>
        <w:gridCol w:w="1000"/>
        <w:gridCol w:w="1108"/>
      </w:tblGrid>
      <w:tr>
        <w:trPr>
          <w:cantSplit/>
          <w:tblHeader/>
        </w:trPr>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1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1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1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1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1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1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1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1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1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1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1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1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1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1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1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1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1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1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1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94" w:id="94"/>
      <w:r>
        <w:rPr>
          <w:rFonts w:ascii="Arial" w:cs="Arial" w:eastAsia="Arial" w:hAnsi="Arial"/>
          <w:b/>
          <w:bCs/>
          <w:color w:val="2B5C8A"/>
          <w:sz w:val="23"/>
          <w:szCs w:val="23"/>
          <w:rtl/>
        </w:rPr>
        <w:t xml:space="preserve">م7/م8 · الاعتمادات والبروفورما (3/3)</w:t>
      </w:r>
      <w:bookmarkEnd w:id="94"/>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33750"/>
            <wp:effectExtent t="0" r="0" b="0" l="0"/>
            <wp:docPr id="1" name="diagrams/erd/m7_8_lc_ops_3.png" descr="م7/م8 · الاعتمادات والبروفورما (3/3)" title="م7/م8 · الاعتمادات والبروفورم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3333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6"/>
        <w:gridCol w:w="1597"/>
        <w:gridCol w:w="3061"/>
        <w:gridCol w:w="1000"/>
        <w:gridCol w:w="1000"/>
        <w:gridCol w:w="1000"/>
        <w:gridCol w:w="1000"/>
      </w:tblGrid>
      <w:tr>
        <w:trPr>
          <w:cantSplit/>
          <w:tblHeader/>
        </w:trPr>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3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1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في البروفورما (FR-LCE-003، BR-LCE-001)؛ يُثبَّت بعد الإصدار</w:t>
            </w:r>
          </w:p>
        </w:tc>
        <w:tc>
          <w:tcPr>
            <w:tcW w:type="dxa" w:w="3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شروط الاعتماد المستلَم بالبروفورما (FR-LCT-031، FR-LCE-023، BR-LCT-021)</w:t>
            </w:r>
          </w:p>
        </w:tc>
        <w:tc>
          <w:tcPr>
            <w:tcW w:type="dxa" w:w="3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1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حقل واحد وحكمه وقرار الخزينة (FR-LCT-031، BR-LCT-021)</w:t>
            </w:r>
          </w:p>
        </w:tc>
        <w:tc>
          <w:tcPr>
            <w:tcW w:type="dxa" w:w="3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8"/>
        <w:gridCol w:w="2144"/>
        <w:gridCol w:w="1000"/>
        <w:gridCol w:w="1000"/>
        <w:gridCol w:w="1000"/>
        <w:gridCol w:w="1000"/>
        <w:gridCol w:w="1072"/>
      </w:tblGrid>
      <w:tr>
        <w:trPr>
          <w:cantSplit/>
          <w:tblHeader/>
        </w:trPr>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95" w:id="95"/>
      <w:r>
        <w:rPr>
          <w:rFonts w:ascii="Arial" w:cs="Arial" w:eastAsia="Arial" w:hAnsi="Arial"/>
          <w:b/>
          <w:bCs/>
          <w:color w:val="1F3A5F"/>
          <w:sz w:val="32"/>
          <w:szCs w:val="32"/>
          <w:rtl/>
        </w:rPr>
        <w:t xml:space="preserve">11. أنماط التصميم للمجالات الرئيسية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7"/>
        <w:gridCol w:w="8037"/>
      </w:tblGrid>
      <w:tr>
        <w:trPr>
          <w:cantSplit/>
          <w:tblHeader/>
        </w:trPr>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11.1 إقفال دورة العمل بيد إدارة الخزينة (C-7)</w:t>
      </w:r>
      <w:bookmarkEnd w:id="96"/>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5343"/>
        <w:gridCol w:w="1644"/>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(افتراض يُؤكَّد، O-10)</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كـ«قيد التنفيذ»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المواصفة 13 لم تُعدَّل بعد</w:t>
      </w:r>
      <w:r>
        <w:rPr>
          <w:rFonts w:ascii="Arial" w:cs="Arial" w:eastAsia="Arial" w:hAnsi="Arial"/>
          <w:b w:val="false"/>
          <w:bCs w:val="false"/>
          <w:sz w:val="21"/>
          <w:szCs w:val="21"/>
          <w:rtl/>
        </w:rPr>
        <w:t xml:space="preserve"> (O-10)، لذا هذا التغيير معلَّق لحين اعتماده رسميًا.</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97" w:id="97"/>
      <w:r>
        <w:rPr>
          <w:rFonts w:ascii="Arial" w:cs="Arial" w:eastAsia="Arial" w:hAnsi="Arial"/>
          <w:b/>
          <w:bCs/>
          <w:color w:val="2B5C8A"/>
          <w:sz w:val="26"/>
          <w:szCs w:val="26"/>
          <w:rtl/>
        </w:rPr>
        <w:t xml:space="preserve">11.2 الملكية المتعددة والمراجع المركّبة (DR-04 · DR-06 · DR-09 · DR-10)</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98" w:id="98"/>
      <w:r>
        <w:rPr>
          <w:rFonts w:ascii="Arial" w:cs="Arial" w:eastAsia="Arial" w:hAnsi="Arial"/>
          <w:b/>
          <w:bCs/>
          <w:color w:val="2B5C8A"/>
          <w:sz w:val="26"/>
          <w:szCs w:val="26"/>
          <w:rtl/>
        </w:rPr>
        <w:t xml:space="preserve">11.3 الكتالوجات المملوكة للمشترك (DR-03 · DR-05 · DR-07)</w:t>
      </w:r>
      <w:bookmarkEnd w:id="98"/>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1"/>
        <w:bidi/>
      </w:pPr>
      <w:bookmarkStart w:name="_sec99" w:id="99"/>
      <w:r>
        <w:rPr>
          <w:rFonts w:ascii="Arial" w:cs="Arial" w:eastAsia="Arial" w:hAnsi="Arial"/>
          <w:b/>
          <w:bCs/>
          <w:color w:val="1F3A5F"/>
          <w:sz w:val="32"/>
          <w:szCs w:val="32"/>
          <w:rtl/>
        </w:rPr>
        <w:t xml:space="preserve">12. النشر وإدارة التغيير</w:t>
      </w:r>
      <w:bookmarkEnd w:id="99"/>
    </w:p>
    <w:p>
      <w:pPr>
        <w:pStyle w:val="Heading2"/>
        <w:bidi/>
      </w:pPr>
      <w:bookmarkStart w:name="_sec100" w:id="100"/>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100"/>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&lt;server&gt; -E -I -f 65001 -i db\deploy.sql -v DbName=BankFas</w:t>
      </w:r>
    </w:p>
    <w:p>
      <w:pPr>
        <w:pStyle w:val="ListParagraph"/>
        <w:numPr>
          <w:ilvl w:val="0"/>
          <w:numId w:val="6"/>
        </w:numPr>
        <w:bidi/>
        <w:spacing w:after="70" w:before="0" w:line="300"/>
      </w:pPr>
      <w:r>
        <w:rPr>
          <w:rFonts w:ascii="Arial" w:cs="Arial" w:eastAsia="Arial" w:hAnsi="Arial"/>
          <w:b w:val="false"/>
          <w:bCs w:val="false"/>
          <w:sz w:val="21"/>
          <w:szCs w:val="21"/>
          <w:rtl/>
        </w:rPr>
        <w:t xml:space="preserve">إنشاء القاعدة بـ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إن لم تكن موجودة</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(الإجراء بـ</w:t>
      </w:r>
      <w:r>
        <w:rPr>
          <w:rFonts w:ascii="Courier New" w:cs="Courier New" w:eastAsia="Courier New" w:hAnsi="Courier New"/>
          <w:b w:val="false"/>
          <w:bCs w:val="false"/>
          <w:color w:val="1F2937"/>
          <w:sz w:val="18"/>
          <w:szCs w:val="18"/>
          <w:shd w:fill="F1F3F5" w:color="auto" w:val="clear"/>
          <w:rtl/>
        </w:rPr>
        <w:t xml:space="preserve">‎EXECUTE AS tp_auth‎</w:t>
      </w:r>
      <w:r>
        <w:rPr>
          <w:rFonts w:ascii="Arial" w:cs="Arial" w:eastAsia="Arial" w:hAnsi="Arial"/>
          <w:b w:val="false"/>
          <w:bCs w:val="false"/>
          <w:sz w:val="21"/>
          <w:szCs w:val="21"/>
          <w:rtl/>
        </w:rPr>
        <w:t xml:space="preserve">)</w:t>
      </w:r>
    </w:p>
    <w:p>
      <w:pPr>
        <w:pStyle w:val="ListParagraph"/>
        <w:numPr>
          <w:ilvl w:val="0"/>
          <w:numId w:val="6"/>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bidi/>
        <w:spacing w:after="60" w:before="0"/>
      </w:pPr>
    </w:p>
    <w:p>
      <w:pPr>
        <w:bidi/>
        <w:spacing w:after="110" w:before="0" w:line="312"/>
      </w:pPr>
      <w:r>
        <w:rPr>
          <w:rFonts w:ascii="Arial" w:cs="Arial" w:eastAsia="Arial" w:hAnsi="Arial"/>
          <w:b/>
          <w:bCs/>
          <w:sz w:val="21"/>
          <w:szCs w:val="21"/>
          <w:rtl/>
        </w:rPr>
        <w:t xml:space="preserve">بعد النشر:</w:t>
      </w:r>
      <w:r>
        <w:rPr>
          <w:rFonts w:ascii="Arial" w:cs="Arial" w:eastAsia="Arial" w:hAnsi="Arial"/>
          <w:b w:val="false"/>
          <w:bCs w:val="false"/>
          <w:sz w:val="21"/>
          <w:szCs w:val="21"/>
          <w:rtl/>
        </w:rPr>
        <w:t xml:space="preserve"> يُشغَّل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على الملفات المنشورة (لا على القاعدة)،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101" w:id="101"/>
      <w:r>
        <w:rPr>
          <w:rFonts w:ascii="Arial" w:cs="Arial" w:eastAsia="Arial" w:hAnsi="Arial"/>
          <w:b/>
          <w:bCs/>
          <w:color w:val="2B5C8A"/>
          <w:sz w:val="26"/>
          <w:szCs w:val="26"/>
          <w:rtl/>
        </w:rPr>
        <w:t xml:space="preserve">12.2 تغيير النموذج</w:t>
      </w:r>
      <w:bookmarkEnd w:id="101"/>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102" w:id="102"/>
      <w:r>
        <w:rPr>
          <w:rFonts w:ascii="Arial" w:cs="Arial" w:eastAsia="Arial" w:hAnsi="Arial"/>
          <w:b/>
          <w:bCs/>
          <w:color w:val="2B5C8A"/>
          <w:sz w:val="26"/>
          <w:szCs w:val="26"/>
          <w:rtl/>
        </w:rPr>
        <w:t xml:space="preserve">12.3 النسخ الاحتياطي والاستعادة (توصيات للتشغيل </w:t>
      </w:r>
      <w:r>
        <w:rPr>
          <w:rFonts w:ascii="Segoe UI Emoji" w:cs="Segoe UI Emoji" w:eastAsia="Segoe UI Emoji" w:hAnsi="Segoe UI Emoji"/>
          <w:sz w:val="26"/>
          <w:szCs w:val="26"/>
          <w:rtl/>
        </w:rPr>
        <w:t xml:space="preserve">🟡</w:t>
      </w:r>
      <w:r>
        <w:rPr>
          <w:rFonts w:ascii="Arial" w:cs="Arial" w:eastAsia="Arial" w:hAnsi="Arial"/>
          <w:b/>
          <w:bCs/>
          <w:color w:val="2B5C8A"/>
          <w:sz w:val="26"/>
          <w:szCs w:val="26"/>
          <w:rtl/>
        </w:rPr>
        <w:t xml:space="preserve">)</w:t>
      </w:r>
      <w:bookmarkEnd w:id="102"/>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103" w:id="103"/>
      <w:r>
        <w:rPr>
          <w:rFonts w:ascii="Arial" w:cs="Arial" w:eastAsia="Arial" w:hAnsi="Arial"/>
          <w:b/>
          <w:bCs/>
          <w:color w:val="2B5C8A"/>
          <w:sz w:val="26"/>
          <w:szCs w:val="26"/>
          <w:rtl/>
        </w:rPr>
        <w:t xml:space="preserve">12.4 الأداء والحمل</w:t>
      </w:r>
      <w:bookmarkEnd w:id="103"/>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104" w:id="104"/>
      <w:r>
        <w:rPr>
          <w:rFonts w:ascii="Arial" w:cs="Arial" w:eastAsia="Arial" w:hAnsi="Arial"/>
          <w:b/>
          <w:bCs/>
          <w:color w:val="1F3A5F"/>
          <w:sz w:val="32"/>
          <w:szCs w:val="32"/>
          <w:rtl/>
        </w:rPr>
        <w:t xml:space="preserve">13. البذور وتهيئة المشترك (خطة — لم تُنفَّذ بعد)</w:t>
      </w:r>
      <w:bookmarkEnd w:id="1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16"/>
        <w:gridCol w:w="5865"/>
        <w:gridCol w:w="2583"/>
      </w:tblGrid>
      <w:tr>
        <w:trPr>
          <w:cantSplit/>
          <w:tblHeader/>
        </w:trPr>
        <w:tc>
          <w:tcPr>
            <w:tcW w:type="dxa" w:w="1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5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1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5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تعريفات حقول الاعتماد</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بذور عالمي عند النشر بمفتاح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يسجل التنفيذ.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p>
        </w:tc>
      </w:tr>
      <w:tr>
        <w:trPr>
          <w:cantSplit/>
        </w:trPr>
        <w:tc>
          <w:tcPr>
            <w:tcW w:type="dxa" w:w="1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5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في </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ينفّذه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بموافقة مشغّل؛ لأن المشترك لم يُنشأ بعد لا يمكن تعيين سياقه بالطريقة المعتادة (O-12)</w:t>
            </w:r>
          </w:p>
        </w:tc>
      </w:tr>
      <w:tr>
        <w:trPr>
          <w:cantSplit/>
        </w:trPr>
        <w:tc>
          <w:tcPr>
            <w:tcW w:type="dxa" w:w="1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5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105" w:id="105"/>
      <w:r>
        <w:rPr>
          <w:rFonts w:ascii="Arial" w:cs="Arial" w:eastAsia="Arial" w:hAnsi="Arial"/>
          <w:b/>
          <w:bCs/>
          <w:color w:val="1F3A5F"/>
          <w:sz w:val="32"/>
          <w:szCs w:val="32"/>
          <w:rtl/>
        </w:rPr>
        <w:t xml:space="preserve">14. أدلة التحقق وحدودها (بصراحة)</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95"/>
        <w:gridCol w:w="2471"/>
        <w:gridCol w:w="2898"/>
      </w:tblGrid>
      <w:tr>
        <w:trPr>
          <w:cantSplit/>
          <w:tblHeader/>
        </w:trPr>
        <w:tc>
          <w:tcPr>
            <w:tcW w:type="dxa" w:w="4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2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8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2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3,280 عمودًا؛ لا مراجع معلّقة؛ لا مخالفة لقواعد النطاق</w:t>
            </w:r>
          </w:p>
        </w:tc>
        <w:tc>
          <w:tcPr>
            <w:tcW w:type="dxa" w:w="2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4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2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763 مفتاحًا أجنبيًا / 691 قيد فريد أو أساسي</w:t>
            </w:r>
          </w:p>
        </w:tc>
        <w:tc>
          <w:tcPr>
            <w:tcW w:type="dxa" w:w="2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4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2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247 منحة مولّدة، 7 منح ثابتة، 29 عمودًا مقيّدًا، القواعد R1–R10</w:t>
            </w:r>
          </w:p>
        </w:tc>
        <w:tc>
          <w:tcPr>
            <w:tcW w:type="dxa" w:w="2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4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الحرجة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2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 من 24</w:t>
            </w:r>
          </w:p>
        </w:tc>
        <w:tc>
          <w:tcPr>
            <w:tcW w:type="dxa" w:w="2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DR-10 موجود في DDL المولَّد، لا في الوثيقة وحدها</w:t>
            </w:r>
          </w:p>
        </w:tc>
      </w:tr>
      <w:tr>
        <w:trPr>
          <w:cantSplit/>
        </w:trPr>
        <w:tc>
          <w:tcPr>
            <w:tcW w:type="dxa" w:w="4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2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2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4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2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2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4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2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يحدث</w:t>
            </w:r>
          </w:p>
        </w:tc>
        <w:tc>
          <w:tcPr>
            <w:tcW w:type="dxa" w:w="2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يتوفر المحرك في بيئة العمل. </w:t>
            </w:r>
            <w:r>
              <w:rPr>
                <w:rFonts w:ascii="Arial" w:cs="Arial" w:eastAsia="Arial" w:hAnsi="Arial"/>
                <w:b/>
                <w:bCs/>
                <w:sz w:val="18"/>
                <w:szCs w:val="18"/>
                <w:rtl/>
              </w:rPr>
              <w:t xml:space="preserve">أول خطوة قبل أي اعتماد.</w:t>
            </w:r>
            <w:r>
              <w:rPr>
                <w:rFonts w:ascii="Arial" w:cs="Arial" w:eastAsia="Arial" w:hAnsi="Arial"/>
                <w:b w:val="false"/>
                <w:bCs w:val="false"/>
                <w:sz w:val="18"/>
                <w:szCs w:val="18"/>
                <w:rtl/>
              </w:rPr>
              <w:t xml:space="preserve"> متوقع: أخطاء صيغة في </w:t>
            </w:r>
            <w:r>
              <w:rPr>
                <w:rFonts w:ascii="Courier New" w:cs="Courier New" w:eastAsia="Courier New" w:hAnsi="Courier New"/>
                <w:b w:val="false"/>
                <w:bCs w:val="false"/>
                <w:color w:val="1F2937"/>
                <w:sz w:val="16"/>
                <w:szCs w:val="16"/>
                <w:shd w:fill="F1F3F5" w:color="auto" w:val="clear"/>
                <w:rtl/>
              </w:rPr>
              <w:t xml:space="preserve">‎CREATE SECURITY POLICY‎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وترتيب النشر</w:t>
            </w:r>
          </w:p>
        </w:tc>
      </w:tr>
      <w:tr>
        <w:trPr>
          <w:cantSplit/>
        </w:trPr>
        <w:tc>
          <w:tcPr>
            <w:tcW w:type="dxa" w:w="4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التدفق المالي)</w:t>
            </w:r>
          </w:p>
        </w:tc>
        <w:tc>
          <w:tcPr>
            <w:tcW w:type="dxa" w:w="2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تُكتب</w:t>
            </w:r>
          </w:p>
        </w:tc>
        <w:tc>
          <w:tcPr>
            <w:tcW w:type="dxa" w:w="2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مطلوبة في S0–S2: مشتركان ومستخدمان ومحاولات عبور، وربط مستخدم مشترك A بسياق مشترك B يجب أن يُرفض، ومحاولة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w:t>
            </w:r>
            <w:r>
              <w:rPr>
                <w:rFonts w:ascii="Courier New" w:cs="Courier New" w:eastAsia="Courier New" w:hAnsi="Courier New"/>
                <w:b w:val="false"/>
                <w:bCs w:val="false"/>
                <w:color w:val="1F2937"/>
                <w:sz w:val="16"/>
                <w:szCs w:val="16"/>
                <w:shd w:fill="F1F3F5" w:color="auto" w:val="clear"/>
                <w:rtl/>
              </w:rPr>
              <w:t xml:space="preserve">‎ref.Currency‎</w:t>
            </w:r>
            <w:r>
              <w:rPr>
                <w:rFonts w:ascii="Arial" w:cs="Arial" w:eastAsia="Arial" w:hAnsi="Arial"/>
                <w:b w:val="false"/>
                <w:bCs w:val="false"/>
                <w:sz w:val="18"/>
                <w:szCs w:val="18"/>
                <w:rtl/>
              </w:rPr>
              <w:t xml:space="preserve"> يجب أن تُرفض</w:t>
            </w:r>
          </w:p>
        </w:tc>
      </w:tr>
    </w:tbl>
    <w:p>
      <w:pPr>
        <w:bidi/>
        <w:spacing w:after="120" w:before="0"/>
      </w:pPr>
    </w:p>
    <w:p>
      <w:pPr>
        <w:pStyle w:val="Heading1"/>
        <w:bidi/>
      </w:pPr>
      <w:bookmarkStart w:name="_sec106" w:id="106"/>
      <w:r>
        <w:rPr>
          <w:rFonts w:ascii="Arial" w:cs="Arial" w:eastAsia="Arial" w:hAnsi="Arial"/>
          <w:b/>
          <w:bCs/>
          <w:color w:val="1F3A5F"/>
          <w:sz w:val="32"/>
          <w:szCs w:val="32"/>
          <w:rtl/>
        </w:rPr>
        <w:t xml:space="preserve">15. القرارات المتخذة (تُعتمد ما لم تعترض)</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4316"/>
        <w:gridCol w:w="4548"/>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3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5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يتحقق من المستخدم النشط المنتمي للمشترك، ويعمل بصفة </w:t>
            </w:r>
            <w:r>
              <w:rPr>
                <w:rFonts w:ascii="Courier New" w:cs="Courier New" w:eastAsia="Courier New" w:hAnsi="Courier New"/>
                <w:b w:val="false"/>
                <w:bCs w:val="false"/>
                <w:color w:val="1F2937"/>
                <w:sz w:val="16"/>
                <w:szCs w:val="16"/>
                <w:shd w:fill="F1F3F5" w:color="auto" w:val="clear"/>
                <w:rtl/>
              </w:rPr>
              <w:t xml:space="preserve">‎tp_auth‎</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107" w:id="107"/>
      <w:r>
        <w:rPr>
          <w:rFonts w:ascii="Arial" w:cs="Arial" w:eastAsia="Arial" w:hAnsi="Arial"/>
          <w:b/>
          <w:bCs/>
          <w:color w:val="1F3A5F"/>
          <w:sz w:val="32"/>
          <w:szCs w:val="32"/>
          <w:rtl/>
        </w:rPr>
        <w:t xml:space="preserve">16. حدود معروفة ونقاط مفتوحة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3345"/>
        <w:gridCol w:w="1644"/>
        <w:gridCol w:w="3875"/>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تُنفَّذ السكربتات على SQL Server</w:t>
            </w:r>
            <w:r>
              <w:rPr>
                <w:rFonts w:ascii="Arial" w:cs="Arial" w:eastAsia="Arial" w:hAnsi="Arial"/>
                <w:b w:val="false"/>
                <w:bCs w:val="false"/>
                <w:sz w:val="18"/>
                <w:szCs w:val="18"/>
                <w:rtl/>
              </w:rPr>
              <w:t xml:space="preserve"> (§14)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تظهر أخطاء صيغة وتتغير المنح عند التنفيذ</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مهمة: نشر على SQL Server 2025 نظيف + حزمة اختبار السلوك</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غير مكتوبة (§13)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فارغة بعد النشر</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كتابتها مع شريحة S0</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w:t>
            </w:r>
            <w:r>
              <w:rPr>
                <w:rFonts w:ascii="Courier New" w:cs="Courier New" w:eastAsia="Courier New" w:hAnsi="Courier New"/>
                <w:b w:val="false"/>
                <w:bCs w:val="false"/>
                <w:color w:val="1F2937"/>
                <w:sz w:val="16"/>
                <w:szCs w:val="16"/>
                <w:shd w:fill="F1F3F5" w:color="auto" w:val="clear"/>
                <w:rtl/>
              </w:rPr>
              <w:t xml:space="preserve">‎sec.usp_SetAuthContext(@TenantId)‎</w:t>
            </w:r>
            <w:r>
              <w:rPr>
                <w:rFonts w:ascii="Arial" w:cs="Arial" w:eastAsia="Arial" w:hAnsi="Arial"/>
                <w:b w:val="false"/>
                <w:bCs w:val="false"/>
                <w:sz w:val="18"/>
                <w:szCs w:val="18"/>
                <w:rtl/>
              </w:rPr>
              <w:t xml:space="preserve"> يضبط المشترك فقط بعد فحص حالته، ويقتصر على قراءة صفوف الدخول؛ يُنظر فيه في S1 مع حدّ قراءة يضيّقه (عرض بأعمدة محددة)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تتبع قرار الإقفال، والمواصفة ما زالت تقول إن الإكمال تلقائي عند المرحلة الأخيرة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(حقل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جدول الحالات،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‎FR-WFL‎</w:t>
            </w:r>
            <w:r>
              <w:rPr>
                <w:rFonts w:ascii="Arial" w:cs="Arial" w:eastAsia="Arial" w:hAnsi="Arial"/>
                <w:b w:val="false"/>
                <w:bCs w:val="false"/>
                <w:sz w:val="18"/>
                <w:szCs w:val="18"/>
                <w:rtl/>
              </w:rPr>
              <w:t xml:space="preserve">) بعد موافقتك؛ </w:t>
            </w:r>
            <w:r>
              <w:rPr>
                <w:rFonts w:ascii="Arial" w:cs="Arial" w:eastAsia="Arial" w:hAnsi="Arial"/>
                <w:b/>
                <w:bCs/>
                <w:sz w:val="18"/>
                <w:szCs w:val="18"/>
                <w:rtl/>
              </w:rPr>
              <w:t xml:space="preserve">أكّد أيضًا أن الرفض والإلغاء يبقيان فوريين</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مخترق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يستطيع اختيار مستخدم نشط من أي مشترك</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تطبيق لكل مشترك (</w:t>
            </w:r>
            <w:r>
              <w:rPr>
                <w:rFonts w:ascii="Courier New" w:cs="Courier New" w:eastAsia="Courier New" w:hAnsi="Courier New"/>
                <w:b w:val="false"/>
                <w:bCs w:val="false"/>
                <w:color w:val="1F2937"/>
                <w:sz w:val="16"/>
                <w:szCs w:val="16"/>
                <w:shd w:fill="F1F3F5" w:color="auto" w:val="clear"/>
                <w:rtl/>
              </w:rPr>
              <w:t xml:space="preserve">‎sp_setapprole‎</w:t>
            </w:r>
            <w:r>
              <w:rPr>
                <w:rFonts w:ascii="Arial" w:cs="Arial" w:eastAsia="Arial" w:hAnsi="Arial"/>
                <w:b w:val="false"/>
                <w:bCs w:val="false"/>
                <w:sz w:val="18"/>
                <w:szCs w:val="18"/>
                <w:rtl/>
              </w:rPr>
              <w:t xml:space="preserve">) أو رمز موقَّع يتحقق منه الإجراء؛ يُختار في S1</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تُكتب في S0 وتتحقق من </w:t>
            </w:r>
            <w:r>
              <w:rPr>
                <w:rFonts w:ascii="Courier New" w:cs="Courier New" w:eastAsia="Courier New" w:hAnsi="Courier New"/>
                <w:b w:val="false"/>
                <w:bCs w:val="false"/>
                <w:color w:val="1F2937"/>
                <w:sz w:val="16"/>
                <w:szCs w:val="16"/>
                <w:shd w:fill="F1F3F5" w:color="auto" w:val="clear"/>
                <w:rtl/>
              </w:rPr>
              <w:t xml:space="preserve">‎SupportAccessGrant‎</w:t>
            </w:r>
            <w:r>
              <w:rPr>
                <w:rFonts w:ascii="Arial" w:cs="Arial" w:eastAsia="Arial" w:hAnsi="Arial"/>
                <w:b w:val="false"/>
                <w:bCs w:val="false"/>
                <w:sz w:val="18"/>
                <w:szCs w:val="18"/>
                <w:rtl/>
              </w:rPr>
              <w:t xml:space="preserve"> أو من تهيئة المشترك</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(§18.2) لم تُعتمد بعد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 فيتغير الـDDL قبل S0</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pStyle w:val="Heading1"/>
        <w:bidi/>
      </w:pPr>
      <w:bookmarkStart w:name="_sec108" w:id="108"/>
      <w:r>
        <w:rPr>
          <w:rFonts w:ascii="Arial" w:cs="Arial" w:eastAsia="Arial" w:hAnsi="Arial"/>
          <w:b/>
          <w:bCs/>
          <w:color w:val="1F3A5F"/>
          <w:sz w:val="32"/>
          <w:szCs w:val="32"/>
          <w:rtl/>
        </w:rPr>
        <w:t xml:space="preserve">17. الخطوة التالية</w:t>
      </w:r>
      <w:bookmarkEnd w:id="108"/>
    </w:p>
    <w:p>
      <w:pPr>
        <w:pStyle w:val="ListParagraph"/>
        <w:numPr>
          <w:ilvl w:val="0"/>
          <w:numId w:val="7"/>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والأسئلة التي تحتاج قرارك: </w:t>
      </w:r>
      <w:r>
        <w:rPr>
          <w:rFonts w:ascii="Arial" w:cs="Arial" w:eastAsia="Arial" w:hAnsi="Arial"/>
          <w:b/>
          <w:bCs/>
          <w:sz w:val="21"/>
          <w:szCs w:val="21"/>
          <w:rtl/>
        </w:rPr>
        <w:t xml:space="preserve">هل تعتمد تعديل المواصفة 13 (O-10)؟ وأيّ من النتائج الرئيسية الـ36 والطفيفة الـ4 تُطبَّق قبل S0 (O-15)؟</w:t>
      </w:r>
    </w:p>
    <w:p>
      <w:pPr>
        <w:pStyle w:val="ListParagraph"/>
        <w:numPr>
          <w:ilvl w:val="0"/>
          <w:numId w:val="7"/>
        </w:numPr>
        <w:bidi/>
        <w:spacing w:after="70" w:before="0" w:line="300"/>
      </w:pPr>
      <w:r>
        <w:rPr>
          <w:rFonts w:ascii="Arial" w:cs="Arial" w:eastAsia="Arial" w:hAnsi="Arial"/>
          <w:b w:val="false"/>
          <w:bCs w:val="false"/>
          <w:sz w:val="21"/>
          <w:szCs w:val="21"/>
          <w:rtl/>
        </w:rPr>
        <w:t xml:space="preserve">نشر على </w:t>
      </w:r>
      <w:r>
        <w:rPr>
          <w:rFonts w:ascii="Arial" w:cs="Arial" w:eastAsia="Arial" w:hAnsi="Arial"/>
          <w:b/>
          <w:bCs/>
          <w:sz w:val="21"/>
          <w:szCs w:val="21"/>
          <w:rtl/>
        </w:rPr>
        <w:t xml:space="preserve">SQL Server 2025</w:t>
      </w:r>
      <w:r>
        <w:rPr>
          <w:rFonts w:ascii="Arial" w:cs="Arial" w:eastAsia="Arial" w:hAnsi="Arial"/>
          <w:b w:val="false"/>
          <w:bCs w:val="false"/>
          <w:sz w:val="21"/>
          <w:szCs w:val="21"/>
          <w:rtl/>
        </w:rPr>
        <w:t xml:space="preserve"> فعلي وتصحيح ما يظهر (O-1)، مع اختبارات السلوك المذكورة في §14.</w:t>
      </w:r>
    </w:p>
    <w:p>
      <w:pPr>
        <w:pStyle w:val="ListParagraph"/>
        <w:numPr>
          <w:ilvl w:val="0"/>
          <w:numId w:val="7"/>
        </w:numPr>
        <w:bidi/>
        <w:spacing w:after="70" w:before="0" w:line="300"/>
      </w:pPr>
      <w:r>
        <w:rPr>
          <w:rFonts w:ascii="Arial" w:cs="Arial" w:eastAsia="Arial" w:hAnsi="Arial"/>
          <w:b w:val="false"/>
          <w:bCs w:val="false"/>
          <w:sz w:val="21"/>
          <w:szCs w:val="21"/>
          <w:rtl/>
        </w:rPr>
        <w:t xml:space="preserve">ثم الواجهات والشريحة الرأسية S0، بعد حسم O-9 و O-11 و O-12.</w:t>
      </w:r>
    </w:p>
    <w:p>
      <w:pPr>
        <w:bidi/>
        <w:spacing w:after="60" w:before="0"/>
      </w:pPr>
    </w:p>
    <w:p>
      <w:pPr>
        <w:pStyle w:val="Heading1"/>
        <w:bidi/>
      </w:pPr>
      <w:bookmarkStart w:name="_sec109" w:id="109"/>
      <w:r>
        <w:rPr>
          <w:rFonts w:ascii="Arial" w:cs="Arial" w:eastAsia="Arial" w:hAnsi="Arial"/>
          <w:b/>
          <w:bCs/>
          <w:color w:val="1F3A5F"/>
          <w:sz w:val="32"/>
          <w:szCs w:val="32"/>
          <w:rtl/>
        </w:rPr>
        <w:t xml:space="preserve">18. مراجعة التصميم (Design review)</w:t>
      </w:r>
      <w:bookmarkEnd w:id="109"/>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ويتحقق منها آليًا، والرئيسية والطفيفة مفتوحة (§18.3).</w:t>
      </w:r>
    </w:p>
    <w:p>
      <w:pPr>
        <w:pStyle w:val="Heading2"/>
        <w:bidi/>
      </w:pPr>
      <w:bookmarkStart w:name="_sec110" w:id="110"/>
      <w:r>
        <w:rPr>
          <w:rFonts w:ascii="Arial" w:cs="Arial" w:eastAsia="Arial" w:hAnsi="Arial"/>
          <w:b/>
          <w:bCs/>
          <w:color w:val="2B5C8A"/>
          <w:sz w:val="26"/>
          <w:szCs w:val="26"/>
          <w:rtl/>
        </w:rPr>
        <w:t xml:space="preserve">18.1 النتائج الحرجة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730"/>
        <w:gridCol w:w="1000"/>
        <w:gridCol w:w="3040"/>
        <w:gridCol w:w="2094"/>
        <w:gridCol w:w="1000"/>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3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3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2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3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2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3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2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3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2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3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2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3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2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3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2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3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2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3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2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3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2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18.2 النتائج الرئيسية والطفيفة</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2338"/>
        <w:gridCol w:w="1000"/>
        <w:gridCol w:w="1026"/>
        <w:gridCol w:w="2566"/>
        <w:gridCol w:w="934"/>
        <w:gridCol w:w="1000"/>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18.3 القرار</w:t>
      </w:r>
      <w:bookmarkEnd w:id="112"/>
    </w:p>
    <w:p>
      <w:pPr>
        <w:pStyle w:val="ListParagraph"/>
        <w:numPr>
          <w:ilvl w:val="0"/>
          <w:numId w:val="8"/>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8"/>
        </w:numPr>
        <w:bidi/>
        <w:spacing w:after="70" w:before="0" w:line="300"/>
      </w:pPr>
      <w:r>
        <w:rPr>
          <w:rFonts w:ascii="Arial" w:cs="Arial" w:eastAsia="Arial" w:hAnsi="Arial"/>
          <w:b/>
          <w:bCs/>
          <w:sz w:val="21"/>
          <w:szCs w:val="21"/>
          <w:rtl/>
        </w:rPr>
        <w:t xml:space="preserve">الرئيسية (36) والطفيفة (4): مفتوحة.</w:t>
      </w:r>
      <w:r>
        <w:rPr>
          <w:rFonts w:ascii="Arial" w:cs="Arial" w:eastAsia="Arial" w:hAnsi="Arial"/>
          <w:b w:val="false"/>
          <w:bCs w:val="false"/>
          <w:sz w:val="21"/>
          <w:szCs w:val="21"/>
          <w:rtl/>
        </w:rPr>
        <w:t xml:space="preserve"> المطلوب قرار لكل نتيجة: تُطبَّق قبل S0، أو تُؤجَّل بسبب مكتوب (O-15). ما يُطبَّق منها يغيّر النموذج، فيُعاد التوليد والتحقق.</w:t>
      </w:r>
    </w:p>
    <w:p>
      <w:pPr>
        <w:pStyle w:val="ListParagraph"/>
        <w:numPr>
          <w:ilvl w:val="0"/>
          <w:numId w:val="8"/>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394afd22ce9e6c7945c20880b9406609bf5a77f0.png"/><Relationship Id="rId11" Type="http://schemas.openxmlformats.org/officeDocument/2006/relationships/image" Target="media/b75998481ab0ef1db4e242cf4d90e3edd0b0a4e1.png"/><Relationship Id="rId12" Type="http://schemas.openxmlformats.org/officeDocument/2006/relationships/image" Target="media/88b9c0ec621ea7cabf6588d3f7e5cb2bf71c423d.png"/><Relationship Id="rId13" Type="http://schemas.openxmlformats.org/officeDocument/2006/relationships/image" Target="media/a7a7fef06cca2f0643662283f9c35d9f2570cf92.png"/><Relationship Id="rId14" Type="http://schemas.openxmlformats.org/officeDocument/2006/relationships/image" Target="media/a1e7668baf08875b2db070b292c9cb791ac4af82.png"/><Relationship Id="rId15" Type="http://schemas.openxmlformats.org/officeDocument/2006/relationships/image" Target="media/9b3786f8184a09b5f1368696fc307318687913db.png"/><Relationship Id="rId16" Type="http://schemas.openxmlformats.org/officeDocument/2006/relationships/image" Target="media/badc69daba83dbe5931f68b48317c53ab6966240.png"/><Relationship Id="rId17" Type="http://schemas.openxmlformats.org/officeDocument/2006/relationships/image" Target="media/d3f2179fc08ce0eacd8158922885beb09b1d8d13.png"/><Relationship Id="rId18" Type="http://schemas.openxmlformats.org/officeDocument/2006/relationships/image" Target="media/c76002d011352f5395eb0b6c31f09f1d67c59208.png"/><Relationship Id="rId19" Type="http://schemas.openxmlformats.org/officeDocument/2006/relationships/image" Target="media/1a88435d2f039d0fa8f2b3cdfc86cd319030ec60.png"/><Relationship Id="rId20" Type="http://schemas.openxmlformats.org/officeDocument/2006/relationships/image" Target="media/29eb4df0aacf9c0072e337a761f788843d7a80cf.png"/><Relationship Id="rId21" Type="http://schemas.openxmlformats.org/officeDocument/2006/relationships/image" Target="media/6b1d29cc62baee06a5ba6683a9e07f069ed0d68a.png"/><Relationship Id="rId22" Type="http://schemas.openxmlformats.org/officeDocument/2006/relationships/image" Target="media/774fe46ecf3760c648c35a01cac1d50484330c0f.png"/><Relationship Id="rId23" Type="http://schemas.openxmlformats.org/officeDocument/2006/relationships/image" Target="media/c21bf5461509a6600882b3e0c661a8374c8e11e4.png"/><Relationship Id="rId24" Type="http://schemas.openxmlformats.org/officeDocument/2006/relationships/image" Target="media/101438c2eebfd0717141bb568e77a17547d945d5.png"/><Relationship Id="rId25" Type="http://schemas.openxmlformats.org/officeDocument/2006/relationships/image" Target="media/cb080cd65b607f7f9633ce1ddc6d1fe9caa73fd5.png"/><Relationship Id="rId26" Type="http://schemas.openxmlformats.org/officeDocument/2006/relationships/image" Target="media/a7b8ed1cdeea67cf394d53d30f27f2b03d16b086.png"/><Relationship Id="rId27" Type="http://schemas.openxmlformats.org/officeDocument/2006/relationships/image" Target="media/fafbd534482467ca795a619256cc040d809678d7.png"/><Relationship Id="rId28" Type="http://schemas.openxmlformats.org/officeDocument/2006/relationships/image" Target="media/19ed210285c6be503a282437430627d0141bf437.png"/><Relationship Id="rId29" Type="http://schemas.openxmlformats.org/officeDocument/2006/relationships/image" Target="media/a7b6ae8c9d68ff4de6a5ab8636260887f3882ec9.png"/><Relationship Id="rId30" Type="http://schemas.openxmlformats.org/officeDocument/2006/relationships/image" Target="media/49cb5193cf21a99ab8f6c97029a00bf1bad3271a.png"/><Relationship Id="rId31" Type="http://schemas.openxmlformats.org/officeDocument/2006/relationships/image" Target="media/e67035773addbfd0d234ddf7bdbd3703eb7b2d01.png"/><Relationship Id="rId32" Type="http://schemas.openxmlformats.org/officeDocument/2006/relationships/image" Target="media/8d5d972816be1a4f7fb7bd461a82351be911260c.png"/><Relationship Id="rId33" Type="http://schemas.openxmlformats.org/officeDocument/2006/relationships/image" Target="media/1dfa69fe80e24e4114061f8d82f7a15cdf46b836.png"/><Relationship Id="rId34" Type="http://schemas.openxmlformats.org/officeDocument/2006/relationships/image" Target="media/22eea4621d189d2ec2ce3de64049d504827489ba.png"/><Relationship Id="rId35" Type="http://schemas.openxmlformats.org/officeDocument/2006/relationships/image" Target="media/51418d538b6808035e0db5c469ea7ba46dffa8f3.png"/><Relationship Id="rId36" Type="http://schemas.openxmlformats.org/officeDocument/2006/relationships/image" Target="media/46a0f19f17d64fe26b4c36522e53db828d08c0e2.png"/><Relationship Id="rId37" Type="http://schemas.openxmlformats.org/officeDocument/2006/relationships/image" Target="media/be2422664b11cc849ef3d82a92cb61fbd44ff584.png"/><Relationship Id="rId38" Type="http://schemas.openxmlformats.org/officeDocument/2006/relationships/image" Target="media/93dccc242007585c67c314a8ec0d81704fe3501f.png"/><Relationship Id="rId39" Type="http://schemas.openxmlformats.org/officeDocument/2006/relationships/image" Target="media/90572ef349b4e189835e0f13298d23bd222147f4.png"/><Relationship Id="rId40" Type="http://schemas.openxmlformats.org/officeDocument/2006/relationships/image" Target="media/1e2b41f142148e53cebb38d8af332c67607f10e7.png"/><Relationship Id="rId41" Type="http://schemas.openxmlformats.org/officeDocument/2006/relationships/image" Target="media/76e546e477c4da7d3bb36259438ed6a4d3726402.png"/><Relationship Id="rId42" Type="http://schemas.openxmlformats.org/officeDocument/2006/relationships/image" Target="media/271e0b36918d1081cbb0fb919ffdbe0b3739a561.png"/><Relationship Id="rId43" Type="http://schemas.openxmlformats.org/officeDocument/2006/relationships/image" Target="media/63d48754eed442470525e2402aba12e000d32da3.png"/><Relationship Id="rId44" Type="http://schemas.openxmlformats.org/officeDocument/2006/relationships/image" Target="media/f1c2c34bf83df820e0c42dc07d3ff28846823b78.png"/><Relationship Id="rId45" Type="http://schemas.openxmlformats.org/officeDocument/2006/relationships/image" Target="media/3734a7522653812e8f538e943ec35e349d97ca79.png"/><Relationship Id="rId46" Type="http://schemas.openxmlformats.org/officeDocument/2006/relationships/image" Target="media/719dcfc4d1a2bb585edcb893ae4bea494650a0f2.png"/><Relationship Id="rId47" Type="http://schemas.openxmlformats.org/officeDocument/2006/relationships/image" Target="media/e017a7b7068131182508c2f4a525c30806afc22f.png"/><Relationship Id="rId48" Type="http://schemas.openxmlformats.org/officeDocument/2006/relationships/image" Target="media/501b67cbb32f47b51061a57cae996b54871e0ca6.png"/><Relationship Id="rId49" Type="http://schemas.openxmlformats.org/officeDocument/2006/relationships/image" Target="media/5603e99f8f2a7cc1938496761df70c8a63a82ac9.png"/><Relationship Id="rId50" Type="http://schemas.openxmlformats.org/officeDocument/2006/relationships/image" Target="media/05f53dc88ad0943efaead7b4c2d5ab1aa080fc4a.png"/><Relationship Id="rId51" Type="http://schemas.openxmlformats.org/officeDocument/2006/relationships/image" Target="media/2b2144d7fc608f1fdad5d8fbd5bcb05af47ed3a2.png"/><Relationship Id="rId52" Type="http://schemas.openxmlformats.org/officeDocument/2006/relationships/image" Target="media/d5d06d0ed7e79795ab5ed0ed5dbdf50949842418.png"/><Relationship Id="rId53" Type="http://schemas.openxmlformats.org/officeDocument/2006/relationships/image" Target="media/4982395d76e0d33b7f30ab097273feccdf168e04.png"/><Relationship Id="rId54" Type="http://schemas.openxmlformats.org/officeDocument/2006/relationships/image" Target="media/494c0f4a1326e3bbc19667850012a84e52403045.png"/><Relationship Id="rId55" Type="http://schemas.openxmlformats.org/officeDocument/2006/relationships/image" Target="media/f3c6a99e2f66df4dbe72197e44ae37e9973bbd72.png"/><Relationship Id="rId56" Type="http://schemas.openxmlformats.org/officeDocument/2006/relationships/image" Target="media/d539d1be88e22a9ddb39b43fe087de6d95fef4aa.png"/><Relationship Id="rId57" Type="http://schemas.openxmlformats.org/officeDocument/2006/relationships/image" Target="media/7ff803ad906bcfa2ebcbadf7dabb9605bc925441.png"/><Relationship Id="rId58" Type="http://schemas.openxmlformats.org/officeDocument/2006/relationships/image" Target="media/32e4178cfcb0982981bc4df131be60ca723fa475.png"/><Relationship Id="rId59" Type="http://schemas.openxmlformats.org/officeDocument/2006/relationships/image" Target="media/7300a75f1e07f1ea9aec9b51ff08678436fe43ba.png"/><Relationship Id="rId60" Type="http://schemas.openxmlformats.org/officeDocument/2006/relationships/image" Target="media/96ebc6fa69822558c7c239d6a27c23f8a70b39d4.png"/><Relationship Id="rId61" Type="http://schemas.openxmlformats.org/officeDocument/2006/relationships/image" Target="media/29590e30561ea7b950cc1ca528df7a1885be854b.png"/><Relationship Id="rId62" Type="http://schemas.openxmlformats.org/officeDocument/2006/relationships/image" Target="media/c3923270745ec1d61733243ee7111b3b6e68e05d.png"/><Relationship Id="rId63" Type="http://schemas.openxmlformats.org/officeDocument/2006/relationships/image" Target="media/fe9d9a8186638b18fae1e422875fcbe2eb728097.png"/><Relationship Id="rId64" Type="http://schemas.openxmlformats.org/officeDocument/2006/relationships/image" Target="media/b0939dc5f64d9418898980eb654a0547e53d205d.png"/><Relationship Id="rId65" Type="http://schemas.openxmlformats.org/officeDocument/2006/relationships/image" Target="media/2d58dca6be24cc25e139c5a76e2a4aecf89a044f.png"/><Relationship Id="rId66" Type="http://schemas.openxmlformats.org/officeDocument/2006/relationships/image" Target="media/c08708dd425ff7caf905c156d869c26b83ec0603.png"/><Relationship Id="rId67" Type="http://schemas.openxmlformats.org/officeDocument/2006/relationships/image" Target="media/c07c181f6bb574f7b888c1c4f10db1da4b196022.png"/><Relationship Id="rId68" Type="http://schemas.openxmlformats.org/officeDocument/2006/relationships/image" Target="media/7008bc244f86ea28562c3e07ecd466b89506f6b3.png"/><Relationship Id="rId6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2026-10-11T02:29:18.423Z</dcterms:created>
  <dcterms:modified xsi:type="dcterms:W3CDTF">2026-10-11T02:29:18.424Z</dcterms:modified>
</cp:coreProperties>
</file>

<file path=docProps/custom.xml><?xml version="1.0" encoding="utf-8"?>
<Properties xmlns="http://schemas.openxmlformats.org/officeDocument/2006/custom-properties" xmlns:vt="http://schemas.openxmlformats.org/officeDocument/2006/docPropsVTypes"/>
</file>