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600"/>
        <w:jc w:val="right"/>
      </w:pPr>
      <w:r>
        <w:rPr>
          <w:rFonts w:ascii="Arial" w:cs="Arial" w:eastAsia="Arial" w:hAnsi="Arial"/>
          <w:b/>
          <w:bCs/>
          <w:color w:val="1F3A5F"/>
          <w:sz w:val="44"/>
          <w:szCs w:val="44"/>
          <w:rtl/>
        </w:rPr>
        <w:t xml:space="preserve">مخطط علاقات جداول قاعدة البيانات</w:t>
      </w:r>
    </w:p>
    <w:p>
      <w:pPr>
        <w:bidi/>
        <w:spacing w:after="360" w:before="0"/>
        <w:jc w:val="right"/>
      </w:pPr>
      <w:r>
        <w:rPr>
          <w:rFonts w:ascii="Arial" w:cs="Arial" w:eastAsia="Arial" w:hAnsi="Arial"/>
          <w:color w:val="5B6670"/>
          <w:sz w:val="26"/>
          <w:szCs w:val="26"/>
          <w:rtl/>
        </w:rPr>
        <w:t xml:space="preserve">مخطط ERD بتدوين Crow's Foot · SQL Server 2025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38"/>
      </w:tblGrid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الوثيقة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مخطط علاقات الجداول (ERD) لكل وحدة وللنواة، مع جداول العلاقات الكاملة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الإصدار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v0.3 مسودة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التاريخ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2026-10-11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الجداول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194 جدولًا في 20 مخططًا (schema)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المفاتيح الأجنبية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763 مفتاحًا في DDL = 184 مفتاح ملكية للمشترك (TenantId → plat.Tenant، تُولَّد آليًا) + 579 علاقة، منها 533 مكتوبة في النموذج و46 مولّدة آليًا من علامتي rev وsrc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القيود الفريدة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515 قيدًا في DDL (قيود UQ والفهارس الفريدة)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مجموعات الرسم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60 مجموعةً رسم: 5 للنواة و55 للوحدات م0 إلى م7/م8، بحد 4 جداول لكل رسم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المصدر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db/model/*.model (الأعمدة والعلاقات) · db/generated/tsql (المفاتيح والقيود) · tools/dbgen/erd_manifest.py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قراءة الرسم</w:t>
      </w:r>
    </w:p>
    <w:p>
      <w:pPr>
        <w:keepNext w:val="false"/>
        <w:bidi/>
        <w:spacing w:after="14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ترسم الرسوم بتدوين Crow's Foot. كل خط يربط جدول الأب بجدول الابن، واسمه أعمدة الربط بينهما.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9"/>
        <w:gridCol w:w="2845"/>
        <w:gridCol w:w="10974"/>
      </w:tblGrid>
      <w:tr>
        <w:trPr>
          <w:cantSplit/>
          <w:tblHeader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الرمز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الطرف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||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الأب، إلزامي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كل صف ابن يجب أن يشير إلى أب واحد، فالعمود الإلزامي لا يقبل NULL.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|o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الأب، اختياري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الابن قد لا يشير إلى أب، والعمود يقبل NULL.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}o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الابن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الأب الواحد يمكن أن يملك صفرًا أو أكثر من الأبناء.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PK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أساسي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كما في DDL؛ يسبقه TenantId في المفاتيح المركّبة.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FK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أجنبي عملي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يشير إلى جدول آخر. عمود الملكية TenantId لا يُعدّ هنا (انظر الملاحظات).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UK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عدد القيود الفريدة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عدد قيود UQ والفهارس الفريدة في DDL، ومنها المصفّى بشرط؛ لا يُرسم في الشكل.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الحذف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 / يمنع الحذف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متسلسل: يُحذف الابن مع أبيه. يمنع الحذف: لا يُحذف الأب ما دام له أبناء.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الرسم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 / لا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الرسم يعرض العلاقات بين جداول الرسم نفسه، ومنها العلاقة الذاتية (جدول يشير إلى نفسه). العلاقة إلى جدول في رسم آخر، وعمود الإثبات، تُذكران في جدول العلاقات ولا تُرسمان.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نطاق الربط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أعمدة إضافية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الأعمدة التي تضاف إلى العمود نفسه ليكوّن المفتاح المركّب، مثل FacilityId وLimitId.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النوع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 / إثبات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عمل: علاقة وظيفية بين بيانات العمل. إثبات: تتبع المصدر أو التحقق أو التعارض أو سلسلة المراجعة.</w:t>
            </w:r>
          </w:p>
        </w:tc>
      </w:tr>
    </w:tbl>
    <w:p>
      <w:pPr>
        <w:keepNext/>
        <w:bidi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  <w:rtl/>
        </w:rPr>
        <w:t xml:space="preserve">ملاحظات الرسم والجداول: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كل جدول مملوك للمشترك يحمل عمود TenantId يشير إلى plat.Tenant، وهي 184 علاقة ملكية، لا تُرسم ولا تُعرض في جداول العلاقات. plat.Tenant هو جذر المشترك: يحمل TenantId مفتاحًا أساسيًا لا مفتاح ملكية، فلا يُعدّ في العمود.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أعمدة الإثبات والتتبع (ActorUserId، AssignedBy، CandidateASourceDocumentId، CandidateBSourceDocumentId، ConflictId، CreatedBy، EndedBy، GrantedBy، OnBehalfOfUserId، RevokedBy، SourceDocumentId، SupersedesId، UpdatedBy، VerifiedBy) تُعلَّم «إثبات»، وهي 75 مفتاحًا أجنبيًا، ولا تُرسم.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كل جدول يظهر في رسم واحد بالضبط في الملحق أ؛ وقد يظهر أيضًا في رسوم النواة.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الإحالات المختصرة في وصف الجداول (مثل «10» و«13» و«§6.2») تشير إلى وثائق المواصفات في مجلد docs/، وليست جزءًا من هذا الملف.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الأرقام تُحسب من النموذج والـDDL المولَّد، وتُقارَن بينهما قبل كتابة هذا الملف: 194 جدولًا، و763 مفتاحًا أجنبيًا، و515 قيدًا فريدًا.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خريطة المخططات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كل مخطط (schema) صندوق، والعلاقة بين مخططين عدد المفاتيح الأجنبية التي تربط جداولهما. تُرسم الأزواج التي فيها خمسة مفاتيح فأكثر فقط؛ الباقي يظهر في جداول المجموعات.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238500"/>
            <wp:effectExtent t="0" r="0" b="0" l="0"/>
            <wp:docPr id="1" name="diagrams/erd/schema_map.png" descr="الشكل 1: خريطة المخططات وعدد المفاتيح الأجنبية بين كل مخططين" title="الشكل 1: خريطة المخططات وعدد المفاتيح الأجنبية بين كل مخطط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1: خريطة المخططات وعدد المفاتيح الأجنبية بين كل مخططين</w:t>
      </w:r>
    </w:p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 بين المخططات (5 مفاتيح فأكثر)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9"/>
        <w:gridCol w:w="5639"/>
        <w:gridCol w:w="3760"/>
      </w:tblGrid>
      <w:tr>
        <w:trPr>
          <w:cantSplit/>
          <w:tblHeader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 الأب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 الابن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المفاتيح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المخططات والجداول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9"/>
        <w:gridCol w:w="4699"/>
        <w:gridCol w:w="4700"/>
      </w:tblGrid>
      <w:tr>
        <w:trPr>
          <w:cantSplit/>
          <w:tblHeader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الجداول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مفتاح الملكية TenantId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النواة: المشترك والهوية والصلاحيات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تُرسم جداول النواة (17 جدولًا) في 5 رسوم متتالية، لكل رسم أربعة جداول على الأكثر. العلاقات بين رسوم النواة تظهر في جداول العلاقات.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النواة (1/5)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هذا الرسم من النواة؛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314700"/>
            <wp:effectExtent t="0" r="0" b="0" l="0"/>
            <wp:docPr id="1" name="diagrams/erd/core_tenancy_1.png" descr="الشكل 2: النواة (1/5) · المشترك والهوية والصلاحيات (4 جداول)" title="الشكل 2: النواة (1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2: النواة (1/5)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TenantModuleId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SupportAccessGrantId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HomeCountryId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EnabledBy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GrantedBy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النواة (2/5)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هذا الرسم من النواة؛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134475" cy="5143500"/>
            <wp:effectExtent t="0" r="0" b="0" l="0"/>
            <wp:docPr id="1" name="diagrams/erd/core_tenancy_2.png" descr="الشكل 3: النواة (2/5) · المشترك والهوية والصلاحيات (4 جداول)" title="الشكل 3: النواة (2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344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3: النواة (2/5)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PlatformOperatorId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TenantKeyId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AppUserId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LineManagerUserId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MfaKeyId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النواة (3/5)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هذا الرسم من النواة؛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781425"/>
            <wp:effectExtent t="0" r="0" b="0" l="0"/>
            <wp:docPr id="1" name="diagrams/erd/core_tenancy_3.png" descr="الشكل 4: النواة (3/5) · المشترك والهوية والصلاحيات (4 جداول)" title="الشكل 4: النواة (3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4: النواة (3/5)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RoleId, 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النواة (4/5)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هذا الرسم من النواة؛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7067550" cy="5143500"/>
            <wp:effectExtent t="0" r="0" b="0" l="0"/>
            <wp:docPr id="1" name="diagrams/erd/core_tenancy_4.png" descr="الشكل 5: النواة (4/5) · المشترك والهوية والصلاحيات (4 جداول)" title="الشكل 5: النواة (4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75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5: النواة (4/5)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UserSessionId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DepartmentId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AuditLogId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EndedBy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2.5 النواة (5/5)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هذا الرسم من النواة؛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2524125" cy="1066800"/>
            <wp:effectExtent t="0" r="0" b="0" l="0"/>
            <wp:docPr id="1" name="diagrams/erd/core_tenancy_5.png" descr="الشكل 6: النواة (5/5) · المشترك والهوية والصلاحيات (جدول واحد)" title="الشكل 6: النواة (5/5) · المشترك والهوية والصلاحيات (جدول واحد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6: النواة (5/5) · المشترك والهوية والصلاحيات (جدول واحد)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لا توجد مفاتيح أجنبية عملية لجداول هذه المجموعة.</w:t>
      </w:r>
    </w:p>
    <w:p>
      <w:pPr>
        <w:pStyle w:val="Heading1"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رسوم الوحدات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تغطي 55 مجموعةً رسم كل جداول النموذج، وكل جدول يظهر في مجموعة واحدة بالضبط. الجدول التالي يلخص الوحدات: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5012"/>
        <w:gridCol w:w="5014"/>
      </w:tblGrid>
      <w:tr>
        <w:trPr>
          <w:cantSplit/>
          <w:tblHeader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الوحدة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مجموعات الرسم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الجداول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م0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م1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م2–م3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م4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م5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12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م6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م7/م8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م0 · المشترك والاشتراكات والمشغّلون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Tenancy &amp; platform operators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657475"/>
            <wp:effectExtent t="0" r="0" b="0" l="0"/>
            <wp:docPr id="1" name="diagrams/erd/m0_tenancy_1.png" descr="الشكل 7: م0 · المشترك والاشتراكات والمشغّلون (1/2) (4 جداول)" title="الشكل 7: م0 · المشترك والاشتراكات والمشغّلون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7: م0 · المشترك والاشتراكات والمشغّلون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وحدات الباقة (يحل محل Plan.IncludedModules json)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PlanId, ModuleCode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PlatformOperatorId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plat.ReservedSubdomain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عناوين فرعية محجوزة للنظام: www · admin · api · app… (FR-PLT-046)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ReservedSubdomainId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م0 · المشترك والاشتراكات والمشغّلون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Tenancy &amp; platform operators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390650"/>
            <wp:effectExtent t="0" r="0" b="0" l="0"/>
            <wp:docPr id="1" name="diagrams/erd/m0_tenancy_2.png" descr="الشكل 8: م0 · المشترك والاشتراكات والمشغّلون (2/2) (3 جداول)" title="الشكل 8: م0 · المشترك والاشتراكات والمشغّلون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8: م0 · المشترك والاشتراكات والمشغّلون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SupportAccessGrantId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TenantModuleId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GrantedBy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HomeCountryId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EnabledBy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م0 · الهوية والصلاحيات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Identity &amp; authorisation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382125" cy="5143500"/>
            <wp:effectExtent t="0" r="0" b="0" l="0"/>
            <wp:docPr id="1" name="diagrams/erd/m0_identity_1.png" descr="الشكل 9: م0 · الهوية والصلاحيات (1/2) (4 جداول)" title="الشكل 9: م0 · الهوية والصلاحي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21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9: م0 · الهوية والصلاحيات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AppUserId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RoleId, 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LineManagerUserId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MfaKeyId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م0 · الهوية والصلاحيات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Identity &amp; authorisation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466850"/>
            <wp:effectExtent t="0" r="0" b="0" l="0"/>
            <wp:docPr id="1" name="diagrams/erd/m0_identity_2.png" descr="الشكل 10: م0 · الهوية والصلاحيات (2/2) (3 جداول)" title="الشكل 10: م0 · الهوية والصلاحي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10: م0 · الهوية والصلاحيات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هوية خارجية OIDC/Entra بالمستخدم؛ جاهزية فقط (FR-PLT-015، §11)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ExternalIdentityId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م0 · الجلسات والمفاتيح والمحاولات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Sessions, keys &amp; attempts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009650"/>
            <wp:effectExtent t="0" r="0" b="0" l="0"/>
            <wp:docPr id="1" name="diagrams/erd/m0_sessions_1.png" descr="الشكل 11: م0 · الجلسات والمفاتيح والمحاولات (1/2) (4 جداول)" title="الشكل 11: م0 · الجلسات والمفاتيح والمحاول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11: م0 · الجلسات والمفاتيح والمحاولات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UserSessionId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محاولات الدخول لخنق المعدل ونوافذ القفل؛ الأثر الدائم في aud.AuditLog (BR-PLT-005)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LoginAttemptId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 رموز استرداد لمرة واحدة مُجزَّأة (FR-PLT-011، BR-PLT-006؛ بديل AppUser.RecoveryCodesHash json)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MfaRecoveryCodeId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رابط دعوة (48 ساعة) أو إعادة تعيين كلمة المرور (30 دقيقة) لمرة واحدة (FR-PLT-013)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UserTokenId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EndedBy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RequestedByUserId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م0 · الجلسات والمفاتيح والمحاولات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Sessions, keys &amp; attempts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429625" cy="4029075"/>
            <wp:effectExtent t="0" r="0" b="0" l="0"/>
            <wp:docPr id="1" name="diagrams/erd/m0_sessions_2.png" descr="الشكل 12: م0 · الجلسات والمفاتيح والمحاولات (2/2) (3 جداول)" title="الشكل 12: م0 · الجلسات والمفاتيح والمحاول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96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12: م0 · الجلسات والمفاتيح والمحاولات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آخر 5 كلمات مرور لمنع إعادة استعمالها (BR-PLT-004)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UserPasswordHistoryId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TenantKeyId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أحداث المفاتيح: إنشاء وتدوير وإبطال (FR-PLT-037؛ شدة عالية BR-PLT-009)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KeyEventId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TenantKeyId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3.7 م0 · التدقيق والمستندات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Audit &amp; documents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5095875"/>
            <wp:effectExtent t="0" r="0" b="0" l="0"/>
            <wp:docPr id="1" name="diagrams/erd/m0_audit_docs_1.png" descr="الشكل 13: م0 · التدقيق والمستندات (1/2) (4 جداول)" title="الشكل 13: م0 · التدقيق والمستند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13: م0 · التدقيق والمستندات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AuditLogId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كشف الهويات والصور والتصدير والتنزيل المقيّد؛ لكشف الشذوذ &gt;20/ساعة وR-PLT-3 (BR-PTY-009)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SensitiveAccessLogId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المستند المنطقي: بيانات المستند وحالته؛ الملف في doc.DocumentVersion (FR-PLT-027/028، BR-PLT-011)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بأي كيان بدور وصفحة مرجعية؛ إلغاء الربط منطقي (FR-PLT-028)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DocumentLinkId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OwnerCompanyId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CurrentVersionId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DeletedBy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UnlinkedBy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3.8 م0 · التدقيق والمستندات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Audit &amp; documents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619500" cy="1933575"/>
            <wp:effectExtent t="0" r="0" b="0" l="0"/>
            <wp:docPr id="1" name="diagrams/erd/m0_audit_docs_2.png" descr="الشكل 14: م0 · التدقيق والمستندات (2/2) (جدول واحد)" title="الشكل 14: م0 · التدقيق والمستندات (2/2) (جدول واحد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14: م0 · التدقيق والمستندات (2/2) (جدول واحد)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ثابت من الملف؛ التغيير يُنشئ إصدارًا جديدًا يفرضه التطبيق (FR-PLT-027، BR-PLT-011)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DocumentVersionId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3.9 م0 · الإعدادات والمهام الخلفية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638550"/>
            <wp:effectExtent t="0" r="0" b="0" l="0"/>
            <wp:docPr id="1" name="diagrams/erd/m0_config_1.png" descr="الشكل 15: م0 · الإعدادات والمهام الخلفية (1/3) (4 جداول)" title="الشكل 15: م0 · الإعدادات والمهام الخلفية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15: م0 · الإعدادات والمهام الخلفية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طلب تصدير بيانات المشترك (FR-PLT-039، BR-PLT-016)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DataExportJobId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التنبيهات المرسَلة: حدث واحد لكل (عنصر، عتبة) ولا تكرار في اليوم نفسه (FR-PLT-038)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ExpiryAlertLogId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تنبيه انتهاء لكل نوع عنصر (FR-PLT-038، BR-PLT-013)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ExpiryAlertRuleId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cfg.JobRun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المهام الخلفية: آخر تشغيل ومدته ونتيجته ظاهر لمدير الحساب (FR-PLT-044)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JobRunId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PackageDocumentId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ExpiryAlertRuleId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3.10 م0 · الإعدادات والمهام الخلفية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524625" cy="5143500"/>
            <wp:effectExtent t="0" r="0" b="0" l="0"/>
            <wp:docPr id="1" name="diagrams/erd/m0_config_2.png" descr="الشكل 16: م0 · الإعدادات والمهام الخلفية (2/3) (4 جداول)" title="الشكل 16: م0 · الإعدادات والمهام الخلفية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16: م0 · الإعدادات والمهام الخلفية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يوم غير عمل؛ TenantId الفارغ = عطلة المنصة للقراءة فقط (FR-PLT-035، BR-PLT-014)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NonWorkingDayId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الأرقام الصادرة؛ الملغى لا يُعاد استعماله (FR-PLT-026، BR-PLT-010)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NumberIssueId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عدّاد لكل (تعريف، شركة اختيارية، فترة)؛ يُقفل صفه عند التخصيص داخل معاملة المستدعي (BR-PLT-010)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NumberSequenceId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الترقيم بصيغة بوسوم مثل {seq:000}-{erp}-{yy} (FR-PLT-026)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NumberSequenceDefinitionId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SequenceId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VoidedBy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DefinitionId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3.11 م0 · الإعدادات والمهام الخلفية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600075"/>
            <wp:effectExtent t="0" r="0" b="0" l="0"/>
            <wp:docPr id="1" name="diagrams/erd/m0_config_3.png" descr="الشكل 17: م0 · الإعدادات والمهام الخلفية (3/3) (4 جداول)" title="الشكل 17: م0 · الإعدادات والمهام الخلفية (3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17: م0 · الإعدادات والمهام الخلفية (3/3)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cfg.OutboxEvent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طابور الإرسال: تسليم مرة واحدة على الأقل؛ الحمولة معرّفات بلا بيانات مقيّدة (FR-PLT-042)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OutboxEventId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cfg.SeedRun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البذر المُرقَّم لكل حزمة؛ تكرار التشغيل لا يكرر شيئًا (FR-PLT-008)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SeedRunId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cfg.SettingDefinition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مفتاح إعداد بحدود المنصة الدنيا والقصوى (BR-PLT-018، FR-PLT-043)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SettingDefinitionId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cfg.TenantSetting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إعدادات المشترك: سياسات الأمان والمهل والعتبات وwork.start/work.end (FR-PLT-043)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TenantSettingId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لا توجد مفاتيح أجنبية عملية لجداول هذه المجموعة.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3.12 م1 · الشركات والحوكمة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structure &amp; governance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734425" cy="5143500"/>
            <wp:effectExtent t="0" r="0" b="0" l="0"/>
            <wp:docPr id="1" name="diagrams/erd/m1_company_1.png" descr="الشكل 18: م1 · الشركات والحوكمة (1/2) (4 جداول)" title="الشكل 18: م1 · الشركات والحوكم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44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18: م1 · الشركات والحوكمة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نسبة ضريبة بتاريخ سريان؛ CompanyId فارغ = افتراضي المشترك (FR-ORG-007، BR-ORG-005)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CompanyTaxRateId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DepartmentId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حصة ملكية بتاريخ سريان؛ المالك Party فرد أو جهة (FR-ORG-015..018، BR-ORG-006..008، G-7)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ShareholdingId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HolderPartyId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3.13 م1 · الشركات والحوكمة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structure &amp; governance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1990725" cy="5143500"/>
            <wp:effectExtent t="0" r="0" b="0" l="0"/>
            <wp:docPr id="1" name="diagrams/erd/m1_company_2.png" descr="الشكل 19: م1 · الشركات والحوكمة (2/2) (3 جداول)" title="الشكل 19: م1 · الشركات والحوكم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19: م1 · الشركات والحوكمة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هيئة حوكمة (FR-ORG-019، BR-ORG-009)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GoverningBodyId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عضوية في هيئة (FR-ORG-020، FR-ORG-021، BR-ORG-010)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BodyMemberId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تفويض/منحة صلاحية لشركة (FR-ORG-023..028، BR-ORG-011..014)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AuthorityGrantId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PositionId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RepresentedPartyId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AppointmentDocumentId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BodyMemberId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PowerTypeId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CeilingCurrencyId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SupersedesGrantId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3.14 م1 · ملف الشركة و KYC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profile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676650"/>
            <wp:effectExtent t="0" r="0" b="0" l="0"/>
            <wp:docPr id="1" name="diagrams/erd/m1_company_kyc_1.png" descr="الشكل 20: م1 · ملف الشركة و KYC (1/2) (4 جداول)" title="الشكل 20: م1 · ملف الشركة و KYC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20: م1 · ملف الشركة و KYC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ملف تعريف الشركة 1:1 (G-1)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فرع/مستودع/تابعة خارج الحساب كنص (G-3)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CompanyBranchId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الملف المالي KYC بتاريخ سريان: شريحة الإيرادات والغرض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CompanyKycFinancialProfileId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مصفوفة الحركة المتوقعة الشهرية CTP: اتجاه × 5 بنود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CompanyExpectedFlowId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HeadquartersCountryId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SectorId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EmployeeBandId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RevenueBandId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AccountCurrencyId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FinancialProfileId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3.15 م1 · ملف الشركة و KYC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profile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266825"/>
            <wp:effectExtent t="0" r="0" b="0" l="0"/>
            <wp:docPr id="1" name="diagrams/erd/m1_company_kyc_2.png" descr="الشكل 21: م1 · ملف الشركة و KYC (2/2) (3 جداول)" title="الشكل 21: م1 · ملف الشركة و KYC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21: م1 · ملف الشركة و KYC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مصادر الأموال والثروة: قائمة متعددة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FinancialProfileId, WealthSourceId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إفصاحات الشركة (G-5)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CompanyDisclosureId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أصحاب العلاقة: مدققون، مستشار قانوني، جهات تنظيمية، أبرز العملاء/الموردين (G-6)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CompanyKeyRelationId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FinancialProfileId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WealthSourceId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3.16 م1 · الأشخاص والهوية و KYC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28925"/>
            <wp:effectExtent t="0" r="0" b="0" l="0"/>
            <wp:docPr id="1" name="diagrams/erd/m1_party_1.png" descr="الشكل 22: م1 · الأشخاص والهوية و KYC (1/3) (4 جداول)" title="الشكل 22: م1 · الأشخاص والهوية و KYC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22: م1 · الأشخاص والهوية و KYC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عنوان متعدد الملكية: OwnerType+OwnerId بلا FK (مزوّد المالك يتحقق منه التطبيق) (FR-PTY-011، BR-PTY-015)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AddressId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وسيلة اتصال متعددة الملكية (FR-PTY-012، BR-PTY-015)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ContactMethodId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مخصص (FR-PTY-013، BR-PTY-014)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CustomFieldDefinitionId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هوية؛ الرقم مشفّر والصور مستندات مقيَّدة (FR-PTY-004..009، FR-PTY-020..022، BR-PTY-002..008)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IdentityDocumentId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IssuingCountryId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3.17 م1 · الأشخاص والهوية و KYC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933950" cy="5143500"/>
            <wp:effectExtent t="0" r="0" b="0" l="0"/>
            <wp:docPr id="1" name="diagrams/erd/m1_party_2.png" descr="الشكل 23: م1 · الأشخاص والهوية و KYC (2/3) (4 جداول)" title="الشكل 23: م1 · الأشخاص والهوية و KYC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23: م1 · الأشخاص والهوية و KYC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اكتمال KYC لكل بنك ودور (FR-PTY-023، BR-PTY-012..013، G-8، G-14)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KycProfileId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اكتمال (FR-PTY-023، FR-PTY-024، G-14)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KycProfileItemId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ظهور البند بحسب الشكل القانوني؛ غياب الصفوف = ينطبق على الكل (G-15)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KycProfileItemId, LegalEntityTypeId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شخص أو جهة؛ لا دور مخزَّن (FR-PTY-001..003، BR-PTY-001..004، BR-PTY-016..018)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ProfileId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KycProfileItemId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BirthCountryId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EducationLevelId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LinkedCompanyId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MergedIntoPartyId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3.18 م1 · الأشخاص والهوية و KYC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943100"/>
            <wp:effectExtent t="0" r="0" b="0" l="0"/>
            <wp:docPr id="1" name="diagrams/erd/m1_party_3.png" descr="الشكل 24: م1 · الأشخاص والهوية و KYC (3/3) (3 جداول)" title="الشكل 24: م1 · الأشخاص والهوية و KYC (3/3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24: م1 · الأشخاص والهوية و KYC (3/3)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إقرارات امتثال بتاريخ لكل شخص بصفته: PEP، عقوبات، تحقيقات، حصانة (G-9)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PartyComplianceId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حقل مخصص لشخص (FR-PTY-013، FR-PTY-014)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PartyCustomFieldId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الهوية الضريبية والإقرار الضريبي FATCA/CRS (G-13)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TaxIdentityId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DefinitionId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FatcaClassificationId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CrsClassificationId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3.19 م2–م3 · الجهات المالية والحسابات والمفوّضون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848225" cy="5143500"/>
            <wp:effectExtent t="0" r="0" b="0" l="0"/>
            <wp:docPr id="1" name="diagrams/erd/m2_3_institutions_1.png" descr="الشكل 25: م2–م3 · الجهات المالية والحسابات والمفوّضون (1/3) (4 جداول)" title="الشكل 25: م2–م3 · الجهات المالية والحسابات والمفوّضون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25: م2–م3 · الجهات المالية والحسابات والمفوّضون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جهة اتصال لدى البنك: سجل خفيف بلا هوية، PartyId اختياري للترقية (FR-INS-007/008، BR-INS-005/006/014)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ContactId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المنشأة المالية (FR-INS-001..004، BR-INS-001..003، BR-INS-012)؛ Locality محلي/أجنبي مشتقة (BR-INS-002) فلا تُخزَّن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وحدة في هيكل المنشأة: إدارة/قسم/فرع، شجرة ذاتية حتى 4 مستويات (FR-INS-005/006، BR-INS-004)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InstitutionUnitId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علاقة شركة–منشأة (D-4)؛ فريدة مهما كانت حالتها (FR-INS-009، BR-INS-007/011)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ReportsToContactId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ParentUnitId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3.20 م2–م3 · الجهات المالية والحسابات والمفوّضون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571875"/>
            <wp:effectExtent t="0" r="0" b="0" l="0"/>
            <wp:docPr id="1" name="diagrams/erd/m2_3_institutions_2.png" descr="الشكل 26: م2–م3 · الجهات المالية والحسابات والمفوّضون (2/3) (4 جداول)" title="الشكل 26: م2–م3 · الجهات المالية والحسابات والمفوّضون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26: م2–م3 · الجهات المالية والحسابات والمفوّضون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تغطية العلاقة (الطبقة الأولى): جهة اتصال بدور ورتبة وفترة (FR-INS-010، BR-INS-008/009)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RelationshipContactId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منتج يُتعامل به ضمن علاقة مع جهة افتراضية وقناة (FR-INS-011..013، BR-INS-010)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صلاحية المفوّض بالحوكمة وقرار المراجع (S1-ب) (FR-ACC-018، BR-ACC-015)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AuthorityConflictId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حساب شركة لدى منشأة (FR-ACC-001..009، BR-ACC-001..006، BR-ACC-016)؛ الرقم وIBAN مشفّران بفهرس أعمى للفرادة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BankAccountId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DefaultContactId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SignatoryAuthorityId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ReviewedBy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AccountTypeId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MasterAccountId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InstitutionId, 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BranchUnitId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3.21 م2–م3 · الجهات المالية والحسابات والمفوّضون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505200" cy="5143500"/>
            <wp:effectExtent t="0" r="0" b="0" l="0"/>
            <wp:docPr id="1" name="diagrams/erd/m2_3_institutions_3.png" descr="الشكل 27: م2–م3 · الجهات المالية والحسابات والمفوّضون (3/3) (4 جداول)" title="الشكل 27: م2–م3 · الجهات المالية والحسابات والمفوّضون (3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27: م2–م3 · الجهات المالية والحسابات والمفوّضون (3/3)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حساب بتسهيل بغرض (S2) (FR-ACC-010، BR-ACC-007)؛ يُملأ من شاشة التسهيل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شخص لدى علاقة (S1-ب) (FR-ACC-012، FR-ACC-023، BR-ACC-008/009) + إضافات docs/05 G-10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صلاحية المفوّض لعملية على حساب أو على البنك (S1-ب) (FR-ACC-013/014/017، BR-ACC-010/011)؛ لا تعديل في مكانه: الإغلاق والفتح؛ حالتها مشتقة فلا تُخزَّن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SignatoryAuthorityId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فئات التوقيع المطلوبة للتوقيع المشترك (JointClassIds) (BR-ACC-013)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SignatoryAuthorityId, SignatureClassId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PurposeId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SignatureClassId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PositionId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AuthorisationBasisId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CashWithdrawalCurrencyId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AuthorizationDocumentId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SpecimenDocumentId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OperationTypeId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SignatoryAuthorityId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SignatureClassId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3.22 م4 · المنتجات والرسوم والتمويل والضمانات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57500"/>
            <wp:effectExtent t="0" r="0" b="0" l="0"/>
            <wp:docPr id="1" name="diagrams/erd/m4_products_1.png" descr="الشكل 28: م4 · المنتجات والرسوم والتمويل والضمانات (1/3) (4 جداول)" title="الشكل 28: م4 · المنتجات والرسوم والتمويل والضمانات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28: م4 · المنتجات والرسوم والتمويل والضمانات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تصنيف المنتجات: مسطّح (FR-CAT-007)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ProductCategoryId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 البنكي بأعلامه (FR-CAT-007، BR-CAT-004)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المصروف: فئة عريضة لا بند تعرفة (FR-CAT-008، BR-CAT-005، Q-CAT-10)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FeeTypeId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التمويل (FR-CAT-009، BR-CAT-006)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FinancingTypeId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ProductCategoryId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3.23 م4 · المنتجات والرسوم والتمويل والضمانات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228850"/>
            <wp:effectExtent t="0" r="0" b="0" l="0"/>
            <wp:docPr id="1" name="diagrams/erd/m4_products_2.png" descr="الشكل 29: م4 · المنتجات والرسوم والتمويل والضمانات (2/3) (4 جداول)" title="الشكل 29: م4 · المنتجات والرسوم والتمويل والضمانات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29: م4 · المنتجات والرسوم والتمويل والضمانات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المصاريف المسموحة للمنتج؛ تعطيل الربط = حذفه ولا يمس قواعد تسعير قائمة (FR-CAT-010، BR-CAT-007)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ProductFeeTypeId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أنواع التمويل المسموحة للمنتج (FR-CAT-010، BR-CAT-007)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ProductFinancingTypeId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التسهيل (FR-CAT-011)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الحد: رئيسي/جزئي (FR-CAT-012، BR-CAT-008)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FinancingTypeId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ParentLimitTypeId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3.24 م4 · المنتجات والرسوم والتمويل والضمانات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505200"/>
            <wp:effectExtent t="0" r="0" b="0" l="0"/>
            <wp:docPr id="1" name="diagrams/erd/m4_products_3.png" descr="الشكل 30: م4 · المنتجات والرسوم والتمويل والضمانات (3/3) (4 جداول)" title="الشكل 30: م4 · المنتجات والرسوم والتمويل والضمانات (3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30: م4 · المنتجات والرسوم والتمويل والضمانات (3/3)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المنتجات المسموحة لنوع الحد؛ غياب الصفوف = أي منتج بعلامة ظاهرة (BR-CAT-008)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LimitTypeId, 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الضمان بنوع بنية وقالب سمات (FR-CAT-013)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سمة في قالب نوع الضمان؛ لا تُحذف بل تُرمَّز Retired (BR-CAT-009)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CollateralTypeAttributeId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الالتزام بأربع عائلات (FR-CAT-014، BR-CAT-010)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3.25 م4 · الكتالوجات المرجعية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Reference catalogues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866775"/>
            <wp:effectExtent t="0" r="0" b="0" l="0"/>
            <wp:docPr id="1" name="diagrams/erd/m4_reference_1.png" descr="الشكل 31: م4 · الكتالوجات المرجعية (1/2) (4 جداول)" title="الشكل 31: م4 · الكتالوجات المرجعي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31: م4 · الكتالوجات المرجعية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العملات المفعّلة للمشترك: تفعيل مجموعة جزئية من المرجع العالمي (FR-CAT-023، Q-CAT-08)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CurrencyId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المنشأة المالية: بنك، شركة تمويل، استثمارية، مالية، فرد (FR-INS-001)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الحساب (FR-ACC-001)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الشكل القانوني: الكيان وسماته يعرّفها 10 (FR-ORG-002، BR-CAT-017) وتبذره هذه الوحدة؛ أعمدة الكتالوج مكتوبة يدويًا لأن فرادة الرمز بالدولة (10 §6.2) لا فرادته وحده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LegalEntityTypeId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3.26 م4 · الكتالوجات المرجعية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Reference catalogues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885825"/>
            <wp:effectExtent t="0" r="0" b="0" l="0"/>
            <wp:docPr id="1" name="diagrams/erd/m4_reference_2.png" descr="الشكل 32: م4 · الكتالوجات المرجعية (2/2) (3 جداول)" title="الشكل 32: م4 · الكتالوجات المرجعي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32: م4 · الكتالوجات المرجعية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الوثيقة؛ يطبّق 10 أعلامه عند الرفع (FR-CAT-018، BR-CAT-016، FR-PLT-028)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المنصب: السمات يعرّفها 10 §6.2 وحده وتبذر هذه الوحدة صفوفه (FR-CAT-019، BR-CAT-017)؛ SortOrder من أساس الكتالوج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PositionId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الصلاحية: السمات يعرّفها 10 §6.2 وحده وتبذر هذه الوحدة صفوفه (FR-CAT-019، FR-ORG-024)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PowerTypeId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لا توجد مفاتيح أجنبية عملية لجداول هذه المجموعة.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3.27 م4 · الأسعار المرجعية والقوائم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Base rates &amp; lookup lists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286750" cy="4867275"/>
            <wp:effectExtent t="0" r="0" b="0" l="0"/>
            <wp:docPr id="1" name="diagrams/erd/m4_rates_lookups_1.png" descr="الشكل 33: م4 · الأسعار المرجعية والقوائم (1/2) (4 جداول)" title="الشكل 33: م4 · الأسعار المرجعية والقوائم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33: م4 · الأسعار المرجعية والقوائم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العملية البنكية المفوَّض بها (FR-ACC-013، BR-CAT-014)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OperationTypeId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عملية بنوع/أنواع صلاحية حوكمة؛ «أي واحد يكفي» (BR-CAT-014، FR-CAT-019، Q-ACC-05)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OperationTypeId, PowerTypeId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سعر الأساس: سوق (InstitutionId فارغ) أو داخلي لبنك (FR-CAT-015، BR-CAT-011)؛ الأسماء البديلة في BaseRateAlias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اسم بديل لسعر أساس (SIBOR ≡ SAIBOR) بحث بلا حساسية حالة وفريد ضمن النطاق (BR-CAT-011، FR-CAT-015)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BaseRateAliasId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OperationTypeId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PowerTypeId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Tenor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3.28 م4 · الأسعار المرجعية والقوائم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Base rates &amp; lookup lists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7715250" cy="4448175"/>
            <wp:effectExtent t="0" r="0" b="0" l="0"/>
            <wp:docPr id="1" name="diagrams/erd/m4_rates_lookups_2.png" descr="الشكل 34: م4 · الأسعار المرجعية والقوائم (2/2) (3 جداول)" title="الشكل 34: م4 · الأسعار المرجعية والقوائم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34: م4 · الأسعار المرجعية والقوائم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سعر الأساس بتاريخ سريان؛ لا حذف: التصحيح صف جديد والقديم SUPERSEDED (FR-CAT-016، BR-CAT-012/013)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BaseRateValueId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قيم مملوكة للمشترك (FR-CAT-020،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LookupListId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قائمة قيم مملوك للمشترك (FR-CAT-020)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LookupItemId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EnteredBy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LookupListId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3.29 م4 · المراجع العامة (ref)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Global references (shared, read-only)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685800"/>
            <wp:effectExtent t="0" r="0" b="0" l="0"/>
            <wp:docPr id="1" name="diagrams/erd/m4_global_ref.png" descr="الشكل 35: م4 · المراجع العامة (ref) (4 جداول)" title="الشكل 35: م4 · المراجع العامة (ref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35: م4 · المراجع العامة (ref)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العملة: مرجع عالمي ISO 4217 للقراءة فقط (FR-CAT-021، Q-CAT-08)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مصطلح تسليم Incoterms: مرجع عالمي للقراءة فقط يديره المشغّل؛ القديم LEGACY للعرض لا للاختيار (FR-LCT-013، FR-CAT-021،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IncotermId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مادة UCP 600 مرجعية: TenantId الفارغ = صف عام للقراءة فقط ينشره المشغّل وحده (FR-LCT-006، BR-LCT-018، BR-PLT-001)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UcpArticleId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3.30 م5 · التسهيلات والمراجعات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Facilities &amp; revisions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458325" cy="5143500"/>
            <wp:effectExtent t="0" r="0" b="0" l="0"/>
            <wp:docPr id="1" name="diagrams/erd/m5_facility_core_1.png" descr="الشكل 36: م5 · التسهيلات والمراجعات (1/2) (4 جداول)" title="الشكل 36: م5 · التسهيلات والمراجع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583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36: م5 · التسهيلات والمراجعات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حزمة الاتفاقية الائتمانية: جذر التجميعة (FR-FAC-001..008، BR-FAC-001/005/006)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مراجعة معدّ/معتمِد لشروط التسهيل (FR-FAC-024، BR-FAC-003/004،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FacilityRevisionId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ضمن الحزمة بأسبقية (FR-FAC-004، BR-FAC-008، V-FAC-03)؛ نوعها من doc.Document.DocumentTypeId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مقرض وحصته (FR-FAC-003، BR-FAC-007، V-FAC-02)؛ مجموع الحصص 100 ووكيل واحد يتحقق منهما التطبيق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FacilityLenderId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BorrowerCompanyId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PreviousFacilityId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SubmittedBy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AmendsFacilityDocumentId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3.31 م5 · التسهيلات والمراجعات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Facilities &amp; revisions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639175" cy="2800350"/>
            <wp:effectExtent t="0" r="0" b="0" l="0"/>
            <wp:docPr id="1" name="diagrams/erd/m5_facility_core_2.png" descr="الشكل 37: م5 · التسهيلات والمراجعات (2/2) (جدولان)" title="الشكل 37: م5 · التسهيلات والمراجعات (2/2) (جدولان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91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37: م5 · التسهيلات والمراجعات (2/2) (جدولان)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لقطة الرصيد المعترف به (FR-FAC-009، BR-FAC-017)؛ PctOfLimit مشتق لا يُخزَّن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OutstandingSnapshotId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تعارض قيمتين لحقل واحد وحسمه (FR-FAC-026، BR-FAC-019، BR-FAC-008)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ValueConflictId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CandidateASourceDocumentId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CandidateBSourceDocumentId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ResolvedBy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3.32 م5 · الحدود والاستخدام والحجوزات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Limits, utilisation &amp; reservations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553200" cy="5143500"/>
            <wp:effectExtent t="0" r="0" b="0" l="0"/>
            <wp:docPr id="1" name="diagrams/erd/m5_limits_1.png" descr="الشكل 38: م5 · الحدود والاستخدام والحجوزات (1/2) (4 جداول)" title="الشكل 38: م5 · الحدود والاستخدام والحجوز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38: م5 · الحدود والاستخدام والحجوزات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عقدة شجرة الحدود (FR-FAC-010/011، BR-FAC-009/010، V-FAC-04..07)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 منتج داخل حد: سقف اختياري SHARED_CAP دائمًا (FR-FAC-012، V-FAC-08)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LimitProductLineId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 شركة على حد: مسموح/مستثنى/تخصيص (FR-FAC-013، BR-FAC-012، V-FAC-09)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LimitCompanyRuleId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العملية لخط المنتج بتواريخ سريان؛ الفارغ = «غير محدد» لا صفر (FR-FAC-014، BR-FAC-016)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ProductLineTermId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3.33 م5 · الحدود والاستخدام والحجوزات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Limits, utilisation &amp; reservations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2419350" cy="5143500"/>
            <wp:effectExtent t="0" r="0" b="0" l="0"/>
            <wp:docPr id="1" name="diagrams/erd/m5_limits_2.png" descr="الشكل 39: م5 · الحدود والاستخدام والحجوزات (2/2) (3 جداول)" title="الشكل 39: م5 · الحدود والاستخدام والحجوز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39: م5 · الحدود والاستخدام والحجوزات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استخدام فعّال: يدوي أو مرتبط باعتماد مستندي؛ لا حذف (FR-FAC-016/030، BR-FAC-013/020)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UtilizationId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حجز مبلغ لطلب = ExposureAmount (FR-FAC-017/018/020، BR-FAC-015)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LimitReservationId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حركة على حجز أو استخدام؛ لا تعديل ولا حذف؛ مفتاح عدم التكرار (BR-FAC-015/020)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LimitMovementId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ConvertedUtilizationId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LimitReservationId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UtilizationId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3.34 م5 · التسعير وشروط المقارنة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Pricing, tariffs &amp; comparable terms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1343025" cy="5143500"/>
            <wp:effectExtent t="0" r="0" b="0" l="0"/>
            <wp:docPr id="1" name="diagrams/erd/m5_pricing_1.png" descr="الشكل 40: م5 · التسعير وشروط المقارنة (1/2) (4 جداول)" title="الشكل 40: م5 · التسعير وشروط المقارن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40: م5 · التسعير وشروط المقارنة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تسعير بنطاق ووراثة وطرق (FR-PRC-006..017، BR-PRC-006..012، V-PRC-02)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PricingRuleId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قاعدة TIERED بالمبلغ و/أو المدة (FR-PRC-003، BR-PRC-002)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PricingTierId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رسم في جدول التعرفة (FR-PRC-002، BR-PRC-002..005)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جدول رسوم لبنك؛ خاص بتسهيل اختياريًا (FR-PRC-001، BR-PRC-001، V-PRC-01)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TariffScheduleId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ScopeLimitId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FinancingTypeId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TariffItemId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PricingRuleId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ScheduleId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3.35 م5 · التسعير وشروط المقارنة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Pricing, tariffs &amp; comparable terms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791200" cy="5143500"/>
            <wp:effectExtent t="0" r="0" b="0" l="0"/>
            <wp:docPr id="1" name="diagrams/erd/m5_pricing_2.png" descr="الشكل 41: م5 · التسعير وشروط المقارنة (2/2) (3 جداول)" title="الشكل 41: م5 · التسعير وشروط المقارن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41: م5 · التسعير وشروط المقارنة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بند تعرفة بالمبلغ و/أو المدة (FR-PRC-003، BR-PRC-002)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TariffTierId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شرط قابل للمقارنة (FR-CMP-001)؛ الرمز بنمط PRC.MARGIN_PCT؛ النظامي لا يُحذف ولا تتغير وحدته (IsSystem)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TermTypeId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شرط في تسهيل بنطاقها ومصدرها (FR-CMP-002..006، BR-CMP-001..006، V-CMP-01)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TermValueId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TariffItemId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3.36 م5 · الضمانات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Collateral &amp; guarantees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733925"/>
            <wp:effectExtent t="0" r="0" b="0" l="0"/>
            <wp:docPr id="1" name="diagrams/erd/m5_collateral_1.png" descr="الشكل 42: م5 · الضمانات (1/2) (4 جداول)" title="الشكل 42: م5 · الضمان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42: م5 · الضمانات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ضمان؛ اعتماد مستقل عن مراجعة التسهيل، والتعديل يُنشئ إصدارًا جديدًا (FR-COL-001/014، V-COL-01،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ضمان بتسهيل أو حد؛ ضمان واحد لعدة تسهيلات (FR-COL-002، BR-COL-005)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CollateralLinkId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كفالة 1:1 مع Collateral؛ الكفيل Party دائمًا ولا أرقام هوية هنا (FR-COL-003/004، BR-COL-001)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GuaranteeId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تجيير وثيقة تأمين؛ مفتاح الفرادة (CollateralId,PolicyNo) يسمح بتجديد الوثيقة (FR-COL-006، BR-COL-003)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InsurancePolicyAssignmentId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OwnerPartyId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CashMarginAccountId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ReleaseDocumentId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GuarantorPartyId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GuarantorIdentityDocumentId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DeedDocumentId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AssignedToInstitutionId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PolicyDocumentId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3.37 م5 · الضمانات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Collateral &amp; guarantees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467725" cy="5143500"/>
            <wp:effectExtent t="0" r="0" b="0" l="0"/>
            <wp:docPr id="1" name="diagrams/erd/m5_collateral_2.png" descr="الشكل 43: م5 · الضمانات (2/2) (3 جداول)" title="الشكل 43: م5 · الضمان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77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43: م5 · الضمانات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سند لأمر 1:1؛ مبلغ مستقل قد يفوق الحد (FR-COL-005، BR-COL-002)؛ NextRenewalDue وPNRatio مشتقان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PromissoryNoteId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موقّعو السند (SignerPartyIds)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PromissoryNoteId, 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مراحل تقييم عقار (FR-COL-008، BR-COL-004)؛ مثل 3 مقيّمين في السنة الأولى ثم مقيّم سنويًا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ValuationScheduleId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NoteDocumentId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PromissoryNoteId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3.38 م5 · الالتزامات والتعهدات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Obligations, covenants &amp; reporting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143375" cy="5143500"/>
            <wp:effectExtent t="0" r="0" b="0" l="0"/>
            <wp:docPr id="1" name="diagrams/erd/m5_obligations_1.png" descr="الشكل 44: م5 · الالتزامات والتعهدات (1/2) (4 جداول)" title="الشكل 44: م5 · الالتزامات والتعهد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44: م5 · الالتزامات والتعهدات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تعهد بتواريخ؛ الحدود المتدرجة = عدة نسخ (FR-OBL-006، BR-OBL-001/005/006، Q-OBL-01)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CovenantId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الحسابات المشمولة بالتعهد عند اختيار حسابات محددة (AccountIds)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CovenantId, BankAccountId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تقييم تعهد لفترة وإصدار تقييم؛ يمنع التطبيق تعديل التقييم المخزَّن (FR-OBL-011، FR-FIN-012/013، BR-OBL-006/007،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CovenantTestId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التزام على تسهيل (أو حد/خط/شركات)؛ العائلة من ObligationType ولا تُحرَّر (FR-OBL-001، BR-OBL-001)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FormulaId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TestedCompanyId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EvaluatedBy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EvidenceDocumentId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ReviewedBy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ParamCurrencyId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3.39 م5 · الالتزامات والتعهدات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Obligations, covenants &amp; reporting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495800" cy="5143500"/>
            <wp:effectExtent t="0" r="0" b="0" l="0"/>
            <wp:docPr id="1" name="diagrams/erd/m5_obligations_2.png" descr="الشكل 45: م5 · الالتزامات والتعهدات (2/2) (4 جداول)" title="الشكل 45: م5 · الالتزامات والتعهدات (2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45: م5 · الالتزامات والتعهدات (2/2)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خرق وعلاجه وتنازله (FR-OBL-012، BR-OBL-009/011،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ObligationBreachId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الشركات التي ينطبق عليها الالتزام (AppliesToCompanyIds)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ObligationId,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أجندة مولَّد أو مسجَّل لحدث (FR-OBL-003..005، BR-OBL-003، §8)؛ DUE_SOON/OVERDUE مشتقتان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ReportingInstanceId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استحقاق تقرير/إخطار 1:1 مع Obligation (FR-OBL-002/003، BR-OBL-002، V-OBL-01)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ReportingObligationId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CovenantTestId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ReportingInstanceId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WaiverBankContactId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WaiverDocumentId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ReportingObligationId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SubmissionChannelUsedId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EvidenceDocumentId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SubmissionChannelId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3.40 م5 · البيانات المالية والأرصدة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Financial statements &amp; balances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885950"/>
            <wp:effectExtent t="0" r="0" b="0" l="0"/>
            <wp:docPr id="1" name="diagrams/erd/m5_financials_1.png" descr="الشكل 46: م5 · البيانات المالية والأرصدة (1/2) (4 جداول)" title="الشكل 46: م5 · البيانات المالية والأرصد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46: م5 · البيانات المالية والأرصدة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رصيد شهري لحساب بعملة الحساب (FR-FIN-008، BR-FIN-005/006، V-FIN-02)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AccountMonthlyStatId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مبلغ محوَّل للبنك في شهر؛ تجميع سنوي آلي (FR-FIN-009/010، BR-FIN-007/008)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BankFlowEntryId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رأس قائمة مالية؛ سري جدًا (FR-FIN-002/005/006، BR-FIN-001..004،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FinancialStatementId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معياري للقوائم؛ 39 بندًا مبذورًا؛ النظامي في الصيغ لا يُحذف (FR-FIN-001، CatalogBase)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LineCatalogItemId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FlowKindId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PreparedBy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3.41 م5 · البيانات المالية والأرصدة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Financial statements &amp; balances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171825"/>
            <wp:effectExtent t="0" r="0" b="0" l="0"/>
            <wp:docPr id="1" name="diagrams/erd/m5_financials_2.png" descr="الشكل 47: م5 · البيانات المالية والأرصدة (2/2) (3 جداول)" title="الشكل 47: م5 · البيانات المالية والأرصد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47: م5 · البيانات المالية والأرصدة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الأسماء البديلة للبند (Aliases) للصق والمطابقة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LineCatalogItemAliasId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صيغة مقياس: قالب أو نسخة اتفاقية بإصدارات؛ لا تُنفَّذ نصًا (FR-FIN-011، BR-FIN-009، §12)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MeasureFormulaId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سطر قائمة؛ بعملة الرأس والمخزَّن = المُدخل x UnitScale؛ Variance مشتق؛ سري جدًا (BR-FIN-001/002)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StatementLineId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LineCatalogItemId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StatementId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LineCatalogItemId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3.42 م6 · قوالب دورات العمل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362450"/>
            <wp:effectExtent t="0" r="0" b="0" l="0"/>
            <wp:docPr id="1" name="diagrams/erd/m6_wf_templates_1.png" descr="الشكل 48: م6 · قوالب دورات العمل (1/3) (4 جداول)" title="الشكل 48: م6 · قوالب دورات العمل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48: م6 · قوالب دورات العمل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الطلب (FR-REQ-001، BR-REQ-001، V-REQ-01)؛ الأنواع الجديدة بلا كود (FR-REQ-021)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جمهور النوع: من يحق له الطلب؛ غياب الصفوف = لا أحد (فشل مغلق) (FR-REQ-007)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RequestTypeAudienceId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المرحلة الظاهرة للطالب: DRAFT · IN_APPROVAL · RETURNED · AWAITING_REQUESTER · IN_PROGRESS · COMPLETED · REJECTED · CANCELLED (BR-WFL-011، D-6)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ExternalPhaseId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قالب دورة عمل؛ المنشور ثابت (FR-WFL-001/028، BR-WFL-019، AC-WFL-6)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PublishedBy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3.43 م6 · قوالب دورات العمل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210550" cy="5143500"/>
            <wp:effectExtent t="0" r="0" b="0" l="0"/>
            <wp:docPr id="1" name="diagrams/erd/m6_wf_templates_2.png" descr="الشكل 49: م6 · قوالب دورات العمل (2/3) (4 جداول)" title="الشكل 49: م6 · قوالب دورات العمل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49: م6 · قوالب دورات العمل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مرحلة في نسخة قالب (FR-WFL-003/004/005، BR-WFL-002/010/012)؛ حذف فعلي لمسودة النسخة فقط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WorkflowStageId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في مرحلة APPROVAL؛ ALL = كل الخانات، ودور بشخصين يلزمان معًا = خانتان (FR-WFL-007/041، BR-WFL-003/004)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StageApproverId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انتقال بين مرحلتين بشرط وأولوية؛ دورة خطية بتفرع شرطي بسيط (FR-WFL-006، BR-WFL-001، D-8)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WorkflowTransitionId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خطاف مسجَّل بالكود على مرحلة: مفتاح ومعاملات لا كود (FR-WFL-021، BR-WFL-015، §5.4)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WorkflowStageHookId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ExternalPhaseId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PoolPermissionId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FallbackRoleId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FallbackRoleId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FromStageId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ToStageId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ResumeStageId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3.44 م6 · قوالب دورات العمل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505825" cy="1943100"/>
            <wp:effectExtent t="0" r="0" b="0" l="0"/>
            <wp:docPr id="1" name="diagrams/erd/m6_wf_templates_3.png" descr="الشكل 50: م6 · قوالب دورات العمل (3/3) (جدولان)" title="الشكل 50: م6 · قوالب دورات العمل (3/3) (جدولان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58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50: م6 · قوالب دورات العمل (3/3) (جدولان)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حقل في نسخة قالب يولّد النموذج بلا كود واجهة (FR-REQ-002..005، BR-REQ-003/004)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TemplateFieldId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مرفق على نسخة قالب (FR-REQ-006، BR-REQ-005، FR-WFL-024/025)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TemplateAttachmentRuleId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3.45 م6 · الطلبات وإجراءاتها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791075" cy="5143500"/>
            <wp:effectExtent t="0" r="0" b="0" l="0"/>
            <wp:docPr id="1" name="diagrams/erd/m6_requests_1.png" descr="الشكل 51: م6 · الطلبات وإجراءاتها (1/3) (4 جداول)" title="الشكل 51: م6 · الطلبات وإجراءاتها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51: م6 · الطلبات وإجراءاتها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الطلب: أكثر الجداول ازدحامًا؛ الحالة الداخلية منفصلة عن المرحلة الظاهرة (FR-WFL-001، FR-REQ-009، D-6، BR-REQ-002/003)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تعليق ظاهر للطالب أو داخلي؛ يمنع التطبيق تعديله، والسحب يترك الأصل (FR-REQ-017، BR-REQ-014)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RequestCommentId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بطلب ينشئ DocumentLink (EntityType=Request) (FR-REQ-006، BR-REQ-005)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RequestAttachmentId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بنص حر؛ تعديل بالإحلال ويبقى التاريخ؛ بلا تحقق خارجي (FR-REQ-010، X-DAT-7، BR-REQ-006)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RequestExternalRefId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RequesterUserId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CreatedByUserId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SubmittedByUserId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CurrentStageInstanceId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ExternalPhaseId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ClosedByUserId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CopiedFromRequestId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ReservationId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RetractedBy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EnteredBy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3.46 م6 · الطلبات وإجراءاتها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562975" cy="5143500"/>
            <wp:effectExtent t="0" r="0" b="0" l="0"/>
            <wp:docPr id="1" name="diagrams/erd/m6_requests_2.png" descr="الشكل 52: م6 · الطلبات وإجراءاتها (2/3) (4 جداول)" title="الشكل 52: م6 · الطلبات وإجراءاتها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629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52: م6 · الطلبات وإجراءاتها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دخول طلب إلى مرحلة؛ مصدر مقاييس الأزمنة والسحب والـ SLA (BR-WFL-002/007/012،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RequestStageInstanceId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تُنشأ لكل دخول ودورة؛ الدورة الجديدة بخانات جديدة (BR-WFL-003، FR-WFL-007/008/011)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RequestApprovalId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إجراءات للإضافة فقط يغطي كل حدث؛ غير AuditLog الأمني (FR-WFL-033/034، §6.2)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RequestActionId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تنفيذ خطاف بمفتاح عدم تكرار يعيد النتيجة المخزَّنة (FR-WFL-021، BR-WFL-015)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HookExecutionId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ResumeStageId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ActedByUserId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OnBehalfOfUserId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DelegationId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OnBehalfOfUserId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3.47 م6 · الطلبات وإجراءاتها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429000" cy="2381250"/>
            <wp:effectExtent t="0" r="0" b="0" l="0"/>
            <wp:docPr id="1" name="diagrams/erd/m6_requests_3.png" descr="الشكل 53: م6 · الطلبات وإجراءاتها (3/3) (جدول واحد)" title="الشكل 53: م6 · الطلبات وإجراءاتها (3/3) (جدول واحد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53: م6 · الطلبات وإجراءاتها (3/3) (جدول واحد)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مهام بفترة ونطاق؛ لا تفويض متسلسل (FR-WFL-020، BR-WFL-021، V-WFL-06)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UserDelegationId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FromUserId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ToUserId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3.48 م6 · الإشعارات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Notifications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543550" cy="5143500"/>
            <wp:effectExtent t="0" r="0" b="0" l="0"/>
            <wp:docPr id="1" name="diagrams/erd/m6_notifications_1.png" descr="الشكل 54: م6 · الإشعارات (1/2) (4 جداول)" title="الشكل 54: م6 · الإشعار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54: م6 · الإشعارات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دفعة ملخص لمستخدم وقناة وفترة؛ لا يُرسل فارغًا (FR-NTF-014، BR-NTF-004، JOB-NTF-DIGEST)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DigestBatchId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إشعار لمستخدم؛ المحتوى بلا قيم مقيّدة (FR-NTF-005/006/007/021، BR-NTF-001/002/007/008/011)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تسليم الإشعار لكل قناة بحالاته وإعادة المحاولة (FR-NTF-019، BR-NTF-009،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NotificationDeliveryId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الأحداث؛ تملكه 13 لكل الوحدات وتبذر فيه الوحدات أحداثها (FR-NTF-001، §9.2، §9.2-ب)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NotificationEventTypeId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NotificationId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DigestBatchId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3.49 م6 · الإشعارات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Notifications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905000"/>
            <wp:effectExtent t="0" r="0" b="0" l="0"/>
            <wp:docPr id="1" name="diagrams/erd/m6_notifications_2.png" descr="الشكل 55: م6 · الإشعارات (2/2) (3 جداول)" title="الشكل 55: م6 · الإشعار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55: م6 · الإشعارات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تفضيل المستخدم لكل مجموعة أحداث وقناة (FR-NTF-010، BR-NTF-003/014)؛ الإلزامي لا يُوقَف في التطبيق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NotificationPreferenceId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مستلمين لحدث؛ التعديل يسري على الأحداث التالية فقط (FR-NTF-003، BR-NTF-001، V-NTF-02)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رسالة لكل (حدث، قناة، لغة)؛ الحذف = العودة إلى قالب البذرة (FR-NTF-012، FR-NTF-025)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3.50 م7/م8 · شروط الاعتماد والنماذج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648200"/>
            <wp:effectExtent t="0" r="0" b="0" l="0"/>
            <wp:docPr id="1" name="diagrams/erd/m7_8_lc_terms_1.png" descr="الشكل 56: م7/م8 · شروط الاعتماد والنماذج (1/3) (4 جداول)" title="الشكل 56: م7/م8 · شروط الاعتماد والنماذج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56: م7/م8 · شروط الاعتماد والنماذج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في شروط الاعتماد: بيانات تُبذر لكل مشترك (FR-LCT-004، BR-LCT-002)؛ مراجع UCP في lc.LcFieldUcpRef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LcFieldDefinitionId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لحقل: مادة + فقرة (UcpRefs في المواصفة)؛ يغذّي الشارة وR-LCT-01 وBR-LCT-018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LcFieldUcpRefId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الطرف المقابل: مورّد/عميل خفيف بلا هوية؛ يُرقّى إلى Party عند الحاجة (FR-LCT-036/037، BR-LCT-022، Q-PTY-03)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CounterpartyId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مكتبة بنود المستندات بإصدارات: نص قالب بمعاملات (FR-LCT-017..019، BR-LCT-012)؛ مراجع UCP في lc.LcDocumentClauseUcpRef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LcDocumentClauseId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LcFieldDefinitionId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UcpArticleId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MergedIntoId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3.51 م7/م8 · شروط الاعتماد والنماذج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838700" cy="5143500"/>
            <wp:effectExtent t="0" r="0" b="0" l="0"/>
            <wp:docPr id="1" name="diagrams/erd/m7_8_lc_terms_2.png" descr="الشكل 57: م7/م8 · شروط الاعتماد والنماذج (2/3) (4 جداول)" title="الشكل 57: م7/م8 · شروط الاعتماد والنماذج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57: م7/م8 · شروط الاعتماد والنماذج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لبند مستند: مادة + فقرة (UcpRefs في المواصفة)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LcDocumentClauseUcpRefId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شروط اعتماد: صف لكل إصدار بأعمدة قاموس §6.2؛ مشترك بين البروفورما والطلب والاعتماد والتعديل (FR-LCT-001..035)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مستند مختار في الشروط ومعاملاته؛ النص المصيَّر يُجمَّد عند القفل (FR-LCT-018، BR-LCT-012)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رسوم الشروط: صف لكل فئة (6 صفوف كاملة يتحقق منها التطبيق V-LCT-12) (FR-LCT-020، BR-LCT-014)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LcChargesMatrixId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LcDocumentClauseId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UcpArticleId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ApplicantCompanyId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ApplicantCounterpartyId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BeneficiaryCompanyId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BeneficiaryCounterpartyId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IncotermId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MarginSettlementAccountId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ChargesAccountId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PrevLcCurrencyId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LockedBy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CopiedFromTermsId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ClauseId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3.52 م7/م8 · شروط الاعتماد والنماذج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467100" cy="5143500"/>
            <wp:effectExtent t="0" r="0" b="0" l="0"/>
            <wp:docPr id="1" name="diagrams/erd/m7_8_lc_terms_3.png" descr="الشكل 58: م7/م8 · شروط الاعتماد والنماذج (3/3) (جدولان)" title="الشكل 58: م7/م8 · شروط الاعتماد والنماذج (3/3) (جدولان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58: م7/م8 · شروط الاعتماد والنماذج (3/3) (جدولان)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نموذج بنك/منتج/نوع نموذج بإصدار وفترة نفاذ وملحق عقدي (FR-LCT-026، BR-LCT-017، 02 F-14)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LcFormTemplateId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تعيين حقل نظام إلى حقل PDF أو بند في ورقة البوابة (FR-LCT-027، BR-LCT-020)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LcFormFieldMapId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AnnexDocumentId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LetterheadDocumentId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3.53 م7/م8 · الاعتمادات والبروفورما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057775" cy="5143500"/>
            <wp:effectExtent t="0" r="0" b="0" l="0"/>
            <wp:docPr id="1" name="diagrams/erd/m7_8_lc_ops_1.png" descr="الشكل 59: م7/م8 · الاعتمادات والبروفورما (1/3) (4 جداول)" title="الشكل 59: م7/م8 · الاعتمادات والبروفورما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59: م7/م8 · الاعتمادات والبروفورما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الاعتماد للجانبين: مشتريات (نحن الطالب) ومبيعات (نحن المستفيد) (FR-LCI-011..016، FR-LCE-009، BR-LCI-004/008/016، BR-LCE-007/009)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LetterOfCreditId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للاعتماد (ERP...)؛ بلا فرادة؛ البحث بالمطبَّع (FR-LCI-013، BR-REQ-006)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LcExternalRefId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تعديل اعتماد صادر أو مستلَم (FR-LCI-018/019، FR-LCE-020، BR-LCI-011/012، BR-LCE-014)؛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LcAmendmentId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سحب/تقديم مستندات تحت اعتماد؛ في التصدير يشمل تحويل التخصيص (FR-LCI-023، BR-LCI-013، BR-LCE-011)؛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LcDrawingId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CounterpartyId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UtilizationId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ProformaId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SettlementAccountId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3.54 م7/م8 · الاعتمادات والبروفورما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7219950" cy="5143500"/>
            <wp:effectExtent t="0" r="0" b="0" l="0"/>
            <wp:docPr id="1" name="diagrams/erd/m7_8_lc_ops_2.png" descr="الشكل 60: م7/م8 · الاعتمادات والبروفورما (2/3) (4 جداول)" title="الشكل 60: م7/م8 · الاعتمادات والبروفورما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99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60: م7/م8 · الاعتمادات والبروفورما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تخصيص أمر بيع على اعتماد مستلَم؛ لا يقابله حد ائتماني (FR-LCE-013..015، BR-LCE-009..013)؛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LcSalesOrderId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توزيع سحب تصدير على أوامر بيع (FR-LCE-016/017، BR-LCE-011/013)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LcDrawingAllocationId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مخالفة على مستندات سحب أو اعتماد؛ القرار يتطلب lc.discrepancy.decide (FR-LCI-024، FR-LCE-021،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LcDiscrepancyId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البروفورما الصادرة؛ يمنع التطبيق تعديلها بعد الإصدار؛ الرقم {seq:000}-{erp}-{yy} (FR-LCE-005..008، BR-LCE-001..006)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ProformaInvoiceId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DrawingId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LcId, 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SalesOrderId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LcId, 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DrawingId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DecidedBy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CustomerId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ProceedsAccountId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3.55 م7/م8 · الاعتمادات والبروفورما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772525" cy="4905375"/>
            <wp:effectExtent t="0" r="0" b="0" l="0"/>
            <wp:docPr id="1" name="diagrams/erd/m7_8_lc_ops_3.png" descr="الشكل 61: م7/م8 · الاعتمادات والبروفورما (3/3) (3 جداول)" title="الشكل 61: م7/م8 · الاعتمادات والبروفورما (3/3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2525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61: م7/م8 · الاعتمادات والبروفورما (3/3)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3"/>
        <w:gridCol w:w="1016"/>
        <w:gridCol w:w="6602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البروفورما (FR-LCE-003، BR-LCE-001)؛ يُثبَّت بعد الإصدار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ProformaLineId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شروط الاعتماد المستلَم بالبروفورما (FR-LCT-031، FR-LCE-023، BR-LCT-021)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LcTermsComparisonId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66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فرق حقل واحد وحكمه وقرار الخزينة (FR-LCT-031، BR-LCT-021)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LcTermsComparisonLineId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2"/>
        <w:gridCol w:w="2800"/>
        <w:gridCol w:w="2696"/>
        <w:gridCol w:w="1037"/>
        <w:gridCol w:w="1244"/>
        <w:gridCol w:w="2074"/>
        <w:gridCol w:w="933"/>
        <w:gridCol w:w="832"/>
      </w:tblGrid>
      <w:tr>
        <w:trPr>
          <w:cantSplit/>
          <w:tblHeader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ProformaId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BaselineTermsId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ReceivedTermsId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RunBy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34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2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ComparisonId</w:t>
            </w:r>
          </w:p>
        </w:tc>
        <w:tc>
          <w:tcPr>
            <w:tcW w:type="dxa" w:w="26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الملحق أ. فهرس الجداول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194 جدولًا مرتبة بالمخطط ثم الاسم. عمود «المجموعة» يحدد مجموعة الرسم التي ترسم الجدول.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9"/>
        <w:gridCol w:w="1219"/>
        <w:gridCol w:w="4878"/>
        <w:gridCol w:w="5892"/>
      </w:tblGrid>
      <w:tr>
        <w:trPr>
          <w:cantSplit/>
          <w:tblHeader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المجموعة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صلاحية المفوّض بالحوكمة وقرار المراجع (S1-ب) (FR-ACC-018، BR-ACC-015)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حساب شركة لدى منشأة (FR-ACC-001..009، BR-ACC-001..006، BR-ACC-016)؛ الرقم وIBAN مشفّران بفهرس أعمى للفرادة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حساب بتسهيل بغرض (S2) (FR-ACC-010، BR-ACC-007)؛ يُملأ من شاشة التسهيل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شخص لدى علاقة (S1-ب) (FR-ACC-012، FR-ACC-023، BR-ACC-008/009) + إضافات docs/05 G-10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صلاحية المفوّض لعملية على حساب أو على البنك (S1-ب) (FR-ACC-013/014/017، BR-ACC-010/011)؛ لا تعديل في مكانه: الإغلاق والفتح؛ حالتها مشتقة فلا تُخزَّن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فئات التوقيع المطلوبة للتوقيع المشترك (JointClassIds) (BR-ACC-013)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كشف الهويات والصور والتصدير والتنزيل المقيّد؛ لكشف الشذوذ &gt;20/ساعة وR-PLT-3 (BR-PTY-009)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الحساب (FR-ACC-001)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سعر الأساس: سوق (InstitutionId فارغ) أو داخلي لبنك (FR-CAT-015، BR-CAT-011)؛ الأسماء البديلة في BaseRateAlias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اسم بديل لسعر أساس (SIBOR ≡ SAIBOR) بحث بلا حساسية حالة وفريد ضمن النطاق (BR-CAT-011، FR-CAT-015)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سعر الأساس بتاريخ سريان؛ لا حذف: التصحيح صف جديد والقديم SUPERSEDED (FR-CAT-016، BR-CAT-012/013)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الضمان بنوع بنية وقالب سمات (FR-CAT-013)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سمة في قالب نوع الضمان؛ لا تُحذف بل تُرمَّز Retired (BR-CAT-009)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الوثيقة؛ يطبّق 10 أعلامه عند الرفع (FR-CAT-018، BR-CAT-016، FR-PLT-028)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التسهيل (FR-CAT-011)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المصروف: فئة عريضة لا بند تعرفة (FR-CAT-008، BR-CAT-005، Q-CAT-10)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التمويل (FR-CAT-009، BR-CAT-006)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المنشأة المالية: بنك، شركة تمويل، استثمارية، مالية، فرد (FR-INS-001)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الشكل القانوني: الكيان وسماته يعرّفها 10 (FR-ORG-002، BR-CAT-017) وتبذره هذه الوحدة؛ أعمدة الكتالوج مكتوبة يدويًا لأن فرادة الرمز بالدولة (10 §6.2) لا فرادته وحده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الحد: رئيسي/جزئي (FR-CAT-012، BR-CAT-008)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المنتجات المسموحة لنوع الحد؛ غياب الصفوف = أي منتج بعلامة ظاهرة (BR-CAT-008)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قائمة قيم مملوك للمشترك (FR-CAT-020)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قيم مملوكة للمشترك (FR-CAT-020، BR-CAT-015)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الالتزام بأربع عائلات (FR-CAT-014، BR-CAT-010)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العملية البنكية المفوَّض بها (FR-ACC-013، BR-CAT-014)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عملية بنوع/أنواع صلاحية حوكمة؛ «أي واحد يكفي» (BR-CAT-014، FR-CAT-019، Q-ACC-05)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المنصب: السمات يعرّفها 10 §6.2 وحده وتبذر هذه الوحدة صفوفه (FR-CAT-019، BR-CAT-017)؛ SortOrder من أساس الكتالوج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الصلاحية: السمات يعرّفها 10 §6.2 وحده وتبذر هذه الوحدة صفوفه (FR-CAT-019، FR-ORG-024)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 البنكي بأعلامه (FR-CAT-007، BR-CAT-004)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تصنيف المنتجات: مسطّح (FR-CAT-007)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المصاريف المسموحة للمنتج؛ تعطيل الربط = حذفه ولا يمس قواعد تسعير قائمة (FR-CAT-010، BR-CAT-007)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أنواع التمويل المسموحة للمنتج (FR-CAT-010، BR-CAT-007)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العملات المفعّلة للمشترك: تفعيل مجموعة جزئية من المرجع العالمي (FR-CAT-023، Q-CAT-08)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طلب تصدير بيانات المشترك (FR-PLT-039، BR-PLT-016)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التنبيهات المرسَلة: حدث واحد لكل (عنصر، عتبة) ولا تكرار في اليوم نفسه (FR-PLT-038)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تنبيه انتهاء لكل نوع عنصر (FR-PLT-038، BR-PLT-013)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cfg.JobRun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المهام الخلفية: آخر تشغيل ومدته ونتيجته ظاهر لمدير الحساب (FR-PLT-044)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يوم غير عمل؛ TenantId الفارغ = عطلة المنصة للقراءة فقط (FR-PLT-035، BR-PLT-014)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الأرقام الصادرة؛ الملغى لا يُعاد استعماله (FR-PLT-026، BR-PLT-010)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عدّاد لكل (تعريف، شركة اختيارية، فترة)؛ يُقفل صفه عند التخصيص داخل معاملة المستدعي (BR-PLT-010)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الترقيم بصيغة بوسوم مثل {seq:000}-{erp}-{yy} (FR-PLT-026)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cfg.OutboxEvent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طابور الإرسال: تسليم مرة واحدة على الأقل؛ الحمولة معرّفات بلا بيانات مقيّدة (FR-PLT-042)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cfg.SeedRun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البذر المُرقَّم لكل حزمة؛ تكرار التشغيل لا يكرر شيئًا (FR-PLT-008)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cfg.SettingDefinition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مفتاح إعداد بحدود المنصة الدنيا والقصوى (BR-PLT-018، FR-PLT-043)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cfg.TenantSetting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إعدادات المشترك: سياسات الأمان والمهل والعتبات وwork.start/work.end (FR-PLT-043)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شرط قابل للمقارنة (FR-CMP-001)؛ الرمز بنمط PRC.MARGIN_PCT؛ النظامي لا يُحذف ولا تتغير وحدته (IsSystem)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شرط في تسهيل بنطاقها ومصدرها (FR-CMP-002..006، BR-CMP-001..006، V-CMP-01)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ضمان؛ اعتماد مستقل عن مراجعة التسهيل، والتعديل يُنشئ إصدارًا جديدًا (FR-COL-001/014، V-COL-01،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ضمان بتسهيل أو حد؛ ضمان واحد لعدة تسهيلات (FR-COL-002، BR-COL-005)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كفالة 1:1 مع Collateral؛ الكفيل Party دائمًا ولا أرقام هوية هنا (FR-COL-003/004، BR-COL-001)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تجيير وثيقة تأمين؛ مفتاح الفرادة (CollateralId,PolicyNo) يسمح بتجديد الوثيقة (FR-COL-006، BR-COL-003)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سند لأمر 1:1؛ مبلغ مستقل قد يفوق الحد (FR-COL-005، BR-COL-002)؛ NextRenewalDue وPNRatio مشتقان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موقّعو السند (SignerPartyIds)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مراحل تقييم عقار (FR-COL-008، BR-COL-004)؛ مثل 3 مقيّمين في السنة الأولى ثم مقيّم سنويًا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المستند المنطقي: بيانات المستند وحالته؛ الملف في doc.DocumentVersion (FR-PLT-027/028، BR-PLT-011)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بأي كيان بدور وصفحة مرجعية؛ إلغاء الربط منطقي (FR-PLT-028)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ثابت من الملف؛ التغيير يُنشئ إصدارًا جديدًا يفرضه التطبيق (FR-PLT-027، BR-PLT-011)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حزمة الاتفاقية الائتمانية: جذر التجميعة (FR-FAC-001..008، BR-FAC-001/005/006)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ضمن الحزمة بأسبقية (FR-FAC-004، BR-FAC-008، V-FAC-03)؛ نوعها من doc.Document.DocumentTypeId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مقرض وحصته (FR-FAC-003، BR-FAC-007، V-FAC-02)؛ مجموع الحصص 100 ووكيل واحد يتحقق منهما التطبيق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مراجعة معدّ/معتمِد لشروط التسهيل (FR-FAC-024، BR-FAC-003/004،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عقدة شجرة الحدود (FR-FAC-010/011، BR-FAC-009/010، V-FAC-04..07)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 شركة على حد: مسموح/مستثنى/تخصيص (FR-FAC-013، BR-FAC-012، V-FAC-09)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حركة على حجز أو استخدام؛ لا تعديل ولا حذف؛ مفتاح عدم التكرار (BR-FAC-015/020)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 منتج داخل حد: سقف اختياري SHARED_CAP دائمًا (FR-FAC-012، V-FAC-08)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حجز مبلغ لطلب = ExposureAmount (FR-FAC-017/018/020، BR-FAC-015)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لقطة الرصيد المعترف به (FR-FAC-009، BR-FAC-017)؛ PctOfLimit مشتق لا يُخزَّن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العملية لخط المنتج بتواريخ سريان؛ الفارغ = «غير محدد» لا صفر (FR-FAC-014، BR-FAC-016)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استخدام فعّال: يدوي أو مرتبط باعتماد مستندي؛ لا حذف (FR-FAC-016/030، BR-FAC-013/020)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تعارض قيمتين لحقل واحد وحسمه (FR-FAC-026، BR-FAC-019، BR-FAC-008)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رصيد شهري لحساب بعملة الحساب (FR-FIN-008، BR-FIN-005/006، V-FIN-02)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مبلغ محوَّل للبنك في شهر؛ تجميع سنوي آلي (FR-FIN-009/010، BR-FIN-007/008)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رأس قائمة مالية؛ سري جدًا (FR-FIN-002/005/006، BR-FIN-001..004،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معياري للقوائم؛ 39 بندًا مبذورًا؛ النظامي في الصيغ لا يُحذف (FR-FIN-001، CatalogBase)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الأسماء البديلة للبند (Aliases) للصق والمطابقة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صيغة مقياس: قالب أو نسخة اتفاقية بإصدارات؛ لا تُنفَّذ نصًا (FR-FIN-011، BR-FIN-009، §12)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سطر قائمة؛ بعملة الرأس والمخزَّن = المُدخل x UnitScale؛ Variance مشتق؛ سري جدًا (BR-FIN-001/002)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جهة اتصال لدى البنك: سجل خفيف بلا هوية، PartyId اختياري للترقية (FR-INS-007/008، BR-INS-005/006/014)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المنشأة المالية (FR-INS-001..004، BR-INS-001..003، BR-INS-012)؛ Locality محلي/أجنبي مشتقة (BR-INS-002) فلا تُخزَّن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وحدة في هيكل المنشأة: إدارة/قسم/فرع، شجرة ذاتية حتى 4 مستويات (FR-INS-005/006، BR-INS-004)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علاقة شركة–منشأة (D-4)؛ فريدة مهما كانت حالتها (FR-INS-009، BR-INS-007/011)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تغطية العلاقة (الطبقة الأولى): جهة اتصال بدور ورتبة وفترة (FR-INS-010، BR-INS-008/009)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منتج يُتعامل به ضمن علاقة مع جهة افتراضية وقناة (FR-INS-011..013، BR-INS-010)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الطرف المقابل: مورّد/عميل خفيف بلا هوية؛ يُرقّى إلى Party عند الحاجة (FR-LCT-036/037، BR-LCT-022، Q-PTY-03)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تعديل اعتماد صادر أو مستلَم (FR-LCI-018/019، FR-LCE-020، BR-LCI-011/012، BR-LCE-014)؛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رسوم الشروط: صف لكل فئة (6 صفوف كاملة يتحقق منها التطبيق V-LCT-12) (FR-LCT-020، BR-LCT-014)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مخالفة على مستندات سحب أو اعتماد؛ القرار يتطلب lc.discrepancy.decide (FR-LCI-024، FR-LCE-021،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مكتبة بنود المستندات بإصدارات: نص قالب بمعاملات (FR-LCT-017..019، BR-LCT-012)؛ مراجع UCP في lc.LcDocumentClauseUcpRef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لبند مستند: مادة + فقرة (UcpRefs في المواصفة)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سحب/تقديم مستندات تحت اعتماد؛ في التصدير يشمل تحويل التخصيص (FR-LCI-023، BR-LCI-013، BR-LCE-011)؛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توزيع سحب تصدير على أوامر بيع (FR-LCE-016/017، BR-LCE-011/013)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للاعتماد (ERP...)؛ بلا فرادة؛ البحث بالمطبَّع (FR-LCI-013، BR-REQ-006)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في شروط الاعتماد: بيانات تُبذر لكل مشترك (FR-LCT-004، BR-LCT-002)؛ مراجع UCP في lc.LcFieldUcpRef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لحقل: مادة + فقرة (UcpRefs في المواصفة)؛ يغذّي الشارة وR-LCT-01 وBR-LCT-018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تعيين حقل نظام إلى حقل PDF أو بند في ورقة البوابة (FR-LCT-027، BR-LCT-020)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نموذج بنك/منتج/نوع نموذج بإصدار وفترة نفاذ وملحق عقدي (FR-LCT-026، BR-LCT-017، 02 F-14)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تخصيص أمر بيع على اعتماد مستلَم؛ لا يقابله حد ائتماني (FR-LCE-013..015، BR-LCE-009..013)؛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شروط اعتماد: صف لكل إصدار بأعمدة قاموس §6.2؛ مشترك بين البروفورما والطلب والاعتماد والتعديل (FR-LCT-001..035)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شروط الاعتماد المستلَم بالبروفورما (FR-LCT-031، FR-LCE-023، BR-LCT-021)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فرق حقل واحد وحكمه وقرار الخزينة (FR-LCT-031، BR-LCT-021)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مستند مختار في الشروط ومعاملاته؛ النص المصيَّر يُجمَّد عند القفل (FR-LCT-018، BR-LCT-012)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الاعتماد للجانبين: مشتريات (نحن الطالب) ومبيعات (نحن المستفيد) (FR-LCI-011..016، FR-LCE-009، BR-LCI-004/008/016، BR-LCE-007/009)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البروفورما الصادرة؛ يمنع التطبيق تعديلها بعد الإصدار؛ الرقم {seq:000}-{erp}-{yy} (FR-LCE-005..008، BR-LCE-001..006)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البروفورما (FR-LCE-003، BR-LCE-001)؛ يُثبَّت بعد الإصدار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دفعة ملخص لمستخدم وقناة وفترة؛ لا يُرسل فارغًا (FR-NTF-014، BR-NTF-004، JOB-NTF-DIGEST)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إشعار لمستخدم؛ المحتوى بلا قيم مقيّدة (FR-NTF-005/006/007/021، BR-NTF-001/002/007/008/011)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تسليم الإشعار لكل قناة بحالاته وإعادة المحاولة (FR-NTF-019، BR-NTF-009،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الأحداث؛ تملكه 13 لكل الوحدات وتبذر فيه الوحدات أحداثها (FR-NTF-001، §9.2، §9.2-ب)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تفضيل المستخدم لكل مجموعة أحداث وقناة (FR-NTF-010، BR-NTF-003/014)؛ الإلزامي لا يُوقَف في التطبيق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مستلمين لحدث؛ التعديل يسري على الأحداث التالية فقط (FR-NTF-003، BR-NTF-001، V-NTF-02)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رسالة لكل (حدث، قناة، لغة)؛ الحذف = العودة إلى قالب البذرة (FR-NTF-012، FR-NTF-025)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تعهد بتواريخ؛ الحدود المتدرجة = عدة نسخ (FR-OBL-006، BR-OBL-001/005/006، Q-OBL-01)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الحسابات المشمولة بالتعهد عند اختيار حسابات محددة (AccountIds)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تقييم تعهد لفترة وإصدار تقييم؛ يمنع التطبيق تعديل التقييم المخزَّن (FR-OBL-011، FR-FIN-012/013، BR-OBL-006/007،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التزام على تسهيل (أو حد/خط/شركات)؛ العائلة من ObligationType ولا تُحرَّر (FR-OBL-001، BR-OBL-001)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خرق وعلاجه وتنازله (FR-OBL-012، BR-OBL-009/011،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الشركات التي ينطبق عليها الالتزام (AppliesToCompanyIds)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أجندة مولَّد أو مسجَّل لحدث (FR-OBL-003..005، BR-OBL-003، §8)؛ DUE_SOON/OVERDUE مشتقتان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استحقاق تقرير/إخطار 1:1 مع Obligation (FR-OBL-002/003، BR-OBL-002، V-OBL-01)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تفويض/منحة صلاحية لشركة (FR-ORG-023..028، BR-ORG-011..014)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عضوية في هيئة (FR-ORG-020، FR-ORG-021، BR-ORG-010)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فرع/مستودع/تابعة خارج الحساب كنص (G-3)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إفصاحات الشركة (G-5)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مصفوفة الحركة المتوقعة الشهرية CTP: اتجاه × 5 بنود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أصحاب العلاقة: مدققون، مستشار قانوني، جهات تنظيمية، أبرز العملاء/الموردين (G-6)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الملف المالي KYC بتاريخ سريان: شريحة الإيرادات والغرض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ملف تعريف الشركة 1:1 (G-1)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نسبة ضريبة بتاريخ سريان؛ CompanyId فارغ = افتراضي المشترك (FR-ORG-007، BR-ORG-005)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مصادر الأموال والثروة: قائمة متعددة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هيئة حوكمة (FR-ORG-019، BR-ORG-009)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حصة ملكية بتاريخ سريان؛ المالك Party فرد أو جهة (FR-ORG-015..018، BR-ORG-006..008، G-7)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وحدات الباقة (يحل محل Plan.IncludedModules json)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plat.ReservedSubdomain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عناوين فرعية محجوزة للنظام: www · admin · api · app… (FR-PLT-046)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تسعير بنطاق ووراثة وطرق (FR-PRC-006..017، BR-PRC-006..012، V-PRC-02)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قاعدة TIERED بالمبلغ و/أو المدة (FR-PRC-003، BR-PRC-002)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رسم في جدول التعرفة (FR-PRC-002، BR-PRC-002..005)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جدول رسوم لبنك؛ خاص بتسهيل اختياريًا (FR-PRC-001، BR-PRC-001، V-PRC-01)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بند تعرفة بالمبلغ و/أو المدة (FR-PRC-003، BR-PRC-002)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عنوان متعدد الملكية: OwnerType+OwnerId بلا FK (مزوّد المالك يتحقق منه التطبيق) (FR-PTY-011، BR-PTY-015)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وسيلة اتصال متعددة الملكية (FR-PTY-012، BR-PTY-015)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مخصص (FR-PTY-013، BR-PTY-014)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هوية؛ الرقم مشفّر والصور مستندات مقيَّدة (FR-PTY-004..009، FR-PTY-020..022، BR-PTY-002..008)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اكتمال KYC لكل بنك ودور (FR-PTY-023، BR-PTY-012..013، G-8، G-14)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اكتمال (FR-PTY-023، FR-PTY-024، G-14)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ظهور البند بحسب الشكل القانوني؛ غياب الصفوف = ينطبق على الكل (G-15)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شخص أو جهة؛ لا دور مخزَّن (FR-PTY-001..003، BR-PTY-001..004، BR-PTY-016..018)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إقرارات امتثال بتاريخ لكل شخص بصفته: PEP، عقوبات، تحقيقات، حصانة (G-9)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حقل مخصص لشخص (FR-PTY-013، FR-PTY-014)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الهوية الضريبية والإقرار الضريبي FATCA/CRS (G-13)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العملة: مرجع عالمي ISO 4217 للقراءة فقط (FR-CAT-021، Q-CAT-08)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مصطلح تسليم Incoterms: مرجع عالمي للقراءة فقط يديره المشغّل؛ القديم LEGACY للعرض لا للاختيار (FR-LCT-013، FR-CAT-021، BR-CAT-015)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مادة UCP 600 مرجعية: TenantId الفارغ = صف عام للقراءة فقط ينشره المشغّل وحده (FR-LCT-006، BR-LCT-018، BR-PLT-001)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هوية خارجية OIDC/Entra بالمستخدم؛ جاهزية فقط (FR-PLT-015، §11)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أحداث المفاتيح: إنشاء وتدوير وإبطال (FR-PLT-037؛ شدة عالية BR-PLT-009)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محاولات الدخول لخنق المعدل ونوافذ القفل؛ الأثر الدائم في aud.AuditLog (BR-PLT-005)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 رموز استرداد لمرة واحدة مُجزَّأة (FR-PLT-011، BR-PLT-006؛ بديل AppUser.RecoveryCodesHash json)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آخر 5 كلمات مرور لمنع إعادة استعمالها (BR-PLT-004)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رابط دعوة (48 ساعة) أو إعادة تعيين كلمة المرور (30 دقيقة) لمرة واحدة (FR-PLT-013)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المرحلة الظاهرة للطالب: DRAFT · IN_APPROVAL · RETURNED · AWAITING_REQUESTER · IN_PROGRESS · COMPLETED · REJECTED · CANCELLED (BR-WFL-011، D-6)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تنفيذ خطاف بمفتاح عدم تكرار يعيد النتيجة المخزَّنة (FR-WFL-021، BR-WFL-015)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الطلب: أكثر الجداول ازدحامًا؛ الحالة الداخلية منفصلة عن المرحلة الظاهرة (FR-WFL-001، FR-REQ-009، D-6، BR-REQ-002/003)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إجراءات للإضافة فقط يغطي كل حدث؛ غير AuditLog الأمني (FR-WFL-033/034، §6.2)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تُنشأ لكل دخول ودورة؛ الدورة الجديدة بخانات جديدة (BR-WFL-003، FR-WFL-007/008/011)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بطلب ينشئ DocumentLink (EntityType=Request) (FR-REQ-006، BR-REQ-005)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تعليق ظاهر للطالب أو داخلي؛ يمنع التطبيق تعديله، والسحب يترك الأصل (FR-REQ-017، BR-REQ-014)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بنص حر؛ تعديل بالإحلال ويبقى التاريخ؛ بلا تحقق خارجي (FR-REQ-010، X-DAT-7، BR-REQ-006)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دخول طلب إلى مرحلة؛ مصدر مقاييس الأزمنة والسحب والـ SLA (BR-WFL-002/007/012،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الطلب (FR-REQ-001، BR-REQ-001، V-REQ-01)؛ الأنواع الجديدة بلا كود (FR-REQ-021)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جمهور النوع: من يحق له الطلب؛ غياب الصفوف = لا أحد (فشل مغلق) (FR-REQ-007)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في مرحلة APPROVAL؛ ALL = كل الخانات، ودور بشخصين يلزمان معًا = خانتان (FR-WFL-007/041، BR-WFL-003/004)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مرفق على نسخة قالب (FR-REQ-006، BR-REQ-005، FR-WFL-024/025)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حقل في نسخة قالب يولّد النموذج بلا كود واجهة (FR-REQ-002..005، BR-REQ-003/004)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مهام بفترة ونطاق؛ لا تفويض متسلسل (FR-WFL-020، BR-WFL-021، V-WFL-06)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مرحلة في نسخة قالب (FR-WFL-003/004/005، BR-WFL-002/010/012)؛ حذف فعلي لمسودة النسخة فقط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خطاف مسجَّل بالكود على مرحلة: مفتاح ومعاملات لا كود (FR-WFL-021، BR-WFL-015، §5.4)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قالب دورة عمل؛ المنشور ثابت (FR-WFL-001/028، BR-WFL-019، AC-WFL-6)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انتقال بين مرحلتين بشرط وأولوية؛ دورة خطية بتفرع شرطي بسيط (FR-WFL-006، BR-WFL-001، D-8)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000" w:right="900" w:bottom="1000" w:left="900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6"/>
        <w:szCs w:val="16"/>
        <w:rtl/>
      </w:rPr>
      <w:t xml:space="preserve">صفحة </w:t>
    </w:r>
    <w:r>
      <w:rPr>
        <w:rFonts w:ascii="Arial" w:cs="Arial" w:eastAsia="Arial" w:hAnsi="Arial"/>
        <w:color w:val="5B6670"/>
        <w:sz w:val="16"/>
        <w:szCs w:val="16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6"/>
        <w:szCs w:val="16"/>
        <w:rtl/>
      </w:rPr>
      <w:t xml:space="preserve"> من </w:t>
    </w:r>
    <w:r>
      <w:rPr>
        <w:rFonts w:ascii="Arial" w:cs="Arial" w:eastAsia="Arial" w:hAnsi="Arial"/>
        <w:color w:val="5B6670"/>
        <w:sz w:val="16"/>
        <w:szCs w:val="16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6"/>
        <w:szCs w:val="16"/>
        <w:rtl/>
      </w:rPr>
      <w:t xml:space="preserve">مخطط علاقات جداول قاعدة البيانات · BankFas · v0.3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20"/>
      <w:outlineLvl w:val="1"/>
    </w:pPr>
    <w:rPr>
      <w:b/>
      <w:bCs/>
      <w:color w:val="2B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b9c0ec621ea7cabf6588d3f7e5cb2bf71c423d.png"/><Relationship Id="rId10" Type="http://schemas.openxmlformats.org/officeDocument/2006/relationships/image" Target="media/a4ff6d9a62c6555df386742bf7f3bd9f17b10a60.png"/><Relationship Id="rId11" Type="http://schemas.openxmlformats.org/officeDocument/2006/relationships/image" Target="media/d003666bf8c9b72c6fd2fbc54cfb713a4ad32492.png"/><Relationship Id="rId12" Type="http://schemas.openxmlformats.org/officeDocument/2006/relationships/image" Target="media/b9ec0191f337c84c42a52cfb8c3828dbed177524.png"/><Relationship Id="rId13" Type="http://schemas.openxmlformats.org/officeDocument/2006/relationships/image" Target="media/8a4364f72c3e62890d8c44fc3eb2e2e015d2272e.png"/><Relationship Id="rId14" Type="http://schemas.openxmlformats.org/officeDocument/2006/relationships/image" Target="media/75aa688fc827119af42a6a7ac7a38bae08ff2847.png"/><Relationship Id="rId15" Type="http://schemas.openxmlformats.org/officeDocument/2006/relationships/image" Target="media/a7a7fef06cca2f0643662283f9c35d9f2570cf92.png"/><Relationship Id="rId16" Type="http://schemas.openxmlformats.org/officeDocument/2006/relationships/image" Target="media/a1e7668baf08875b2db070b292c9cb791ac4af82.png"/><Relationship Id="rId17" Type="http://schemas.openxmlformats.org/officeDocument/2006/relationships/image" Target="media/9b3786f8184a09b5f1368696fc307318687913db.png"/><Relationship Id="rId18" Type="http://schemas.openxmlformats.org/officeDocument/2006/relationships/image" Target="media/badc69daba83dbe5931f68b48317c53ab6966240.png"/><Relationship Id="rId19" Type="http://schemas.openxmlformats.org/officeDocument/2006/relationships/image" Target="media/d3f2179fc08ce0eacd8158922885beb09b1d8d13.png"/><Relationship Id="rId20" Type="http://schemas.openxmlformats.org/officeDocument/2006/relationships/image" Target="media/c76002d011352f5395eb0b6c31f09f1d67c59208.png"/><Relationship Id="rId21" Type="http://schemas.openxmlformats.org/officeDocument/2006/relationships/image" Target="media/1a88435d2f039d0fa8f2b3cdfc86cd319030ec60.png"/><Relationship Id="rId22" Type="http://schemas.openxmlformats.org/officeDocument/2006/relationships/image" Target="media/29eb4df0aacf9c0072e337a761f788843d7a80cf.png"/><Relationship Id="rId23" Type="http://schemas.openxmlformats.org/officeDocument/2006/relationships/image" Target="media/6b1d29cc62baee06a5ba6683a9e07f069ed0d68a.png"/><Relationship Id="rId24" Type="http://schemas.openxmlformats.org/officeDocument/2006/relationships/image" Target="media/774fe46ecf3760c648c35a01cac1d50484330c0f.png"/><Relationship Id="rId25" Type="http://schemas.openxmlformats.org/officeDocument/2006/relationships/image" Target="media/c21bf5461509a6600882b3e0c661a8374c8e11e4.png"/><Relationship Id="rId26" Type="http://schemas.openxmlformats.org/officeDocument/2006/relationships/image" Target="media/101438c2eebfd0717141bb568e77a17547d945d5.png"/><Relationship Id="rId27" Type="http://schemas.openxmlformats.org/officeDocument/2006/relationships/image" Target="media/cb080cd65b607f7f9633ce1ddc6d1fe9caa73fd5.png"/><Relationship Id="rId28" Type="http://schemas.openxmlformats.org/officeDocument/2006/relationships/image" Target="media/a7b8ed1cdeea67cf394d53d30f27f2b03d16b086.png"/><Relationship Id="rId29" Type="http://schemas.openxmlformats.org/officeDocument/2006/relationships/image" Target="media/fafbd534482467ca795a619256cc040d809678d7.png"/><Relationship Id="rId30" Type="http://schemas.openxmlformats.org/officeDocument/2006/relationships/image" Target="media/19ed210285c6be503a282437430627d0141bf437.png"/><Relationship Id="rId31" Type="http://schemas.openxmlformats.org/officeDocument/2006/relationships/image" Target="media/a7b6ae8c9d68ff4de6a5ab8636260887f3882ec9.png"/><Relationship Id="rId32" Type="http://schemas.openxmlformats.org/officeDocument/2006/relationships/image" Target="media/49cb5193cf21a99ab8f6c97029a00bf1bad3271a.png"/><Relationship Id="rId33" Type="http://schemas.openxmlformats.org/officeDocument/2006/relationships/image" Target="media/e67035773addbfd0d234ddf7bdbd3703eb7b2d01.png"/><Relationship Id="rId34" Type="http://schemas.openxmlformats.org/officeDocument/2006/relationships/image" Target="media/8d5d972816be1a4f7fb7bd461a82351be911260c.png"/><Relationship Id="rId35" Type="http://schemas.openxmlformats.org/officeDocument/2006/relationships/image" Target="media/1dfa69fe80e24e4114061f8d82f7a15cdf46b836.png"/><Relationship Id="rId36" Type="http://schemas.openxmlformats.org/officeDocument/2006/relationships/image" Target="media/22eea4621d189d2ec2ce3de64049d504827489ba.png"/><Relationship Id="rId37" Type="http://schemas.openxmlformats.org/officeDocument/2006/relationships/image" Target="media/51418d538b6808035e0db5c469ea7ba46dffa8f3.png"/><Relationship Id="rId38" Type="http://schemas.openxmlformats.org/officeDocument/2006/relationships/image" Target="media/46a0f19f17d64fe26b4c36522e53db828d08c0e2.png"/><Relationship Id="rId39" Type="http://schemas.openxmlformats.org/officeDocument/2006/relationships/image" Target="media/be2422664b11cc849ef3d82a92cb61fbd44ff584.png"/><Relationship Id="rId40" Type="http://schemas.openxmlformats.org/officeDocument/2006/relationships/image" Target="media/93dccc242007585c67c314a8ec0d81704fe3501f.png"/><Relationship Id="rId41" Type="http://schemas.openxmlformats.org/officeDocument/2006/relationships/image" Target="media/90572ef349b4e189835e0f13298d23bd222147f4.png"/><Relationship Id="rId42" Type="http://schemas.openxmlformats.org/officeDocument/2006/relationships/image" Target="media/1e2b41f142148e53cebb38d8af332c67607f10e7.png"/><Relationship Id="rId43" Type="http://schemas.openxmlformats.org/officeDocument/2006/relationships/image" Target="media/76e546e477c4da7d3bb36259438ed6a4d3726402.png"/><Relationship Id="rId44" Type="http://schemas.openxmlformats.org/officeDocument/2006/relationships/image" Target="media/271e0b36918d1081cbb0fb919ffdbe0b3739a561.png"/><Relationship Id="rId45" Type="http://schemas.openxmlformats.org/officeDocument/2006/relationships/image" Target="media/63d48754eed442470525e2402aba12e000d32da3.png"/><Relationship Id="rId46" Type="http://schemas.openxmlformats.org/officeDocument/2006/relationships/image" Target="media/f1c2c34bf83df820e0c42dc07d3ff28846823b78.png"/><Relationship Id="rId47" Type="http://schemas.openxmlformats.org/officeDocument/2006/relationships/image" Target="media/3734a7522653812e8f538e943ec35e349d97ca79.png"/><Relationship Id="rId48" Type="http://schemas.openxmlformats.org/officeDocument/2006/relationships/image" Target="media/719dcfc4d1a2bb585edcb893ae4bea494650a0f2.png"/><Relationship Id="rId49" Type="http://schemas.openxmlformats.org/officeDocument/2006/relationships/image" Target="media/e017a7b7068131182508c2f4a525c30806afc22f.png"/><Relationship Id="rId50" Type="http://schemas.openxmlformats.org/officeDocument/2006/relationships/image" Target="media/501b67cbb32f47b51061a57cae996b54871e0ca6.png"/><Relationship Id="rId51" Type="http://schemas.openxmlformats.org/officeDocument/2006/relationships/image" Target="media/5603e99f8f2a7cc1938496761df70c8a63a82ac9.png"/><Relationship Id="rId52" Type="http://schemas.openxmlformats.org/officeDocument/2006/relationships/image" Target="media/05f53dc88ad0943efaead7b4c2d5ab1aa080fc4a.png"/><Relationship Id="rId53" Type="http://schemas.openxmlformats.org/officeDocument/2006/relationships/image" Target="media/2b2144d7fc608f1fdad5d8fbd5bcb05af47ed3a2.png"/><Relationship Id="rId54" Type="http://schemas.openxmlformats.org/officeDocument/2006/relationships/image" Target="media/d5d06d0ed7e79795ab5ed0ed5dbdf50949842418.png"/><Relationship Id="rId55" Type="http://schemas.openxmlformats.org/officeDocument/2006/relationships/image" Target="media/4982395d76e0d33b7f30ab097273feccdf168e04.png"/><Relationship Id="rId56" Type="http://schemas.openxmlformats.org/officeDocument/2006/relationships/image" Target="media/494c0f4a1326e3bbc19667850012a84e52403045.png"/><Relationship Id="rId57" Type="http://schemas.openxmlformats.org/officeDocument/2006/relationships/image" Target="media/f3c6a99e2f66df4dbe72197e44ae37e9973bbd72.png"/><Relationship Id="rId58" Type="http://schemas.openxmlformats.org/officeDocument/2006/relationships/image" Target="media/d539d1be88e22a9ddb39b43fe087de6d95fef4aa.png"/><Relationship Id="rId59" Type="http://schemas.openxmlformats.org/officeDocument/2006/relationships/image" Target="media/7ff803ad906bcfa2ebcbadf7dabb9605bc925441.png"/><Relationship Id="rId60" Type="http://schemas.openxmlformats.org/officeDocument/2006/relationships/image" Target="media/32e4178cfcb0982981bc4df131be60ca723fa475.png"/><Relationship Id="rId61" Type="http://schemas.openxmlformats.org/officeDocument/2006/relationships/image" Target="media/7300a75f1e07f1ea9aec9b51ff08678436fe43ba.png"/><Relationship Id="rId62" Type="http://schemas.openxmlformats.org/officeDocument/2006/relationships/image" Target="media/96ebc6fa69822558c7c239d6a27c23f8a70b39d4.png"/><Relationship Id="rId63" Type="http://schemas.openxmlformats.org/officeDocument/2006/relationships/image" Target="media/29590e30561ea7b950cc1ca528df7a1885be854b.png"/><Relationship Id="rId64" Type="http://schemas.openxmlformats.org/officeDocument/2006/relationships/image" Target="media/c3923270745ec1d61733243ee7111b3b6e68e05d.png"/><Relationship Id="rId65" Type="http://schemas.openxmlformats.org/officeDocument/2006/relationships/image" Target="media/fe9d9a8186638b18fae1e422875fcbe2eb728097.png"/><Relationship Id="rId66" Type="http://schemas.openxmlformats.org/officeDocument/2006/relationships/image" Target="media/b0939dc5f64d9418898980eb654a0547e53d205d.png"/><Relationship Id="rId67" Type="http://schemas.openxmlformats.org/officeDocument/2006/relationships/image" Target="media/2d58dca6be24cc25e139c5a76e2a4aecf89a044f.png"/><Relationship Id="rId68" Type="http://schemas.openxmlformats.org/officeDocument/2006/relationships/image" Target="media/c08708dd425ff7caf905c156d869c26b83ec0603.png"/><Relationship Id="rId69" Type="http://schemas.openxmlformats.org/officeDocument/2006/relationships/image" Target="media/c07c181f6bb574f7b888c1c4f10db1da4b196022.png"/><Relationship Id="rId7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مخطط علاقات جداول قاعدة البيانات</dc:title>
  <dc:creator>Claude</dc:creator>
  <dc:description>مخطط علاقات جداول قاعدة البيانات — BankFas</dc:description>
  <cp:lastModifiedBy>Un-named</cp:lastModifiedBy>
  <cp:revision>1</cp:revision>
  <dcterms:created xsi:type="dcterms:W3CDTF">2026-10-11T02:28:30.420Z</dcterms:created>
  <dcterms:modified xsi:type="dcterms:W3CDTF">2026-10-11T02:28:30.420Z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