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وموعد لكل سؤال، وحسم أسئلة S0 التسعة (§7.4)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(O-14 في 20-database-design، :542)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(O-10 في 20-database-design، :538)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قرار قبل S0 وتنفيذ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896"/>
        <w:gridCol w:w="896"/>
        <w:gridCol w:w="1665"/>
        <w:gridCol w:w="5383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قرار قبل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بوابة S0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الدفعة (أ) منفّذة، والباقي شروط دخول شرائحه (ADR 0011)</w:t>
            </w:r>
          </w:p>
        </w:tc>
        <w:tc>
          <w:tcPr>
            <w:tcW w:type="dxa" w:w="5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791a7aa21b8abcbcb6b1a5d6a2c638481d41c43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2026-10-13T18:17:05.847Z</dcterms:created>
  <dcterms:modified xsi:type="dcterms:W3CDTF">2026-10-13T18:17:05.847Z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