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سجل القرارات المطلوبة من المالك</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1"/>
        <w:gridCol w:w="8653"/>
      </w:tblGrid>
      <w:tr>
        <w:trPr>
          <w:cantSplit/>
          <w:tblHeader/>
        </w:trPr>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2026-10-12 (آخر تحديث 2026-10-22)</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«القرارات المطلوبة» في مستندات الجاهزية الثلاثة والأربعين (</w:t>
            </w:r>
            <w:r>
              <w:rPr>
                <w:rFonts w:ascii="Courier New" w:cs="Courier New" w:eastAsia="Courier New" w:hAnsi="Courier New"/>
                <w:b w:val="false"/>
                <w:bCs w:val="false"/>
                <w:color w:val="1F2937"/>
                <w:sz w:val="16"/>
                <w:szCs w:val="16"/>
                <w:shd w:fill="F1F3F5" w:color="auto" w:val="clear"/>
                <w:rtl/>
              </w:rPr>
              <w:t xml:space="preserve">‎docs/30-readiness/‎</w:t>
            </w:r>
            <w:r>
              <w:rPr>
                <w:rFonts w:ascii="Arial" w:cs="Arial" w:eastAsia="Arial" w:hAnsi="Arial"/>
                <w:b w:val="false"/>
                <w:bCs w:val="false"/>
                <w:sz w:val="18"/>
                <w:szCs w:val="18"/>
                <w:rtl/>
              </w:rPr>
              <w:t xml:space="preserve">) وسجل البنود المفتوحة (</w:t>
            </w:r>
            <w:r>
              <w:rPr>
                <w:rFonts w:ascii="Courier New" w:cs="Courier New" w:eastAsia="Courier New" w:hAnsi="Courier New"/>
                <w:b w:val="false"/>
                <w:bCs w:val="false"/>
                <w:color w:val="1F2937"/>
                <w:sz w:val="16"/>
                <w:szCs w:val="16"/>
                <w:shd w:fill="F1F3F5" w:color="auto" w:val="clear"/>
                <w:rtl/>
              </w:rPr>
              <w:t xml:space="preserve">‎tools/dbgen/erd_open_items.py‎</w:t>
            </w:r>
            <w:r>
              <w:rPr>
                <w:rFonts w:ascii="Arial" w:cs="Arial" w:eastAsia="Arial" w:hAnsi="Arial"/>
                <w:b w:val="false"/>
                <w:bCs w:val="false"/>
                <w:sz w:val="18"/>
                <w:szCs w:val="18"/>
                <w:rtl/>
              </w:rPr>
              <w:t xml:space="preserve">)</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قرار اسم صاحبه فيه المالك أو مالك المنتج أو مدير الخزينة أو إدارة العميل (OWN، TRM): 165 قرارًا من 447</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اعتمد المالك كل الافتراضات المقترحة في هذا السجل في 2026-10-12.</w:t>
            </w:r>
            <w:r>
              <w:rPr>
                <w:rFonts w:ascii="Arial" w:cs="Arial" w:eastAsia="Arial" w:hAnsi="Arial"/>
                <w:b w:val="false"/>
                <w:bCs w:val="false"/>
                <w:sz w:val="18"/>
                <w:szCs w:val="18"/>
                <w:rtl/>
              </w:rPr>
              <w:t xml:space="preserve"> كل صف معتمد مُعلَّم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في مستنده. القرارات التي افتراضها «بعد رأي قانوني» أو «يُتحقق قبل الشراء» تبقى أعمالًا مطلوبة لا قرارات مفتوحة</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القرارات 1 إلى 4 في §1.1 منفّذة في القاعدة وتمر في CI (2026-10-12): docs/adr/0003-account-security-in-the-database.md، db/static/035_account_security.sql، db/tests/auth_flow_tests.sql. ومنفّذ أيضًا (ADR 0004): مهل الجلسة وإعدادات الأمان لكل مشترك (DQ-S03-6، DQ-S04-14)، وحسابات المشغّلين ودخولهم (DQ-S04-10، DQ-F07-3)، وربط الدعم المؤقت (DQ-F04-6)، والباقة STANDARD (DQ-B05-4)، والتهيئة وانتقالات الحالة (DQ-F05-2، DQ-F05-4، DQ-F05-6، DQ-F05-7)، وربط المهام الخلفية بالمقترح (DQ-F04-4). ومنفّذ أيضًا (ADR 0005): الترقيم بلا فجوات للطلبات والبروفورما مع اختبار تزامن (القرار 10، DQ-B02-4، O-12)، وقوائم الدول والعملات كاملة بإصدار ISO مسجَّل (DQ-B05-5)، ورموز الصلاحيات (القرار 7، DQ-F07-1، DQ-F09-1؛ 138 يومها، و140 اليوم). ومنفّذ أيضًا (2026-10-13): نموذج حالة الطلب الموحّد في المواصفة 13 (القرار 9، DQ-F08-1، O-10)، وقرارات نتائج المراجعة (O-15، ADR 0011)</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القرارات العاجلة</w:t>
        </w:r>
      </w:hyperlink>
    </w:p>
    <w:p>
      <w:pPr>
        <w:bidi/>
        <w:spacing w:after="50" w:before="0"/>
        <w:ind w:left="0"/>
      </w:pPr>
      <w:hyperlink w:history="1" w:anchor="_sec6">
        <w:r>
          <w:rPr>
            <w:rFonts w:ascii="Arial" w:cs="Arial" w:eastAsia="Arial" w:hAnsi="Arial"/>
            <w:b/>
            <w:bCs/>
            <w:color w:val="1F3A5F"/>
            <w:sz w:val="20"/>
            <w:szCs w:val="20"/>
            <w:rtl/>
          </w:rPr>
          <w:t xml:space="preserve">2. بنود مفتوحة في سجل البنود تحتاج قرارك</w:t>
        </w:r>
      </w:hyperlink>
    </w:p>
    <w:p>
      <w:pPr>
        <w:bidi/>
        <w:spacing w:after="50" w:before="0"/>
        <w:ind w:left="0"/>
      </w:pPr>
      <w:hyperlink w:history="1" w:anchor="_sec7">
        <w:r>
          <w:rPr>
            <w:rFonts w:ascii="Arial" w:cs="Arial" w:eastAsia="Arial" w:hAnsi="Arial"/>
            <w:b/>
            <w:bCs/>
            <w:color w:val="1F3A5F"/>
            <w:sz w:val="20"/>
            <w:szCs w:val="20"/>
            <w:rtl/>
          </w:rPr>
          <w:t xml:space="preserve">3. القائمة الكاملة حسب المستند</w:t>
        </w:r>
      </w:hyperlink>
    </w:p>
    <w:p>
      <w:r>
        <w:br w:type="page"/>
      </w:r>
    </w:p>
    <w:p>
      <w:pPr>
        <w:pStyle w:val="Heading1"/>
        <w:bidi/>
      </w:pPr>
      <w:bookmarkStart w:name="_sec1" w:id="1"/>
      <w:r>
        <w:rPr>
          <w:rFonts w:ascii="Arial" w:cs="Arial" w:eastAsia="Arial" w:hAnsi="Arial"/>
          <w:b/>
          <w:bCs/>
          <w:color w:val="1F3A5F"/>
          <w:sz w:val="32"/>
          <w:szCs w:val="32"/>
          <w:rtl/>
        </w:rPr>
        <w:t xml:space="preserve">1. القرارات العاجلة</w:t>
      </w:r>
      <w:bookmarkEnd w:id="1"/>
    </w:p>
    <w:p>
      <w:pPr>
        <w:bidi/>
        <w:spacing w:after="110" w:before="0" w:line="312"/>
      </w:pPr>
      <w:r>
        <w:rPr>
          <w:rFonts w:ascii="Arial" w:cs="Arial" w:eastAsia="Arial" w:hAnsi="Arial"/>
          <w:b w:val="false"/>
          <w:bCs w:val="false"/>
          <w:sz w:val="21"/>
          <w:szCs w:val="21"/>
          <w:rtl/>
        </w:rPr>
        <w:t xml:space="preserve">هذه أهم القرارات وأكثرها تعطيلًا للعمل، مرتبة حسب وقت الحاجة إليها، وكلها معتمدة كما اقتُرحت. القائمة الكاملة في القسم 3.</w:t>
      </w:r>
    </w:p>
    <w:p>
      <w:pPr>
        <w:pStyle w:val="Heading2"/>
        <w:bidi/>
      </w:pPr>
      <w:bookmarkStart w:name="_sec2" w:id="2"/>
      <w:r>
        <w:rPr>
          <w:rFonts w:ascii="Arial" w:cs="Arial" w:eastAsia="Arial" w:hAnsi="Arial"/>
          <w:b/>
          <w:bCs/>
          <w:color w:val="2B5C8A"/>
          <w:sz w:val="26"/>
          <w:szCs w:val="26"/>
          <w:rtl/>
        </w:rPr>
        <w:t xml:space="preserve">1.1 قبل كتابة كود S0</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4"/>
        <w:gridCol w:w="3625"/>
        <w:gridCol w:w="3101"/>
        <w:gridCol w:w="2174"/>
      </w:tblGrid>
      <w:tr>
        <w:trPr>
          <w:cantSplit/>
          <w:tblHeader/>
        </w:trPr>
        <w:tc>
          <w:tcPr>
            <w:tcW w:type="dxa" w:w="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6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1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يدخل مشتركًا معلّقًا أو مغلقًا أو مؤرشفًا (O-18)</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معلّق: مدير الحساب وحده للقراءة والتصدير؛ مغلق: مدير الحساب للتصدير فقط 30 يومًا بعد الإغلاق؛ مؤرشف: لا أحد من المشترك</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MFA إلزامي لكل مستخدم، وهل يستطيع المشترك تعطيله؟</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لكل مستخدم غير خدمي، ولا يعطّله المشترك</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 DQ-S01-3، DQ-S04-11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المخاطر المتبقية داخل المشترك (O-24) قبل كتابة كود الدخول</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إجراءات لتغيير كلمة المرور وإنهاء الجلسة، ومنع التطبيق من تعديل الأعمدة الحساسة</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 DQ-S01-2</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ما قبل الدخول (الدعوة، إعادة التعيين، التحقق من TOTP)</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يُبنى في S0 بإجراءات ضيقة داخل القاعدة على نمط ADR 0002، في ADR جديد</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تشغيل طبقة التطبيق</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Windows Server حتى المراجعة، والتطبيق يُبنى ليعمل على النظامين، وتُقارن المراجعة بـ Ubuntu 24.04</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خادمان منفصلان</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الصلاحيات المقترحة</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في DOC-F07 وDOC-F09</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DQ-F07-1، DQ-F09-1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مالك المنتج ومدير الخزينة لدى العميل شخص واحد؟</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دوران منفصلان؛ إن كانا شخصًا واحدًا يعتمد غيره ما يقترحه تقنيًا</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حالة الطلب الموحّد (AWAITING_CLOSE والإقفال بيد الخزينة) وتعديل المواصفة 13 به</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كما في DOC-F08</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بفجوات في الترقيم (O-12)؟</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فجوات لأرقام الطلبات والبروفورما</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 حين يغيب قالب لغة المستلم</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ويُعدَّل FR-NTF-024</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 DQ-F17-8</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حسابات مشغّلي المنصة</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مدير مشغّلين يُنشأ عند النشر، ثم يدير البقية من لوحة المشغّل</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DQ-F07-3</w:t>
            </w:r>
          </w:p>
        </w:tc>
      </w:tr>
    </w:tbl>
    <w:p>
      <w:pPr>
        <w:bidi/>
        <w:spacing w:after="120" w:before="0"/>
      </w:pPr>
    </w:p>
    <w:p>
      <w:pPr>
        <w:pStyle w:val="Heading2"/>
        <w:bidi/>
      </w:pPr>
      <w:bookmarkStart w:name="_sec3" w:id="3"/>
      <w:r>
        <w:rPr>
          <w:rFonts w:ascii="Arial" w:cs="Arial" w:eastAsia="Arial" w:hAnsi="Arial"/>
          <w:b/>
          <w:bCs/>
          <w:color w:val="2B5C8A"/>
          <w:sz w:val="26"/>
          <w:szCs w:val="26"/>
          <w:rtl/>
        </w:rPr>
        <w:t xml:space="preserve">1.2 قبل تحميل أي بيانات حقيقية</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985"/>
        <w:gridCol w:w="3215"/>
        <w:gridCol w:w="2686"/>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2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المفتاح الرئيسي ومفتاح المنصة</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إدارة مفاتيح أو وحدة أمن عتادية خارج خادم القاعدة وخارج حساب الاستضافة</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 للمفاتيح</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وممثل المالك؛ مدير قاعدة البيانات مستبعد من المفتاح الرئيسي</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(يشمل TDE وتشفير النسخ؟)</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يُتحقق قبل الشراء؛ CI يستعمل إصدار المطورين</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خادم الإنتاج، ودولة النسخ الاحتياطية ومخزن المفاتيح</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بعد رأي قانوني؛ النسخ عند مزوّد مختلف في دولة يقبلها الرأي القانوني</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 DQ-S07-2، DQ-S09-2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القانونية (متحكم ومعالج) وملحق المعالجة في عقد الاشتراك</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 في DOC-S07 §2 مع ملحق معالجة في العقد</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أهداف الاستعادة والتوفر: RPO 15 دقيقة، RTO 4 ساعات، توفر 99.5%</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مع العلم أن استعادة كاملة واحدة تتجاوز ميزانية توقف الشهر، وتُراجع بعد أول تمرين</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 DQ-B03-2، DQ-B03-3</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شهادات TLS</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عامة عبر ACME بتحدي DNS، وشهادة شاملة للنطاقات الفرعية</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 DQ-S05-2</w:t>
            </w:r>
          </w:p>
        </w:tc>
      </w:tr>
    </w:tbl>
    <w:p>
      <w:pPr>
        <w:bidi/>
        <w:spacing w:after="120" w:before="0"/>
      </w:pPr>
    </w:p>
    <w:p>
      <w:pPr>
        <w:pStyle w:val="Heading2"/>
        <w:bidi/>
      </w:pPr>
      <w:bookmarkStart w:name="_sec4" w:id="4"/>
      <w:r>
        <w:rPr>
          <w:rFonts w:ascii="Arial" w:cs="Arial" w:eastAsia="Arial" w:hAnsi="Arial"/>
          <w:b/>
          <w:bCs/>
          <w:color w:val="2B5C8A"/>
          <w:sz w:val="26"/>
          <w:szCs w:val="26"/>
          <w:rtl/>
        </w:rPr>
        <w:t xml:space="preserve">1.3 قبل الإطلاق التجريبي</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5"/>
        <w:gridCol w:w="2630"/>
        <w:gridCol w:w="3619"/>
        <w:gridCol w:w="2630"/>
      </w:tblGrid>
      <w:tr>
        <w:trPr>
          <w:cantSplit/>
          <w:tblHeader/>
        </w:trPr>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6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المشترك التجريبي</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العميل التي زوّدت الاتفاقيات</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DQ-B12-3</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الحقيقية مجهّلة في UAT؟</w:t>
            </w:r>
          </w:p>
        </w:tc>
        <w:tc>
          <w:tcPr>
            <w:tcW w:type="dxa" w:w="3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افتراضيًا؛ بيانات اصطناعية والاتفاقيات مجهّلة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الواجب ومهل الإبلاغ عن الخروقات</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يحددها المستشار القانوني لكل دولة قبل الإطلاق</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تصدير بياناته؟</w:t>
            </w:r>
          </w:p>
        </w:tc>
        <w:tc>
          <w:tcPr>
            <w:tcW w:type="dxa" w:w="3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المخاطر المتبقية المنخفضة O-20 وO-21 وO-22</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تُقبل بتقييم منخفض ومالك ومراجعة قبل S2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DQ-S01-6</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1.4 طلبات المالك بعد الاعتماد</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3"/>
        <w:gridCol w:w="2636"/>
        <w:gridCol w:w="4639"/>
        <w:gridCol w:w="1646"/>
      </w:tblGrid>
      <w:tr>
        <w:trPr>
          <w:cantSplit/>
          <w:tblHeader/>
        </w:trPr>
        <w:tc>
          <w:tcPr>
            <w:tcW w:type="dxa" w:w="9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6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الطلب</w:t>
            </w:r>
          </w:p>
        </w:tc>
        <w:tc>
          <w:tcPr>
            <w:tcW w:type="dxa" w:w="46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c>
          <w:tcPr>
            <w:tcW w:type="dxa" w:w="16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2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وحدة الميزانية في قسم التسهيلات (2026-10-18).</w:t>
            </w:r>
            <w:r>
              <w:rPr>
                <w:rFonts w:ascii="Arial" w:cs="Arial" w:eastAsia="Arial" w:hAnsi="Arial"/>
                <w:b w:val="false"/>
                <w:bCs w:val="false"/>
                <w:sz w:val="18"/>
                <w:szCs w:val="18"/>
                <w:rtl/>
              </w:rPr>
              <w:t xml:space="preserve"> قوائم الشركة المستقلة، وللقابضة قوائم موحدة أو مستقلة بكامل وحداتها، تُدخل لدراسة الميزانية؛ وتقرير من النظام بكل الخروقات الناشئة عن القوائم في ظل التعهدات البنكية؛ وقياس أداء الشركة في الالتزام بالسيولة المحوَّلة إلى البنك. الربط بنظام آخر للتقييم الائتماني مرحلة لاحقة</w:t>
            </w:r>
          </w:p>
        </w:tc>
        <w:tc>
          <w:tcPr>
            <w:tcW w:type="dxa" w:w="4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الآن في S2-ب: الوحدات والقوائم الموحدة، ومقاييس التحليل، وتقرير الخروقات، وأداء التحويلات، وتقدير الإيراد (045، ADR 0016). التقييم الائتماني لا يُبنى الآن؛ نقطة جاهزيته في المواصفة 12 §11</w:t>
            </w:r>
          </w:p>
        </w:tc>
        <w:tc>
          <w:tcPr>
            <w:tcW w:type="dxa" w:w="1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FR-FIN-015 إلى FR-FIN-019؛ </w:t>
            </w:r>
            <w:r>
              <w:rPr>
                <w:rFonts w:ascii="Courier New" w:cs="Courier New" w:eastAsia="Courier New" w:hAnsi="Courier New"/>
                <w:b w:val="false"/>
                <w:bCs w:val="false"/>
                <w:color w:val="1F2937"/>
                <w:sz w:val="16"/>
                <w:szCs w:val="16"/>
                <w:shd w:fill="F1F3F5" w:color="auto" w:val="clear"/>
                <w:rtl/>
              </w:rPr>
              <w:t xml:space="preserve">‎docs/03‎</w:t>
            </w:r>
            <w:r>
              <w:rPr>
                <w:rFonts w:ascii="Arial" w:cs="Arial" w:eastAsia="Arial" w:hAnsi="Arial"/>
                <w:b w:val="false"/>
                <w:bCs w:val="false"/>
                <w:sz w:val="18"/>
                <w:szCs w:val="18"/>
                <w:rtl/>
              </w:rPr>
              <w:t xml:space="preserve"> §10</w:t>
            </w:r>
          </w:p>
        </w:tc>
      </w:tr>
      <w:tr>
        <w:trPr>
          <w:cantSplit/>
        </w:trPr>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2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اعتماد قاعدة BR-FIN-016 كما هي (2026-10-18).</w:t>
            </w:r>
            <w:r>
              <w:rPr>
                <w:rFonts w:ascii="Arial" w:cs="Arial" w:eastAsia="Arial" w:hAnsi="Arial"/>
                <w:b w:val="false"/>
                <w:bCs w:val="false"/>
                <w:sz w:val="18"/>
                <w:szCs w:val="18"/>
                <w:rtl/>
              </w:rPr>
              <w:t xml:space="preserve"> التحويل المنسوب إلى تسهيل يُعدّ له وحده، والتحويل على مستوى البنك يُعدّ لكل تعهدات تسهيلات ذلك البنك</w:t>
            </w:r>
          </w:p>
        </w:tc>
        <w:tc>
          <w:tcPr>
            <w:tcW w:type="dxa" w:w="4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في القاعدة؛ رُفعت علامة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 المواصفة 12 وdocs/03 وADR 0016</w:t>
            </w:r>
          </w:p>
        </w:tc>
        <w:tc>
          <w:tcPr>
            <w:tcW w:type="dxa" w:w="1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BR-FIN-016</w:t>
            </w:r>
          </w:p>
        </w:tc>
      </w:tr>
      <w:tr>
        <w:trPr>
          <w:cantSplit/>
        </w:trPr>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2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الشامل للميزانية على أسس موديز (2026-10-18).</w:t>
            </w:r>
            <w:r>
              <w:rPr>
                <w:rFonts w:ascii="Arial" w:cs="Arial" w:eastAsia="Arial" w:hAnsi="Arial"/>
                <w:b w:val="false"/>
                <w:bCs w:val="false"/>
                <w:sz w:val="18"/>
                <w:szCs w:val="18"/>
                <w:rtl/>
              </w:rPr>
              <w:t xml:space="preserve"> تقييم شامل عند دراسة الميزانية، ونقاط القوة من النسب المالية ومدى توافقها مع النسب، والمخاطر الناتجة في تقرير من النظام؛ والمعايير يبنيها المحلل بالاستعانة بخبير ائتمان مصرفي على أسس موديز: وزن لكل نسبة ودرجات مخاطر لكل بند من الميزانية والتحليلات الناتجة عنها</w:t>
            </w:r>
          </w:p>
        </w:tc>
        <w:tc>
          <w:tcPr>
            <w:tcW w:type="dxa" w:w="4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سلّم موديز بـ21 درجة، وثلاث بطاقات قطاعية بأوزانها وشبكاتها، و23 قاعدة لمخاطر البنود، و17 تعديلًا وسقف قطاع، وتقرير بنقاط القوة والضعف والمخاطر والتوافق مع التعهدات والتحويلات (046، 104، ADR 0017). راجعها وكيل ذكاء اصطناعي منفصل في دور محلل ائتمان أول، لا محلل بشري، وعُدّلت بملاحظاته. </w:t>
            </w:r>
            <w:r>
              <w:rPr>
                <w:rFonts w:ascii="Arial" w:cs="Arial" w:eastAsia="Arial" w:hAnsi="Arial"/>
                <w:b/>
                <w:bCs/>
                <w:sz w:val="18"/>
                <w:szCs w:val="18"/>
                <w:rtl/>
              </w:rPr>
              <w:t xml:space="preserve">سبعة أسئلة لك</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§15 بقيمها المبنية. الربط مع نظام التقييم الخارجي يبقى مرحلة لاحقة</w:t>
            </w:r>
          </w:p>
        </w:tc>
        <w:tc>
          <w:tcPr>
            <w:tcW w:type="dxa" w:w="1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FR-FIN-020 إلى FR-FIN-024؛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‎docs/03‎</w:t>
            </w:r>
            <w:r>
              <w:rPr>
                <w:rFonts w:ascii="Arial" w:cs="Arial" w:eastAsia="Arial" w:hAnsi="Arial"/>
                <w:b w:val="false"/>
                <w:bCs w:val="false"/>
                <w:sz w:val="18"/>
                <w:szCs w:val="18"/>
                <w:rtl/>
              </w:rPr>
              <w:t xml:space="preserve"> §11</w:t>
            </w:r>
          </w:p>
        </w:tc>
      </w:tr>
      <w:tr>
        <w:trPr>
          <w:cantSplit/>
        </w:trPr>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2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بعمق موديز وفيتش وسمة، وخطط التقوية (2026-10-19).</w:t>
            </w:r>
            <w:r>
              <w:rPr>
                <w:rFonts w:ascii="Arial" w:cs="Arial" w:eastAsia="Arial" w:hAnsi="Arial"/>
                <w:b w:val="false"/>
                <w:bCs w:val="false"/>
                <w:sz w:val="18"/>
                <w:szCs w:val="18"/>
                <w:rtl/>
              </w:rPr>
              <w:t xml:space="preserve"> دراسة كل بند من الميزانية بخطره وأثره على النقد وعلى ملاءة الشركاء ووزنه وأفضل إعادة تبويب له؛ والربط بالتسهيلات المسجلة على المنصة، وطلب البيانات التفصيلية، ومدى درجة القطاع، ومنتجات الشركة وسيولة مخزونها في السوق الراكد والأزمات؛ وتحليل شامل وسيناريو جاهز لأفضل خطط تقوية القوائم عند طلب العميل دون الإخلال بتوازنها</w:t>
            </w:r>
          </w:p>
        </w:tc>
        <w:tc>
          <w:tcPr>
            <w:tcW w:type="dxa" w:w="4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157 بندًا معياريًا، و112 مقياسًا، و61 نشاطًا و15 فئة منتجات بسيناريوهاتها، ولقطة التسهيلات والضمانات، و39 علاجًا و10 خطط تقوية متوازنة، والنظرة المستقبلية ومحفّزاتها (047، ADR 0018). صاغها وراجعها وكلاء ذكاء اصطناعي لا محللون بشريون. وثائق موديز المرفقة دُرست ولم يُنقل منها شيء لأنها تمنع ذلك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§23)؛ واستعمال أرقام موديز نفسها يحتاج ترخيصًا. </w:t>
            </w:r>
            <w:r>
              <w:rPr>
                <w:rFonts w:ascii="Arial" w:cs="Arial" w:eastAsia="Arial" w:hAnsi="Arial"/>
                <w:b/>
                <w:bCs/>
                <w:sz w:val="18"/>
                <w:szCs w:val="18"/>
                <w:rtl/>
              </w:rPr>
              <w:t xml:space="preserve">أسئلة لك</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c>
          <w:tcPr>
            <w:tcW w:type="dxa" w:w="1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FR-FIN-025 إلى FR-FIN-030؛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الإصدار 2.0</w:t>
            </w:r>
          </w:p>
        </w:tc>
      </w:tr>
      <w:tr>
        <w:trPr>
          <w:cantSplit/>
        </w:trPr>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2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إجابات أسئلة التقييم (2026-10-19).</w:t>
            </w:r>
            <w:r>
              <w:rPr>
                <w:rFonts w:ascii="Arial" w:cs="Arial" w:eastAsia="Arial" w:hAnsi="Arial"/>
                <w:b w:val="false"/>
                <w:bCs w:val="false"/>
                <w:sz w:val="18"/>
                <w:szCs w:val="18"/>
                <w:rtl/>
              </w:rPr>
              <w:t xml:space="preserve"> الممارسة المعيارية لوكالات التصنيف: لكل نشاط تفصيلي (مواد البناء منتهية الصنع غير الحديد غير الإسمنت غير البلك، والأدوية والأغذية والتجزئة والتجارة العامة والسيارات والطيران والسياحة والضيافة والمطاعم والتطوير العقاري والمقاولات) مخاطره ووزنه في الأزمات، بحسب البلد العربي والمدينة، وتأثر المقاولات بالعقار والإنفاق الحكومي وعجز الميزانية؛ والإيرادات من 10 ملايين إلى 10 مليارات؛ وسلّم موديز بإحدى وعشرين درجة؛ وتتحقق إدارة الخزينة في الشركة؛ والمعايرة خاصة بالنظام؛ والموافقة على النظرة والقواعد، والخطط عند الطلب</w:t>
            </w:r>
          </w:p>
        </w:tc>
        <w:tc>
          <w:tcPr>
            <w:tcW w:type="dxa" w:w="4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(ADR 0019): 16 عائلة قطاعية ببطاقاتها وعوامل ملف أعمالها، و282 نشاطًا تفصيليًا بحساسيتها لسبعة محركات (الطلب، والإنفاق الحكومي، والعقار، والنزاعات، والنفط، والائتمان، والاستيراد والعملة)، و22 بلدًا عربيًا بمخاطرها وتصنيفها السيادي وسقفها و127 مدينة ومنطقة، ومرتكز من مخاطر البلد والنشاط، وستة سيناريوهات (ركود، وأزمة مالية، وتقشف حكومي، وتصحيح عقاري، ونزاع إقليمي، وانهيار النفط)، وشبكات حجم وأربعة سقوف على 10 ملايين إلى 10 مليارات. صاغها وراجعها وكلاء ذكاء اصطناعي لا محللون بشريون، ومرت 51 حالة ضغط في مدى المراجع (24 خلية قبلها المراجع خارج مداه بسبب مكتوب). </w:t>
            </w:r>
            <w:r>
              <w:rPr>
                <w:rFonts w:ascii="Arial" w:cs="Arial" w:eastAsia="Arial" w:hAnsi="Arial"/>
                <w:b/>
                <w:bCs/>
                <w:sz w:val="18"/>
                <w:szCs w:val="18"/>
                <w:rtl/>
              </w:rPr>
              <w:t xml:space="preserve">أسئلة باقية</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c>
          <w:tcPr>
            <w:tcW w:type="dxa" w:w="1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FR-FIN-031 إلى FR-FIN-033، BR-FIN-031 إلى BR-FIN-034؛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الإصدار 2.1</w:t>
            </w:r>
          </w:p>
        </w:tc>
      </w:tr>
      <w:tr>
        <w:trPr>
          <w:cantSplit/>
        </w:trPr>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السقف السيادي والمراجعة وسيناريو الحدث الجاري (2026-10-19).</w:t>
            </w:r>
            <w:r>
              <w:rPr>
                <w:rFonts w:ascii="Arial" w:cs="Arial" w:eastAsia="Arial" w:hAnsi="Arial"/>
                <w:b w:val="false"/>
                <w:bCs w:val="false"/>
                <w:sz w:val="18"/>
                <w:szCs w:val="18"/>
                <w:rtl/>
              </w:rPr>
              <w:t xml:space="preserve"> يعتمد مشغّل المنصة التصنيفات السيادية؛ ويمكن أن تراجع إدارة الخزينة مخاطر بلدانها؛ ونعم لسيناريو خاص بحدث جارٍ</w:t>
            </w:r>
          </w:p>
        </w:tc>
        <w:tc>
          <w:tcPr>
            <w:tcW w:type="dxa" w:w="4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 وبُني السيناريو بالقرار 31</w:t>
            </w:r>
          </w:p>
        </w:tc>
        <w:tc>
          <w:tcPr>
            <w:tcW w:type="dxa" w:w="1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r>
      <w:tr>
        <w:trPr>
          <w:cantSplit/>
        </w:trPr>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2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أسئلة صفحة الأسئلة المفتوحة (2026-10-19).</w:t>
            </w:r>
            <w:r>
              <w:rPr>
                <w:rFonts w:ascii="Arial" w:cs="Arial" w:eastAsia="Arial" w:hAnsi="Arial"/>
                <w:b w:val="false"/>
                <w:bCs w:val="false"/>
                <w:sz w:val="18"/>
                <w:szCs w:val="18"/>
                <w:rtl/>
              </w:rPr>
              <w:t xml:space="preserve"> اعتمد المالك الافتراضي الموصى به لكل الأسئلة المفتوحة الـ148 في مواصفات الوحدات، ولبنود السجل O-03 وO-05 وO-06، وللمقترحات EV-01 إلى EV-05 لسيناريو الحدث الجاري؛ وأجاب عن EV-06: «توقف حد الائتمان الذي لم يتم إطلاقه»</w:t>
            </w:r>
          </w:p>
        </w:tc>
        <w:tc>
          <w:tcPr>
            <w:tcW w:type="dxa" w:w="4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الأسئلة الـ155 كلها محسومة في القسم 14 من المواصفات وفي </w:t>
            </w:r>
            <w:r>
              <w:rPr>
                <w:rFonts w:ascii="Courier New" w:cs="Courier New" w:eastAsia="Courier New" w:hAnsi="Courier New"/>
                <w:b w:val="false"/>
                <w:bCs w:val="false"/>
                <w:color w:val="1F2937"/>
                <w:sz w:val="16"/>
                <w:szCs w:val="16"/>
                <w:shd w:fill="F1F3F5" w:color="auto" w:val="clear"/>
                <w:rtl/>
              </w:rPr>
              <w:t xml:space="preserve">‎docs/10-detailed-analysis/90‎</w:t>
            </w:r>
            <w:r>
              <w:rPr>
                <w:rFonts w:ascii="Arial" w:cs="Arial" w:eastAsia="Arial" w:hAnsi="Arial"/>
                <w:b w:val="false"/>
                <w:bCs w:val="false"/>
                <w:sz w:val="18"/>
                <w:szCs w:val="18"/>
                <w:rtl/>
              </w:rPr>
              <w:t xml:space="preserve">. وبُني السيناريو السابع </w:t>
            </w:r>
            <w:r>
              <w:rPr>
                <w:rFonts w:ascii="Courier New" w:cs="Courier New" w:eastAsia="Courier New" w:hAnsi="Courier New"/>
                <w:b w:val="false"/>
                <w:bCs w:val="false"/>
                <w:color w:val="1F2937"/>
                <w:sz w:val="16"/>
                <w:szCs w:val="16"/>
                <w:shd w:fill="F1F3F5" w:color="auto" w:val="clear"/>
                <w:rtl/>
              </w:rPr>
              <w:t xml:space="preserve">‎GULF_SHIPPING_CONFLICT‎</w:t>
            </w:r>
            <w:r>
              <w:rPr>
                <w:rFonts w:ascii="Arial" w:cs="Arial" w:eastAsia="Arial" w:hAnsi="Arial"/>
                <w:b w:val="false"/>
                <w:bCs w:val="false"/>
                <w:sz w:val="18"/>
                <w:szCs w:val="18"/>
                <w:rtl/>
              </w:rPr>
              <w:t xml:space="preserve"> «نزاع الخليج وممرات الملاحة» (ADR 0020): سنة كاملة، والبلدان بمضاعف (البحرين والكويت والإمارات 1.3، والسعودية وقطر وعُمان 1.0، والأردن ومصر 0.9، وغيرها 0.5)، والشدة على النزاع والاستيراد كاملة ولا شيء على سعر النفط، ولا تُسحب الخطوط المستعملة لكن </w:t>
            </w:r>
            <w:r>
              <w:rPr>
                <w:rFonts w:ascii="Arial" w:cs="Arial" w:eastAsia="Arial" w:hAnsi="Arial"/>
                <w:b/>
                <w:bCs/>
                <w:sz w:val="18"/>
                <w:szCs w:val="18"/>
                <w:rtl/>
              </w:rPr>
              <w:t xml:space="preserve">يتوقف كل حد ملتزم غير مسحوب</w:t>
            </w:r>
            <w:r>
              <w:rPr>
                <w:rFonts w:ascii="Arial" w:cs="Arial" w:eastAsia="Arial" w:hAnsi="Arial"/>
                <w:b w:val="false"/>
                <w:bCs w:val="false"/>
                <w:sz w:val="18"/>
                <w:szCs w:val="18"/>
                <w:rtl/>
              </w:rPr>
              <w:t xml:space="preserve"> فلا يُحسب في السيولة. فُهم EV-06 هكذا؛ وإن كان المقصود أيضًا سحب جزء من الخطوط المستعملة فيكفي تعديل نسبة السحب</w:t>
            </w:r>
          </w:p>
        </w:tc>
        <w:tc>
          <w:tcPr>
            <w:tcW w:type="dxa" w:w="1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O-03، O-05، O-06، O-07؛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§14؛ ADR 0020</w:t>
            </w:r>
          </w:p>
        </w:tc>
      </w:tr>
      <w:tr>
        <w:trPr>
          <w:cantSplit/>
        </w:trPr>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2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موقف البنك من التسهيلات في الأزمات (2026-10-19).</w:t>
            </w:r>
            <w:r>
              <w:rPr>
                <w:rFonts w:ascii="Arial" w:cs="Arial" w:eastAsia="Arial" w:hAnsi="Arial"/>
                <w:b w:val="false"/>
                <w:bCs w:val="false"/>
                <w:sz w:val="18"/>
                <w:szCs w:val="18"/>
                <w:rtl/>
              </w:rPr>
              <w:t xml:space="preserve"> البنك الذي يرى مخاطر مرتفعة قد لا يسحب التسهيلات أو الحدود، لكنه يعود إلى الموافقات النهائية: إن أُطلقت الحدود فله أن يوقفها، وقد يوقفها إن ارتفعت مخاطر قطاع معين أو يخفضها أو يرفع التسعير والمصاريف الإدارية؛ وكل ذلك يخضع لمعايير الجهة المانحة وتقديراتها</w:t>
            </w:r>
          </w:p>
        </w:tc>
        <w:tc>
          <w:tcPr>
            <w:tcW w:type="dxa" w:w="4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السيناريوهات السبعة كلها (ADR 0020): لا تُسحب الخطوط المستعملة؛ تُخفض الخطوط قصيرة الأجل عند تجديدها، وتُوقف نسبة من الحدود الملتزمة غير المسحوبة، ويُضاف هامش ورسوم على التسهيلات قصيرة الأجل عند تجديدها، كلها بعامل البنك من مخاطر القطاع وتعرض البلد؛ والقرض طويل الأجل يبقى بسعر عقده. وهي تقدير للتقييم لا قرار البنك الفعلي. بقيت حالات المراجعة الـ51 في مداها</w:t>
            </w:r>
          </w:p>
        </w:tc>
        <w:tc>
          <w:tcPr>
            <w:tcW w:type="dxa" w:w="1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§14؛ ADR 0020</w:t>
            </w:r>
          </w:p>
        </w:tc>
      </w:tr>
      <w:tr>
        <w:trPr>
          <w:cantSplit/>
        </w:trPr>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c>
          <w:tcPr>
            <w:tcW w:type="dxa" w:w="2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إدخال قرار البنك الفعلي لكل تسهيل (2026-10-19).</w:t>
            </w:r>
            <w:r>
              <w:rPr>
                <w:rFonts w:ascii="Arial" w:cs="Arial" w:eastAsia="Arial" w:hAnsi="Arial"/>
                <w:b w:val="false"/>
                <w:bCs w:val="false"/>
                <w:sz w:val="18"/>
                <w:szCs w:val="18"/>
                <w:rtl/>
              </w:rPr>
              <w:t xml:space="preserve"> نعم، يُضاف</w:t>
            </w:r>
          </w:p>
        </w:tc>
        <w:tc>
          <w:tcPr>
            <w:tcW w:type="dxa" w:w="4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w:t>
            </w:r>
            <w:r>
              <w:rPr>
                <w:rFonts w:ascii="Arial" w:cs="Arial" w:eastAsia="Arial" w:hAnsi="Arial"/>
                <w:b w:val="false"/>
                <w:bCs w:val="false"/>
                <w:sz w:val="18"/>
                <w:szCs w:val="18"/>
                <w:rtl/>
              </w:rPr>
              <w:t xml:space="preserve"> (ADR 0021): القرار بتاريخه ونفاذه ومستنده (إبقاء، إيقاف الحد غير المسحوب، تخفيض الحد، عدم تجديد، وتغيّر الهامش والرسوم)؛ وآخر قرار نافذ يحل محل التقدير لذلك التسهيل في السيولة والسيناريوهات، والمسحوب فوق الحد الجديد مستحق</w:t>
            </w:r>
          </w:p>
        </w:tc>
        <w:tc>
          <w:tcPr>
            <w:tcW w:type="dxa" w:w="1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FR-FIN-034، BR-FIN-035؛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§10</w:t>
            </w:r>
          </w:p>
        </w:tc>
      </w:tr>
      <w:tr>
        <w:trPr>
          <w:cantSplit/>
        </w:trPr>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c>
          <w:tcPr>
            <w:tcW w:type="dxa" w:w="2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النظام للشركة لا للبنك (2026-10-20).</w:t>
            </w:r>
            <w:r>
              <w:rPr>
                <w:rFonts w:ascii="Arial" w:cs="Arial" w:eastAsia="Arial" w:hAnsi="Arial"/>
                <w:b w:val="false"/>
                <w:bCs w:val="false"/>
                <w:sz w:val="18"/>
                <w:szCs w:val="18"/>
                <w:rtl/>
              </w:rPr>
              <w:t xml:space="preserve"> تدرس الشركة فيه تقييمها من قوائمها وقوتها ومخاطرها وتسهيلاتها والمؤثرات الخارجية، فتعرف وضعها قبل البنك، وتعيد هيكلة قوائمها وتصنيف عناصرها قبل اعتمادها النهائي. واعتمد المالك مقترحات الدراسة: يعتمد نسخة العرض المختارة شخص من الإدارة المالية غير معدّها، والإنذار المبكر 6 أشهر قبل التجديد واختبار التعهدات وتعدّله كل شركة، وتقييم الموازنة بعد المراحل أ إلى د؛ والبدء بالمرحلتين أ وب</w:t>
            </w:r>
          </w:p>
        </w:tc>
        <w:tc>
          <w:tcPr>
            <w:tcW w:type="dxa" w:w="4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دراسة </w:t>
            </w:r>
            <w:r>
              <w:rPr>
                <w:rFonts w:ascii="Courier New" w:cs="Courier New" w:eastAsia="Courier New" w:hAnsi="Courier New"/>
                <w:b w:val="false"/>
                <w:bCs w:val="false"/>
                <w:color w:val="1F2937"/>
                <w:sz w:val="16"/>
                <w:szCs w:val="16"/>
                <w:shd w:fill="F1F3F5" w:color="auto" w:val="clear"/>
                <w:rtl/>
              </w:rPr>
              <w:t xml:space="preserve">‎docs/36‎</w:t>
            </w:r>
            <w:r>
              <w:rPr>
                <w:rFonts w:ascii="Arial" w:cs="Arial" w:eastAsia="Arial" w:hAnsi="Arial"/>
                <w:b w:val="false"/>
                <w:bCs w:val="false"/>
                <w:sz w:val="18"/>
                <w:szCs w:val="18"/>
                <w:rtl/>
              </w:rPr>
              <w:t xml:space="preserve">. المرحلة أ: صُححت لغة المنهجية إلى منظور الشركة (معدّ التقييم بدل المحلل، وتوقع تصرف جهات التمويل بدل موقف البنك، وما تبلغ به جهة التمويل بدل قرار البنك، وقوة الضمانات أمام جهة التمويل). المرحلة ب: التقييم التجريبي على القوائم قبل اعتمادها (ADR 0022). المرحلة ج: نسخ العرض البديلة ومقارنتها وتحويل المختارة إلى قائمة مسودة يختارها غير معدّها (ADR 0023). المرحلة د: ملف الجاهزية والجدول الزمني والإنذار المبكر بستة أشهر (ADR 0024). المرحلة هـ: تقييم الموازنة ومقارنتها بالسنة الفعلية (ADR 0025). المرحلة و: التصنيف الذي يبلغ به البنك ومقارنته (ADR 0026)</w:t>
            </w:r>
          </w:p>
        </w:tc>
        <w:tc>
          <w:tcPr>
            <w:tcW w:type="dxa" w:w="1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FR-FIN-035، BR-FIN-036؛ </w:t>
            </w:r>
            <w:r>
              <w:rPr>
                <w:rFonts w:ascii="Courier New" w:cs="Courier New" w:eastAsia="Courier New" w:hAnsi="Courier New"/>
                <w:b w:val="false"/>
                <w:bCs w:val="false"/>
                <w:color w:val="1F2937"/>
                <w:sz w:val="16"/>
                <w:szCs w:val="16"/>
                <w:shd w:fill="F1F3F5" w:color="auto" w:val="clear"/>
                <w:rtl/>
              </w:rPr>
              <w:t xml:space="preserve">‎docs/36‎</w:t>
            </w:r>
          </w:p>
        </w:tc>
      </w:tr>
      <w:tr>
        <w:trPr>
          <w:cantSplit/>
        </w:trPr>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قرارات المراجعة المعمارية 4.0 (2026-10-20).</w:t>
            </w:r>
            <w:r>
              <w:rPr>
                <w:rFonts w:ascii="Arial" w:cs="Arial" w:eastAsia="Arial" w:hAnsi="Arial"/>
                <w:b w:val="false"/>
                <w:bCs w:val="false"/>
                <w:sz w:val="18"/>
                <w:szCs w:val="18"/>
                <w:rtl/>
              </w:rPr>
              <w:t xml:space="preserve"> (1) يُضاف دور النظام RK «مسؤول المخاطر»، وظيفة مستقلة عن خط الإعداد والاعتماد، تصدّق التقييم ويصلها الإنذار الأحمر (D1). (2) يُبنى نموذج مخصص الذمم المبسّط بمصفوفة أعمار تقارنه الشركة بمخصصها المسجَّل، ونسب الخسارة الافتراضية تعتمدها الخزينة أو تغيّرها (D4). (3) تُعتمد نصوص رسائل الإنذار الافتراضية، والجهة المخولة بتعديلها لاحقًا أو الإبقاء عليها هي الخزينة (D5). (4) تُبنى البنود 1 و3 و4 و5 من دراسة المراجعة</w:t>
            </w:r>
          </w:p>
        </w:tc>
        <w:tc>
          <w:tcPr>
            <w:tcW w:type="dxa" w:w="4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تجميد الأرصدة والمبالغ المحوَّلة المؤكدة وإعادة فتحها؛ حزمة أدلة التقييم المصدَّق؛ المعايرة في الجاهزية والتصديق؛ إنذار المصدِّقين؛ الدور RK؛ </w:t>
            </w:r>
            <w:r>
              <w:rPr>
                <w:rFonts w:ascii="Courier New" w:cs="Courier New" w:eastAsia="Courier New" w:hAnsi="Courier New"/>
                <w:b w:val="false"/>
                <w:bCs w:val="false"/>
                <w:color w:val="1F2937"/>
                <w:sz w:val="16"/>
                <w:szCs w:val="16"/>
                <w:shd w:fill="F1F3F5" w:color="auto" w:val="clear"/>
                <w:rtl/>
              </w:rPr>
              <w:t xml:space="preserve">‎fin.ReceivableLossRate‎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‎fin.v_ReceivableProvisionCheck‎</w:t>
            </w:r>
            <w:r>
              <w:rPr>
                <w:rFonts w:ascii="Arial" w:cs="Arial" w:eastAsia="Arial" w:hAnsi="Arial"/>
                <w:b w:val="false"/>
                <w:bCs w:val="false"/>
                <w:sz w:val="18"/>
                <w:szCs w:val="18"/>
                <w:rtl/>
              </w:rPr>
              <w:t xml:space="preserve"> وحزمة FIN.PROVISION؛ حزمة NTF.BASE معتمدة افتراضًا</w:t>
            </w:r>
          </w:p>
        </w:tc>
        <w:tc>
          <w:tcPr>
            <w:tcW w:type="dxa" w:w="1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0030؛ </w:t>
            </w:r>
            <w:r>
              <w:rPr>
                <w:rFonts w:ascii="Courier New" w:cs="Courier New" w:eastAsia="Courier New" w:hAnsi="Courier New"/>
                <w:b w:val="false"/>
                <w:bCs w:val="false"/>
                <w:color w:val="1F2937"/>
                <w:sz w:val="16"/>
                <w:szCs w:val="16"/>
                <w:shd w:fill="F1F3F5" w:color="auto" w:val="clear"/>
                <w:rtl/>
              </w:rPr>
              <w:t xml:space="preserve">‎docs/38‎</w:t>
            </w:r>
            <w:r>
              <w:rPr>
                <w:rFonts w:ascii="Arial" w:cs="Arial" w:eastAsia="Arial" w:hAnsi="Arial"/>
                <w:b w:val="false"/>
                <w:bCs w:val="false"/>
                <w:sz w:val="18"/>
                <w:szCs w:val="18"/>
                <w:rtl/>
              </w:rPr>
              <w:t xml:space="preserve">؛ FR-FIN-045 إلى FR-FIN-048؛ BR-FIN-046 إلى BR-FIN-049؛ CA27 إلى CA30</w:t>
            </w:r>
          </w:p>
        </w:tc>
      </w:tr>
      <w:tr>
        <w:trPr>
          <w:cantSplit/>
        </w:trPr>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c>
          <w:tcPr>
            <w:tcW w:type="dxa" w:w="2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أدوار الحزمة CORE.ROLES (2026-10-21).</w:t>
            </w:r>
            <w:r>
              <w:rPr>
                <w:rFonts w:ascii="Arial" w:cs="Arial" w:eastAsia="Arial" w:hAnsi="Arial"/>
                <w:b w:val="false"/>
                <w:bCs w:val="false"/>
                <w:sz w:val="18"/>
                <w:szCs w:val="18"/>
                <w:rtl/>
              </w:rPr>
              <w:t xml:space="preserve"> (1) يأخذ دورا المحلل المالي FA ومسؤول المخاطر RK تفضيلات الإشعار </w:t>
            </w:r>
            <w:r>
              <w:rPr>
                <w:rFonts w:ascii="Courier New" w:cs="Courier New" w:eastAsia="Courier New" w:hAnsi="Courier New"/>
                <w:b w:val="false"/>
                <w:bCs w:val="false"/>
                <w:color w:val="1F2937"/>
                <w:sz w:val="16"/>
                <w:szCs w:val="16"/>
                <w:shd w:fill="F1F3F5" w:color="auto" w:val="clear"/>
                <w:rtl/>
              </w:rPr>
              <w:t xml:space="preserve">‎ntf.prefs‎</w:t>
            </w:r>
            <w:r>
              <w:rPr>
                <w:rFonts w:ascii="Arial" w:cs="Arial" w:eastAsia="Arial" w:hAnsi="Arial"/>
                <w:b w:val="false"/>
                <w:bCs w:val="false"/>
                <w:sz w:val="18"/>
                <w:szCs w:val="18"/>
                <w:rtl/>
              </w:rPr>
              <w:t xml:space="preserve">، لأنهما يستلمان الإشعارات، ومنها الإنذار الأحمر لـ RK. (2) الحل المعياري للخلية الملتبسة: تُصحَّح المصفوفة في المصدر بقيمة لكل رمز، ويرفض المولّد قيمة ◐ واحدة لرمزين، ولا يُستثنى شيء في المولّد</w:t>
            </w:r>
          </w:p>
        </w:tc>
        <w:tc>
          <w:tcPr>
            <w:tcW w:type="dxa" w:w="4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عمودا FA وRK في مصفوفة المواصفة 13؛ والصف 14 منها والصف 28 من المواصفة 14 بقيمة لكل رمز؛ والحزمة 393 ربطًا</w:t>
            </w:r>
          </w:p>
        </w:tc>
        <w:tc>
          <w:tcPr>
            <w:tcW w:type="dxa" w:w="1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0035؛ </w:t>
            </w:r>
            <w:r>
              <w:rPr>
                <w:rFonts w:ascii="Courier New" w:cs="Courier New" w:eastAsia="Courier New" w:hAnsi="Courier New"/>
                <w:b w:val="false"/>
                <w:bCs w:val="false"/>
                <w:color w:val="1F2937"/>
                <w:sz w:val="16"/>
                <w:szCs w:val="16"/>
                <w:shd w:fill="F1F3F5" w:color="auto" w:val="clear"/>
                <w:rtl/>
              </w:rPr>
              <w:t xml:space="preserve">‎docs/39‎</w:t>
            </w:r>
            <w:r>
              <w:rPr>
                <w:rFonts w:ascii="Arial" w:cs="Arial" w:eastAsia="Arial" w:hAnsi="Arial"/>
                <w:b w:val="false"/>
                <w:bCs w:val="false"/>
                <w:sz w:val="18"/>
                <w:szCs w:val="18"/>
                <w:rtl/>
              </w:rPr>
              <w:t xml:space="preserve"> §6؛ CR1 إلى CR6</w:t>
            </w:r>
          </w:p>
        </w:tc>
      </w:tr>
      <w:tr>
        <w:trPr>
          <w:cantSplit/>
        </w:trPr>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c>
          <w:tcPr>
            <w:tcW w:type="dxa" w:w="2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بدء المرحلة الثانية: بناء التطبيق (2026-10-21).</w:t>
            </w:r>
            <w:r>
              <w:rPr>
                <w:rFonts w:ascii="Arial" w:cs="Arial" w:eastAsia="Arial" w:hAnsi="Arial"/>
                <w:b w:val="false"/>
                <w:bCs w:val="false"/>
                <w:sz w:val="18"/>
                <w:szCs w:val="18"/>
                <w:rtl/>
              </w:rPr>
              <w:t xml:space="preserve"> الواجهة الأمامية React مع TypeScript، والدفعة الأولى S0 كاملة: الدخول بكلمة المرور وMFA وArgon2id، وربط الجلسة، والمستخدمون والأدوار ونطاق الشركات، والإعدادات والترقيم، وسجل التدقيق، وتهيئة المشترك ولوحة المشغّل، وعامل المهام الخلفية، واختبارات التكامل على قاعدة البيانات الحقيقية وCI؛ ثم S1 وما بعدها بالترتيب. واعتُمدت الافتراضات الموثقة للأسئلة المفتوحة في موجز S0: صفحة محايدة للعنوان الفرعي المجهول وللمشترك المؤرشف فقط (Q-1)، ولوحة المشغّل على </w:t>
            </w:r>
            <w:r>
              <w:rPr>
                <w:rFonts w:ascii="Courier New" w:cs="Courier New" w:eastAsia="Courier New" w:hAnsi="Courier New"/>
                <w:b w:val="false"/>
                <w:bCs w:val="false"/>
                <w:color w:val="1F2937"/>
                <w:sz w:val="16"/>
                <w:szCs w:val="16"/>
                <w:shd w:fill="F1F3F5" w:color="auto" w:val="clear"/>
                <w:rtl/>
              </w:rPr>
              <w:t xml:space="preserve">‎admin.bankfas.com‎</w:t>
            </w:r>
            <w:r>
              <w:rPr>
                <w:rFonts w:ascii="Arial" w:cs="Arial" w:eastAsia="Arial" w:hAnsi="Arial"/>
                <w:b w:val="false"/>
                <w:bCs w:val="false"/>
                <w:sz w:val="18"/>
                <w:szCs w:val="18"/>
                <w:rtl/>
              </w:rPr>
              <w:t xml:space="preserve"> (Q-2)، وجلسات الدعم تُعرض في لوحة المشغّل (Q-3)، ولا يُكتب حدث MFA_VERIFIED في S0 (Q-4)، وقناة إشعار S0 هي البريد وحده (Q-5)؛ ومزوّد مفاتيح محلي للتطوير والاختبار إلى أن يُختار منتج KMS (DQ-S02-1)</w:t>
            </w:r>
          </w:p>
        </w:tc>
        <w:tc>
          <w:tcPr>
            <w:tcW w:type="dxa" w:w="4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الهيكل: .NET 10 (واجهة API وعامل مهام ومكتبتا Core وData) وReact 19 مع TypeScript وVite. ونواة الأمن: Argon2id بصيغة PHC مطابقة للتنفيذ المرجعي، وTOTP بمتجهات RFC 6238، والغلاف AES-256-GCM. وسُدّت ثغرات القاعدة GAP-1 وGAP-2 وGAP-3 وGAP-4 وGAP-7 وGAP-8 وGAP-10 وGAP-13. ومسار الخروج من S0 (AC-PLT-5) يمرّ في اختبار تكامل واحد على القاعدة</w:t>
            </w:r>
          </w:p>
        </w:tc>
        <w:tc>
          <w:tcPr>
            <w:tcW w:type="dxa" w:w="1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0040؛ </w:t>
            </w:r>
            <w:r>
              <w:rPr>
                <w:rFonts w:ascii="Courier New" w:cs="Courier New" w:eastAsia="Courier New" w:hAnsi="Courier New"/>
                <w:b w:val="false"/>
                <w:bCs w:val="false"/>
                <w:color w:val="1F2937"/>
                <w:sz w:val="16"/>
                <w:szCs w:val="16"/>
                <w:shd w:fill="F1F3F5" w:color="auto" w:val="clear"/>
                <w:rtl/>
              </w:rPr>
              <w:t xml:space="preserve">‎docs/42‎</w:t>
            </w:r>
          </w:p>
        </w:tc>
      </w:tr>
      <w:tr>
        <w:trPr>
          <w:cantSplit/>
        </w:trPr>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2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S1 (2026-10-22).</w:t>
            </w:r>
            <w:r>
              <w:rPr>
                <w:rFonts w:ascii="Arial" w:cs="Arial" w:eastAsia="Arial" w:hAnsi="Arial"/>
                <w:b w:val="false"/>
                <w:bCs w:val="false"/>
                <w:sz w:val="18"/>
                <w:szCs w:val="18"/>
                <w:rtl/>
              </w:rPr>
              <w:t xml:space="preserve"> «ابدأ ببناء S1»، ثم «تابع البناء بعد انتهاء الدراسة». بُنيت على افتراضات الموجز للأسئلة المفتوحة، وهي </w:t>
            </w:r>
            <w:r>
              <w:rPr>
                <w:rFonts w:ascii="Arial" w:cs="Arial" w:eastAsia="Arial" w:hAnsi="Arial"/>
                <w:b/>
                <w:bCs/>
                <w:sz w:val="18"/>
                <w:szCs w:val="18"/>
                <w:rtl/>
              </w:rPr>
              <w:t xml:space="preserve">تنتظر تأكيدك</w:t>
            </w:r>
            <w:r>
              <w:rPr>
                <w:rFonts w:ascii="Arial" w:cs="Arial" w:eastAsia="Arial" w:hAnsi="Arial"/>
                <w:b w:val="false"/>
                <w:bCs w:val="false"/>
                <w:sz w:val="18"/>
                <w:szCs w:val="18"/>
                <w:rtl/>
              </w:rPr>
              <w:t xml:space="preserve">: فاحص ClamAV (OQ-1)، ورمز الطرف </w:t>
            </w:r>
            <w:r>
              <w:rPr>
                <w:rFonts w:ascii="Courier New" w:cs="Courier New" w:eastAsia="Courier New" w:hAnsi="Courier New"/>
                <w:b w:val="false"/>
                <w:bCs w:val="false"/>
                <w:color w:val="1F2937"/>
                <w:sz w:val="16"/>
                <w:szCs w:val="16"/>
                <w:shd w:fill="F1F3F5" w:color="auto" w:val="clear"/>
                <w:rtl/>
              </w:rPr>
              <w:t xml:space="preserve">‎P{seq:000000}‎</w:t>
            </w:r>
            <w:r>
              <w:rPr>
                <w:rFonts w:ascii="Arial" w:cs="Arial" w:eastAsia="Arial" w:hAnsi="Arial"/>
                <w:b w:val="false"/>
                <w:bCs w:val="false"/>
                <w:sz w:val="18"/>
                <w:szCs w:val="18"/>
                <w:rtl/>
              </w:rPr>
              <w:t xml:space="preserve"> (OQ-2)، وقاعدة انتهاء لكل نوع عام (OQ-3)، والبحث برقم الهوية بالنوع والدولة (OQ-4)، ومزامنة أسماء الجهة المرآة فقط (OQ-6)، وبلا صور مصغّرة (OQ-7)، وفئات التدقيق (OQ-8)، والمنشئ يضعه التطبيق (S1-GAP-12)، وكشف رقم الحساب حدث تدقيق (S1-GAP-15)، والتفضيل فوري أو متوقف إلى أن تُبنى الملخصات</w:t>
            </w:r>
          </w:p>
        </w:tc>
        <w:tc>
          <w:tcPr>
            <w:tcW w:type="dxa" w:w="4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وحزمها، ومخزن المستندات، والشركات، والأطراف، والبنوك والعلاقات ومعالج البنك، والحسابات، وأسعار الأساس، والإشعارات وتنبيهات الانتهاء والأحداث الأمنية، وحزمة NTF.BASE الإصدار 2. ومسارا الخروج AC-INS-1 وAC-ORG-6 يمرّان في اختبارات التكامل وفي المتصفح</w:t>
            </w:r>
          </w:p>
        </w:tc>
        <w:tc>
          <w:tcPr>
            <w:tcW w:type="dxa" w:w="1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0041؛ </w:t>
            </w:r>
            <w:r>
              <w:rPr>
                <w:rFonts w:ascii="Courier New" w:cs="Courier New" w:eastAsia="Courier New" w:hAnsi="Courier New"/>
                <w:b w:val="false"/>
                <w:bCs w:val="false"/>
                <w:color w:val="1F2937"/>
                <w:sz w:val="16"/>
                <w:szCs w:val="16"/>
                <w:shd w:fill="F1F3F5" w:color="auto" w:val="clear"/>
                <w:rtl/>
              </w:rPr>
              <w:t xml:space="preserve">‎docs/43‎</w:t>
            </w:r>
          </w:p>
        </w:tc>
      </w:tr>
    </w:tbl>
    <w:p>
      <w:pPr>
        <w:bidi/>
        <w:spacing w:after="120" w:before="0"/>
      </w:pPr>
    </w:p>
    <w:p>
      <w:pPr>
        <w:pStyle w:val="Heading1"/>
        <w:bidi/>
      </w:pPr>
      <w:bookmarkStart w:name="_sec6" w:id="6"/>
      <w:r>
        <w:rPr>
          <w:rFonts w:ascii="Arial" w:cs="Arial" w:eastAsia="Arial" w:hAnsi="Arial"/>
          <w:b/>
          <w:bCs/>
          <w:color w:val="1F3A5F"/>
          <w:sz w:val="32"/>
          <w:szCs w:val="32"/>
          <w:rtl/>
        </w:rPr>
        <w:t xml:space="preserve">2. بنود مفتوحة في سجل البنود تحتاج قرارك</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82"/>
        <w:gridCol w:w="1233"/>
        <w:gridCol w:w="5549"/>
      </w:tblGrid>
      <w:tr>
        <w:trPr>
          <w:cantSplit/>
          <w:tblHeader/>
        </w:trPr>
        <w:tc>
          <w:tcPr>
            <w:tcW w:type="dxa" w:w="3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المسألة</w:t>
            </w:r>
          </w:p>
        </w:tc>
        <w:tc>
          <w:tcPr>
            <w:tcW w:type="dxa" w:w="5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O-06</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مواد UCP 600 لم تُطابق على النص الرسمي</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توفير نسخة مرخّصة من نص ICC ليطابقها مختص؛ يبقى التنفيذ</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الأسئلة المفتوحة التي تعمل بقيم افتراضية</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الافتراضيات الـ148 الباقية (2026-10-19، القرار 31)؛ الأسئلة الـ155 محسومة</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بلا فجوات</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10 أعلاه؛ منفّذ (ADR 0005)</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المشترك المعلّق</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1 أعلاه</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تدقيق بلا مشترك من اتصال مشترك</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تُرفض لغير المنصة (DQ-S01-5)</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إلى O-22</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مخاطر متبقية منخفضة</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24 أعلاه</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مخاطر داخل المشترك بعد الدخول الجديد</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3 أعلاه</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O-03</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اعتماد التسهيل</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عبر مراجعة تصحيح فقط، والقادح حارس أخير (DQ-F13-7)</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O-05</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يجب اكتمال صفوف رسوم الاعتماد المستندي الستة</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يحدد مدير الخزينة الحالة، ثم تُكتب القاعدة في قاعدة البيانات</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مراجعة التصميم الـ40</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سجل </w:t>
            </w: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وأجوبته العشرة (2026-10-13)؛ الدفعتان (أ) و(ب) منفّذتان (ADR 0011)؛ واعتمد في 2026-10-14 قرارات التنفيذ الأربعة في §3.3 من السجل: عمود الحساسية، ومهمة المطابقة مع حالة LOST، وشرط ACTIVE، وقيد الحجب</w:t>
            </w:r>
          </w:p>
        </w:tc>
      </w:tr>
    </w:tbl>
    <w:p>
      <w:pPr>
        <w:bidi/>
        <w:spacing w:after="120" w:before="0"/>
      </w:pPr>
    </w:p>
    <w:p>
      <w:pPr>
        <w:pStyle w:val="Heading1"/>
        <w:bidi/>
      </w:pPr>
      <w:bookmarkStart w:name="_sec7" w:id="7"/>
      <w:r>
        <w:rPr>
          <w:rFonts w:ascii="Arial" w:cs="Arial" w:eastAsia="Arial" w:hAnsi="Arial"/>
          <w:b/>
          <w:bCs/>
          <w:color w:val="1F3A5F"/>
          <w:sz w:val="32"/>
          <w:szCs w:val="32"/>
          <w:rtl/>
        </w:rPr>
        <w:t xml:space="preserve">3. القائمة الكاملة حسب المستند</w:t>
      </w:r>
      <w:bookmarkEnd w:id="7"/>
    </w:p>
    <w:p>
      <w:pPr>
        <w:bidi/>
        <w:spacing w:after="110" w:before="0" w:line="312"/>
      </w:pPr>
      <w:r>
        <w:rPr>
          <w:rFonts w:ascii="Arial" w:cs="Arial" w:eastAsia="Arial" w:hAnsi="Arial"/>
          <w:b w:val="false"/>
          <w:bCs w:val="false"/>
          <w:sz w:val="21"/>
          <w:szCs w:val="21"/>
          <w:rtl/>
        </w:rPr>
        <w:t xml:space="preserve">كل جدول يذكر القرارات التي صاحبها المالك أو مالك المنتج أو مدير الخزينة في مستند واحد. «ما يعطّله» يبيّن الشريحة أو العمل المتوقف على القرار.</w:t>
      </w:r>
    </w:p>
    <w:p>
      <w:pPr>
        <w:pStyle w:val="Heading2"/>
        <w:bidi/>
      </w:pPr>
      <w:bookmarkStart w:name="_sec8" w:id="8"/>
      <w:r>
        <w:rPr>
          <w:rFonts w:ascii="Arial" w:cs="Arial" w:eastAsia="Arial" w:hAnsi="Arial"/>
          <w:b/>
          <w:bCs/>
          <w:color w:val="2B5C8A"/>
          <w:sz w:val="26"/>
          <w:szCs w:val="26"/>
          <w:rtl/>
        </w:rPr>
        <w:t xml:space="preserve">3.1 مستندات P0 (قبل S0)</w:t>
      </w:r>
      <w:bookmarkEnd w:id="8"/>
    </w:p>
    <w:p>
      <w:pPr>
        <w:bidi/>
        <w:spacing w:after="110" w:before="0" w:line="312"/>
      </w:pPr>
      <w:r>
        <w:rPr>
          <w:rFonts w:ascii="Arial" w:cs="Arial" w:eastAsia="Arial" w:hAnsi="Arial"/>
          <w:b/>
          <w:bCs/>
          <w:sz w:val="21"/>
          <w:szCs w:val="21"/>
          <w:rtl/>
        </w:rPr>
        <w:t xml:space="preserve">DOC-F01 — مخطط السياق وحدود الثقة (DFD المستوى 0)</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1195"/>
        <w:gridCol w:w="5980"/>
        <w:gridCol w:w="1494"/>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DQ-F01-7</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أين يقرأ الدعم المؤقت بيانات المشترك؟</w:t>
            </w:r>
          </w:p>
        </w:tc>
        <w:tc>
          <w:tcPr>
            <w:tcW w:type="dxa" w:w="5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TB-3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بجلسة دعم يتحقق إجراؤها من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لا عبر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بصيغة DQ-F04-6 أدناه: دخول خاص في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للقراءة فقط، لا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(db/static/036_operator_and_support.sql؛ DOC-F01 DQ-F01-7)</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FR-PLT-007</w:t>
            </w:r>
          </w:p>
        </w:tc>
      </w:tr>
    </w:tbl>
    <w:p>
      <w:pPr>
        <w:bidi/>
        <w:spacing w:after="120" w:before="0"/>
      </w:pPr>
    </w:p>
    <w:p>
      <w:pPr>
        <w:bidi/>
        <w:spacing w:after="110" w:before="0" w:line="312"/>
      </w:pPr>
      <w:r>
        <w:rPr>
          <w:rFonts w:ascii="Arial" w:cs="Arial" w:eastAsia="Arial" w:hAnsi="Arial"/>
          <w:b/>
          <w:bCs/>
          <w:sz w:val="21"/>
          <w:szCs w:val="21"/>
          <w:rtl/>
        </w:rPr>
        <w:t xml:space="preserve">DOC-F03 — تسلسل الدخول وMFA والاسترداد</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2270"/>
        <w:gridCol w:w="5516"/>
        <w:gridCol w:w="1081"/>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5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يُغلق O-9 (20-database-design)؟</w:t>
            </w:r>
          </w:p>
        </w:tc>
        <w:tc>
          <w:tcPr>
            <w:tcW w:type="dxa" w:w="5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S0، بإجراءات ضيقة بصفة tp_auth_exec على نمط ADR 0002، بلا usp_SetAuthContext، في ADR جديد</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 وMFA في S0</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يُربط مستخدم MfaEnabled = 0؟</w:t>
            </w:r>
          </w:p>
        </w:tc>
        <w:tc>
          <w:tcPr>
            <w:tcW w:type="dxa" w:w="5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الربط يشترط MfaVerifiedAt لكل مستخدم غير خدمي، والتسجيل بإجراء؛ يتفق مع DQ-S01-3 ومع خطوة O-24 التالية (tools/dbgen/erd_open_items.py:155)</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DQ-F03-8</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بعد التصفير</w:t>
            </w:r>
          </w:p>
        </w:tc>
        <w:tc>
          <w:tcPr>
            <w:tcW w:type="dxa" w:w="5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24 ساعة بغرض جديد MFA_REENROLMENT في sec.UserToken.Purpose، وتعديل FR-PLT-013 لرسالة ثالثة</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DQ-F03-11</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المستخدم الذي أثبت كلمة مروره ورُفض بحالة المشترك</w:t>
            </w:r>
          </w:p>
        </w:tc>
        <w:tc>
          <w:tcPr>
            <w:tcW w:type="dxa" w:w="5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50006 المقترح في DQ-F04-3 بشرط رفعه بعد نجاح المقارنة فقط، مع تعديل docs/adr/0002-login-and-session-bound-context.md:20</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§5.3</w:t>
            </w:r>
          </w:p>
        </w:tc>
      </w:tr>
    </w:tbl>
    <w:p>
      <w:pPr>
        <w:bidi/>
        <w:spacing w:after="120" w:before="0"/>
      </w:pPr>
    </w:p>
    <w:p>
      <w:pPr>
        <w:bidi/>
        <w:spacing w:after="110" w:before="0" w:line="312"/>
      </w:pPr>
      <w:r>
        <w:rPr>
          <w:rFonts w:ascii="Arial" w:cs="Arial" w:eastAsia="Arial" w:hAnsi="Arial"/>
          <w:b/>
          <w:bCs/>
          <w:sz w:val="21"/>
          <w:szCs w:val="21"/>
          <w:rtl/>
        </w:rPr>
        <w:t xml:space="preserve">DOC-F04 — تسلسل ربط سياق المشترك لكل اتصال ومهمة</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4"/>
        <w:gridCol w:w="2883"/>
        <w:gridCol w:w="4098"/>
        <w:gridCol w:w="1669"/>
      </w:tblGrid>
      <w:tr>
        <w:trPr>
          <w:cantSplit/>
          <w:tblHeader/>
        </w:trPr>
        <w:tc>
          <w:tcPr>
            <w:tcW w:type="dxa" w:w="1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يُحسم O-18 (erd_open_items)؟</w:t>
            </w:r>
          </w:p>
        </w:tc>
        <w:tc>
          <w:tcPr>
            <w:tcW w:type="dxa" w:w="4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الخيار (أ) بالمصفوفة في §7.4</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030 والاختبار T27، ودخول S0</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DQ-F04-2</w:t>
            </w:r>
          </w:p>
        </w:tc>
        <w:tc>
          <w:tcPr>
            <w:tcW w:type="dxa" w:w="2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يقرأ مشتركًا ARCHIVED_READ_ONLY؟</w:t>
            </w:r>
          </w:p>
        </w:tc>
        <w:tc>
          <w:tcPr>
            <w:tcW w:type="dxa" w:w="4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دخول لمستخدمي المشترك؛ قراءة المشغّل بإجراء مُراجَع بطلب مكتوب</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 وDOC-F05</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DQ-F04-6</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يربط الدعم المؤقت؟</w:t>
            </w:r>
          </w:p>
        </w:tc>
        <w:tc>
          <w:tcPr>
            <w:tcW w:type="dxa" w:w="4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وعمودا </w:t>
            </w:r>
            <w:r>
              <w:rPr>
                <w:rFonts w:ascii="Courier New" w:cs="Courier New" w:eastAsia="Courier New" w:hAnsi="Courier New"/>
                <w:b w:val="false"/>
                <w:bCs w:val="false"/>
                <w:color w:val="1F2937"/>
                <w:sz w:val="16"/>
                <w:szCs w:val="16"/>
                <w:shd w:fill="F1F3F5" w:color="auto" w:val="clear"/>
                <w:rtl/>
              </w:rPr>
              <w:t xml:space="preserve">‎BindingKind‎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‎BoundOperatorId‎</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وBR-PLT-017 في S0</w:t>
            </w:r>
          </w:p>
        </w:tc>
      </w:tr>
    </w:tbl>
    <w:p>
      <w:pPr>
        <w:bidi/>
        <w:spacing w:after="120" w:before="0"/>
      </w:pPr>
    </w:p>
    <w:p>
      <w:pPr>
        <w:bidi/>
        <w:spacing w:after="110" w:before="0" w:line="312"/>
      </w:pPr>
      <w:r>
        <w:rPr>
          <w:rFonts w:ascii="Arial" w:cs="Arial" w:eastAsia="Arial" w:hAnsi="Arial"/>
          <w:b/>
          <w:bCs/>
          <w:sz w:val="21"/>
          <w:szCs w:val="21"/>
          <w:rtl/>
        </w:rPr>
        <w:t xml:space="preserve">DOC-F05 — تسلسل تهيئة المشترك ودورة حياته مع الفشل والتراجع</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2523"/>
        <w:gridCol w:w="3213"/>
        <w:gridCol w:w="2293"/>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DQ-F05-2</w:t>
            </w:r>
          </w:p>
        </w:tc>
        <w:tc>
          <w:tcPr>
            <w:tcW w:type="dxa" w:w="2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التهيئة؟</w:t>
            </w:r>
          </w:p>
        </w:tc>
        <w:tc>
          <w:tcPr>
            <w:tcW w:type="dxa" w:w="3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OPERATOR_ADMIN واحد بعد إعادة مصادقة MFA، مع تدقيق؛ لا موافقة ثانية في S0</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المشغّل</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DQ-F05-4</w:t>
            </w:r>
          </w:p>
        </w:tc>
        <w:tc>
          <w:tcPr>
            <w:tcW w:type="dxa" w:w="2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لتهيئة ملغاة؟</w:t>
            </w:r>
          </w:p>
        </w:tc>
        <w:tc>
          <w:tcPr>
            <w:tcW w:type="dxa" w:w="32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TRIAL إلى CLOSED بسبب، ويبقى الرمز محجوزًا، ولا حذف</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DQ-F05-6</w:t>
            </w:r>
          </w:p>
        </w:tc>
        <w:tc>
          <w:tcPr>
            <w:tcW w:type="dxa" w:w="2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 بعد انتهائها، ومن ينفّذ المؤقتات؟</w:t>
            </w:r>
          </w:p>
        </w:tc>
        <w:tc>
          <w:tcPr>
            <w:tcW w:type="dxa" w:w="3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يُسمح بـ SUSPENDED إلى TRIAL بتاريخ جديد؛ المؤقتات مهام منصة يومية تستدعي الإجراء نفسه وتُسجَّل في التدقيق</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و§6.3</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c>
          <w:tcPr>
            <w:tcW w:type="dxa" w:w="2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التصدير FR-PLT-039؟</w:t>
            </w:r>
          </w:p>
        </w:tc>
        <w:tc>
          <w:tcPr>
            <w:tcW w:type="dxa" w:w="32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يُبنى الانتقال ويُختبر في S0، ويُمنع الإغلاق الفعلي حتى يوجد التصدير</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r>
    </w:tbl>
    <w:p>
      <w:pPr>
        <w:bidi/>
        <w:spacing w:after="120" w:before="0"/>
      </w:pPr>
    </w:p>
    <w:p>
      <w:pPr>
        <w:bidi/>
        <w:spacing w:after="110" w:before="0" w:line="312"/>
      </w:pPr>
      <w:r>
        <w:rPr>
          <w:rFonts w:ascii="Arial" w:cs="Arial" w:eastAsia="Arial" w:hAnsi="Arial"/>
          <w:b/>
          <w:bCs/>
          <w:sz w:val="21"/>
          <w:szCs w:val="21"/>
          <w:rtl/>
        </w:rPr>
        <w:t xml:space="preserve">DOC-F06 — مخطط حالات المستخدم (AppUser) مع القفل والجلسات</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2922"/>
        <w:gridCol w:w="1826"/>
        <w:gridCol w:w="3655"/>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6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DQ-F06-3</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تُفصل صلاحيات فك القفل وتصفير MFA وإنهاء الجلسات عن sec.user.manage؟</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رمز واحد كما في DOC-F07، مع إعادة مصادقة للفعلين الحساسين</w:t>
            </w:r>
          </w:p>
        </w:tc>
        <w:tc>
          <w:tcPr>
            <w:tcW w:type="dxa" w:w="3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(DOC-B05)، الشاشة 5</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DQ-F06-4</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الوحيد مقفل أو فقد جهازه</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منصة مُراجَع ينفّذه المشغّل بطلب خطي من المشترك</w:t>
            </w:r>
          </w:p>
        </w:tc>
        <w:tc>
          <w:tcPr>
            <w:tcW w:type="dxa" w:w="3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DQ-F06-5</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منتهية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INVITED، ويعيد المدير الإرسال أو يؤرشف؛ لا أرشفة آلية</w:t>
            </w:r>
          </w:p>
        </w:tc>
        <w:tc>
          <w:tcPr>
            <w:tcW w:type="dxa" w:w="3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DQ-F06-6</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القفل الثالث وتصفير MFA في S0، والتسليم داخل المنصة يبدأ في S1</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S0 تظهر في شاشة المستخدمين وتقرير R-PLT-4</w:t>
            </w:r>
          </w:p>
        </w:tc>
        <w:tc>
          <w:tcPr>
            <w:tcW w:type="dxa" w:w="3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 من 10-m0-m1</w:t>
            </w:r>
          </w:p>
        </w:tc>
      </w:tr>
    </w:tbl>
    <w:p>
      <w:pPr>
        <w:bidi/>
        <w:spacing w:after="120" w:before="0"/>
      </w:pPr>
    </w:p>
    <w:p>
      <w:pPr>
        <w:bidi/>
        <w:spacing w:after="110" w:before="0" w:line="312"/>
      </w:pPr>
      <w:r>
        <w:rPr>
          <w:rFonts w:ascii="Arial" w:cs="Arial" w:eastAsia="Arial" w:hAnsi="Arial"/>
          <w:b/>
          <w:bCs/>
          <w:sz w:val="21"/>
          <w:szCs w:val="21"/>
          <w:rtl/>
        </w:rPr>
        <w:t xml:space="preserve">DOC-F07 — كتالوج حالات الاستخدام: المنصة والهيكل المؤسسي والأشخاص (M0 وM1)</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3"/>
        <w:gridCol w:w="1972"/>
        <w:gridCol w:w="3071"/>
        <w:gridCol w:w="3068"/>
      </w:tblGrid>
      <w:tr>
        <w:trPr>
          <w:cantSplit/>
          <w:tblHeader/>
        </w:trPr>
        <w:tc>
          <w:tcPr>
            <w:tcW w:type="dxa" w:w="17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DQ-F07-1</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رموز الصلاحيات المقترحة في §3</w:t>
            </w:r>
          </w:p>
        </w:tc>
        <w:tc>
          <w:tcPr>
            <w:tcW w:type="dxa" w:w="3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هي تحت ModuleCode = CORE، وتُضاف إلى مصفوفة 10-m0-m1</w:t>
            </w:r>
          </w:p>
        </w:tc>
        <w:tc>
          <w:tcPr>
            <w:tcW w:type="dxa" w:w="3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واختبار FR-PLT-017</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DQ-F07-2</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شركات مدير الحساب الأول</w:t>
            </w:r>
          </w:p>
        </w:tc>
        <w:tc>
          <w:tcPr>
            <w:tcW w:type="dxa" w:w="3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 عند التهيئة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وSELECTED افتراضيًا لغيره كما في النموذج</w:t>
            </w:r>
          </w:p>
        </w:tc>
        <w:tc>
          <w:tcPr>
            <w:tcW w:type="dxa" w:w="3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خروج S0</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DQ-F07-3</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حسابات المشغّلين</w:t>
            </w:r>
          </w:p>
        </w:tc>
        <w:tc>
          <w:tcPr>
            <w:tcW w:type="dxa" w:w="3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OPERATOR_ADMIN يُبذر عند النشر، ثم يديرها OPERATOR_ADMIN من لوحة المشغّل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والسياسة في DOC-S04 §12</w:t>
            </w:r>
          </w:p>
        </w:tc>
        <w:tc>
          <w:tcPr>
            <w:tcW w:type="dxa" w:w="3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DOC-B07</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DQ-F07-4</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المستندات في S0 بلا شاشة أعمال</w:t>
            </w:r>
          </w:p>
        </w:tc>
        <w:tc>
          <w:tcPr>
            <w:tcW w:type="dxa" w:w="3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يسلّم الخدمة والواجهة البرمجية واختباراتها ومكوّن رفع مشترك؛ أول شاشة أعمال في S1 </w:t>
            </w:r>
            <w:r>
              <w:rPr>
                <w:rFonts w:ascii="Arial" w:cs="Arial" w:eastAsia="Arial" w:hAnsi="Arial"/>
                <w:color w:val="E0A800"/>
                <w:sz w:val="18"/>
                <w:szCs w:val="18"/>
                <w:rtl/>
              </w:rPr>
              <w:t xml:space="preserve">●</w:t>
            </w:r>
          </w:p>
        </w:tc>
        <w:tc>
          <w:tcPr>
            <w:tcW w:type="dxa" w:w="3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r>
    </w:tbl>
    <w:p>
      <w:pPr>
        <w:bidi/>
        <w:spacing w:after="120" w:before="0"/>
      </w:pPr>
    </w:p>
    <w:p>
      <w:pPr>
        <w:bidi/>
        <w:spacing w:after="110" w:before="0" w:line="312"/>
      </w:pPr>
      <w:r>
        <w:rPr>
          <w:rFonts w:ascii="Arial" w:cs="Arial" w:eastAsia="Arial" w:hAnsi="Arial"/>
          <w:b/>
          <w:bCs/>
          <w:sz w:val="21"/>
          <w:szCs w:val="21"/>
          <w:rtl/>
        </w:rPr>
        <w:t xml:space="preserve">DOC-F08 — نموذج حالة الطلب الموحّد وإقفال دورة العمل (توفيق المصادر)</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3997"/>
        <w:gridCol w:w="3745"/>
        <w:gridCol w:w="1123"/>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DQ-F08-1</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النموذج الموحّد (ست حالات بـ AWAITING_CLOSE وأربع طبقات) وتعديل 13-m6 به؛ يُغلق O-10 (20-database-design)</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كما في §4، ويسري على كل أنواع الطلبات لأن قيود القاعدة تفرضه</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 DOC-F10؛ S3</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DQ-F08-2</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الرفض والإلغاء فوريين؟ (سؤال docs/20-database-design.md:538)</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لا يمران بالإقفال</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DQ-F08-3</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افتراضيًا؛ ويضيفه المشترك لـ FO إن شاء</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(DOC-B05)</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DQ-F08-4</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«مُعتمِده» في قاعدة فصل المهام (docs/20-database-design.md:403)</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المُقفِل ليس الطالب ولا المنشئ ولا المُسنَد الذي أكمل آخر مرحلة؛ موافقة TM عند نقطة الحجز لا تمنعه؛ والاستثناء بـ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الإقفال</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DQ-F08-5</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الطالب في AWAITING_CLOSE</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 «تحت الإجراء» كما في docs/20-database-design.md:406</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الطالب</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DQ-F08-7</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إرجاع طلب أو إلغاؤه في AWAITING_CLOSE؟</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التصحيح بطلب فرعي</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DQ-F08-8</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الإقفال ومهلته</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جديد REQ.READY_TO_CLOSE لحاملي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وعدّاد في اللوحة، وبلا SLA افتراضيًا</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(13-m6 §9.2)</w:t>
            </w:r>
          </w:p>
        </w:tc>
      </w:tr>
    </w:tbl>
    <w:p>
      <w:pPr>
        <w:bidi/>
        <w:spacing w:after="120" w:before="0"/>
      </w:pPr>
    </w:p>
    <w:p>
      <w:pPr>
        <w:bidi/>
        <w:spacing w:after="110" w:before="0" w:line="312"/>
      </w:pPr>
      <w:r>
        <w:rPr>
          <w:rFonts w:ascii="Arial" w:cs="Arial" w:eastAsia="Arial" w:hAnsi="Arial"/>
          <w:b/>
          <w:bCs/>
          <w:sz w:val="21"/>
          <w:szCs w:val="21"/>
          <w:rtl/>
        </w:rPr>
        <w:t xml:space="preserve">DOC-S01 — نموذج التهديدات (STRIDE لكل حد ثقة)</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23"/>
        <w:gridCol w:w="2023"/>
        <w:gridCol w:w="3036"/>
        <w:gridCol w:w="2782"/>
      </w:tblGrid>
      <w:tr>
        <w:trPr>
          <w:cantSplit/>
          <w:tblHeader/>
        </w:trPr>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DQ-S01-1</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قبول الخطر المتبقي، وكيف يُراجع؟</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يعتمد بتوصية معماري الأمن؛ مراجعة قبل كل شريحة؛ العالي لا يُقبل بلا تاريخ معالجة</w:t>
            </w:r>
          </w:p>
        </w:tc>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 §5</w:t>
            </w:r>
          </w:p>
        </w:tc>
      </w:tr>
      <w:tr>
        <w:trPr>
          <w:cantSplit/>
        </w:trPr>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DQ-S01-3</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يشترط الربط MFA لكل مستخدم غير خدمي؟</w:t>
            </w:r>
          </w:p>
        </w:tc>
        <w:tc>
          <w:tcPr>
            <w:tcW w:type="dxa" w:w="3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التسجيل الأول بإجراء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قبل أول ربط</w:t>
            </w:r>
          </w:p>
        </w:tc>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DOC-F03</w:t>
            </w:r>
          </w:p>
        </w:tc>
      </w:tr>
      <w:tr>
        <w:trPr>
          <w:cantSplit/>
        </w:trPr>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DQ-S01-6</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تُقبل O-20 وO-21 وO-22 متبقية؟</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بتقييم منخفض ومالك ومراجعة قبل S2، بعد تطبيق ضوابط التطبيق في §5</w:t>
            </w:r>
          </w:p>
        </w:tc>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bl>
    <w:p>
      <w:pPr>
        <w:bidi/>
        <w:spacing w:after="120" w:before="0"/>
      </w:pPr>
    </w:p>
    <w:p>
      <w:pPr>
        <w:bidi/>
        <w:spacing w:after="110" w:before="0" w:line="312"/>
      </w:pPr>
      <w:r>
        <w:rPr>
          <w:rFonts w:ascii="Arial" w:cs="Arial" w:eastAsia="Arial" w:hAnsi="Arial"/>
          <w:b/>
          <w:bCs/>
          <w:sz w:val="21"/>
          <w:szCs w:val="21"/>
          <w:rtl/>
        </w:rPr>
        <w:t xml:space="preserve">DOC-S02 — سياسة إدارة المفاتيح والتشفير عند التخزين</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35"/>
        <w:gridCol w:w="2135"/>
        <w:gridCol w:w="2985"/>
        <w:gridCol w:w="2609"/>
      </w:tblGrid>
      <w:tr>
        <w:trPr>
          <w:cantSplit/>
          <w:tblHeader/>
        </w:trPr>
        <w:tc>
          <w:tcPr>
            <w:tcW w:type="dxa" w:w="2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المفتاح الرئيسي للتطبيق K-05 ومفتاح المنصة K-09؟</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إدارة مفاتيح أو وحدة أمن عتادية خارج VPS القاعدة وخارج حساب الاستضافة نفسه، تدعم اللف والفك دون تصدير المفتاح</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تحميل بيانات حقيقية (ADR 0001)</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KC-1 مسؤول الأمن، KC-2 ممثل المالك؛ DBA مستبعد من K-05</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مراسم المفاتيح</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DQ-S02-3</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التقسيم</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نصفان ومظروفان في موقعين؛ البديل 2 من 3</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وهل يشمل TDE وتشفير النسخ</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يُتحقق قبل الشراء؛ CI يستعمل Developer</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القسمان 5 و6</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DQ-S02-10</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مخزن الملفات</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تخزين مستقلة على VPS مع نسخ منفصل</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DQ-S02-12</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في التثبيت المحلي</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من جهة المشترك</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(S5)</w:t>
            </w:r>
          </w:p>
        </w:tc>
      </w:tr>
    </w:tbl>
    <w:p>
      <w:pPr>
        <w:bidi/>
        <w:spacing w:after="120" w:before="0"/>
      </w:pPr>
    </w:p>
    <w:p>
      <w:pPr>
        <w:bidi/>
        <w:spacing w:after="110" w:before="0" w:line="312"/>
      </w:pPr>
      <w:r>
        <w:rPr>
          <w:rFonts w:ascii="Arial" w:cs="Arial" w:eastAsia="Arial" w:hAnsi="Arial"/>
          <w:b/>
          <w:bCs/>
          <w:sz w:val="21"/>
          <w:szCs w:val="21"/>
          <w:rtl/>
        </w:rPr>
        <w:t xml:space="preserve">DOC-S03 — معمارية الأمن والمصادقة والجلسات (سلسلة الثقة من الهوية إلى سياق المشترك)</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2518"/>
        <w:gridCol w:w="3570"/>
        <w:gridCol w:w="2098"/>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5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إغلاق O-24</w:t>
            </w:r>
          </w:p>
        </w:tc>
        <w:tc>
          <w:tcPr>
            <w:tcW w:type="dxa" w:w="35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 وR3 وR4 وR5 كما في §12؛ R3 يتفق مع DQ-F04-8</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O-24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DQ-S03-6</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الأقصر لكل مشترك (FR-PLT-043)</w:t>
            </w:r>
          </w:p>
        </w:tc>
        <w:tc>
          <w:tcPr>
            <w:tcW w:type="dxa" w:w="35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يقرأ مفتاحي المهلتين من cfg.TenantSetting بحد أقصى 30 دقيقة و12 ساعة</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DQ-S03-7</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لوحة المشغّل</w:t>
            </w:r>
          </w:p>
        </w:tc>
        <w:tc>
          <w:tcPr>
            <w:tcW w:type="dxa" w:w="35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مستقل وكوكي باسم مختلف</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bl>
    <w:p>
      <w:pPr>
        <w:bidi/>
        <w:spacing w:after="120" w:before="0"/>
      </w:pPr>
    </w:p>
    <w:p>
      <w:pPr>
        <w:bidi/>
        <w:spacing w:after="110" w:before="0" w:line="312"/>
      </w:pPr>
      <w:r>
        <w:rPr>
          <w:rFonts w:ascii="Arial" w:cs="Arial" w:eastAsia="Arial" w:hAnsi="Arial"/>
          <w:b/>
          <w:bCs/>
          <w:sz w:val="21"/>
          <w:szCs w:val="21"/>
          <w:rtl/>
        </w:rPr>
        <w:t xml:space="preserve">DOC-S04 — سياسة كلمات المرور والمصادقة المتعددة والاسترداد</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9"/>
        <w:gridCol w:w="2219"/>
        <w:gridCol w:w="2714"/>
        <w:gridCol w:w="2712"/>
      </w:tblGrid>
      <w:tr>
        <w:trPr>
          <w:cantSplit/>
          <w:tblHeader/>
        </w:trPr>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DQ-S04-4</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دلالة القفل الثالث</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المنفَّذ وتعديل نص BR-PLT-005</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DQ-S04-9</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التصفير ومهلة إعادة التسجيل</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والمهلة 24 ساعة</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DQ-S04-10</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المشغّل والجداول الناقصة</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r>
        <w:trPr>
          <w:cantSplit/>
        </w:trPr>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DQ-S04-11</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يعطّل المشترك MFA؟</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فـ «افتراضيًا» تعني قيمة المنصة الدنيا</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DQ-S04-14</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الإعدادات وحدودها</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البذر</w:t>
            </w:r>
          </w:p>
        </w:tc>
      </w:tr>
    </w:tbl>
    <w:p>
      <w:pPr>
        <w:bidi/>
        <w:spacing w:after="120" w:before="0"/>
      </w:pPr>
    </w:p>
    <w:p>
      <w:pPr>
        <w:bidi/>
        <w:spacing w:after="110" w:before="0" w:line="312"/>
      </w:pPr>
      <w:r>
        <w:rPr>
          <w:rFonts w:ascii="Arial" w:cs="Arial" w:eastAsia="Arial" w:hAnsi="Arial"/>
          <w:b/>
          <w:bCs/>
          <w:sz w:val="21"/>
          <w:szCs w:val="21"/>
          <w:rtl/>
        </w:rPr>
        <w:t xml:space="preserve">DOC-S05 — سياسة TLS وتشفير الاتصالات</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1817"/>
        <w:gridCol w:w="2595"/>
        <w:gridCol w:w="3116"/>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التصديق العامة وطريقة الإصدار</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عامة عبر ACME بتحدي DNS-01 وتجديد آلي</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الأول (FR-PLT-046)</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DQ-S05-2</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شاملة أم شهادة لكل عنوان؟</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شاملة مع اسم الجذر، لحماية قائمة المشتركين من سجلات الشفافية</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DQ-S05-8</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مصدر لوحة المشغّل</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عناوين مسموحة أو شبكة خاصة</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DQ-S05-9</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في S0</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DQ-S05-10</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DNS وحفظ رمز واجهته</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 مع مزوّد الاستضافة؛ رمز بأضيق صلاحية</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الشهادة</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DQ-S05-12</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يُنهى TLS؟</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مضيف التطبيق؛ يتبع قرار نظام تشغيل طبقة التطبيق</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r>
    </w:tbl>
    <w:p>
      <w:pPr>
        <w:bidi/>
        <w:spacing w:after="120" w:before="0"/>
      </w:pPr>
    </w:p>
    <w:p>
      <w:pPr>
        <w:bidi/>
        <w:spacing w:after="110" w:before="0" w:line="312"/>
      </w:pPr>
      <w:r>
        <w:rPr>
          <w:rFonts w:ascii="Arial" w:cs="Arial" w:eastAsia="Arial" w:hAnsi="Arial"/>
          <w:b/>
          <w:bCs/>
          <w:sz w:val="21"/>
          <w:szCs w:val="21"/>
          <w:rtl/>
        </w:rPr>
        <w:t xml:space="preserve">DOC-S06 — معيار تصنيف البيانات وحمايتها على مستوى الأعمدة والملفات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72"/>
        <w:gridCol w:w="1750"/>
        <w:gridCol w:w="1750"/>
        <w:gridCol w:w="5092"/>
      </w:tblGrid>
      <w:tr>
        <w:trPr>
          <w:cantSplit/>
          <w:tblHeader/>
        </w:trPr>
        <w:tc>
          <w:tcPr>
            <w:tcW w:type="dxa" w:w="1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5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DQ-S06-1</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السرّي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كالمقيّد؟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بتوليد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للسرّي أيضًا، والتقارير عبر عروض مجمّعة</w:t>
            </w:r>
          </w:p>
        </w:tc>
        <w:tc>
          <w:tcPr>
            <w:tcW w:type="dxa" w:w="5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DQ-S06-2</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وIBAN مقيّدان أم سرّيان؟</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مقيّدان، كما في النموذج وFR-REQ-024</w:t>
            </w:r>
          </w:p>
        </w:tc>
        <w:tc>
          <w:tcPr>
            <w:tcW w:type="dxa" w:w="5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11-m2-m4 §12</w:t>
            </w:r>
          </w:p>
        </w:tc>
      </w:tr>
      <w:tr>
        <w:trPr>
          <w:cantSplit/>
        </w:trPr>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DQ-S06-8</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الإعاقة وأي فئة صحية</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تُجمع إلا بطلب نموذج بنك، حقلًا مخصصًا مقيّدًا، بعد رأي قانوني</w:t>
            </w:r>
          </w:p>
        </w:tc>
        <w:tc>
          <w:tcPr>
            <w:tcW w:type="dxa" w:w="5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docs/05-kyc-forms-analysis.md:73</w:t>
            </w:r>
          </w:p>
        </w:tc>
      </w:tr>
    </w:tbl>
    <w:p>
      <w:pPr>
        <w:bidi/>
        <w:spacing w:after="120" w:before="0"/>
      </w:pPr>
    </w:p>
    <w:p>
      <w:pPr>
        <w:bidi/>
        <w:spacing w:after="110" w:before="0" w:line="312"/>
      </w:pPr>
      <w:r>
        <w:rPr>
          <w:rFonts w:ascii="Arial" w:cs="Arial" w:eastAsia="Arial" w:hAnsi="Arial"/>
          <w:b/>
          <w:bCs/>
          <w:sz w:val="21"/>
          <w:szCs w:val="21"/>
          <w:rtl/>
        </w:rPr>
        <w:t xml:space="preserve">DOC-S07 — تقييم أثر الخصوصية وحماية البيانات الشخصية</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2308"/>
        <w:gridCol w:w="1678"/>
        <w:gridCol w:w="4200"/>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4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VPS الإنتاج</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بعد رأي قانوني لكل دولة مستهدفة</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 (ADR 0001)</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DQ-S07-2</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الموقع المنفصل للنسخ ومخزن المفاتيح</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نفسها أو دولة يقبلها الرأي القانوني</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DOC-S02</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(Controller وProcessor) والعقد مع المشترك وقائمة المعالجين الفرعيين</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 في القسم 2، وملحق معالجة في عقد الاشتراك</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 التجريبي</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DQ-S07-5</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في S1</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DQ-S07-7</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اتصال الخصوصية لكل مشترك</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إلزامي عند التهيئة</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DQ-S07-8</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لكل فئة</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الاحتفاظ في القسم 4</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O-6 (20-database-design)</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DQ-S07-9</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شخص واحد</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جديد في S1 أو S2</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الاطلاع</w:t>
            </w:r>
          </w:p>
        </w:tc>
      </w:tr>
    </w:tbl>
    <w:p>
      <w:pPr>
        <w:bidi/>
        <w:spacing w:after="120" w:before="0"/>
      </w:pPr>
    </w:p>
    <w:p>
      <w:pPr>
        <w:bidi/>
        <w:spacing w:after="110" w:before="0" w:line="312"/>
      </w:pPr>
      <w:r>
        <w:rPr>
          <w:rFonts w:ascii="Arial" w:cs="Arial" w:eastAsia="Arial" w:hAnsi="Arial"/>
          <w:b/>
          <w:bCs/>
          <w:sz w:val="21"/>
          <w:szCs w:val="21"/>
          <w:rtl/>
        </w:rPr>
        <w:t xml:space="preserve">DOC-S08 — نموذج الوصول إلى قاعدة البيانات وبيانات اعتمادها</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3288"/>
        <w:gridCol w:w="2740"/>
        <w:gridCol w:w="1644"/>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DQ-S08-6</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غرض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حساب له حتى تُحسم حالة استعمال؛ تقارير المشترك تمر بالتطبيق بربط عادي</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S5</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DQ-S08-9</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سياسة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والطوارئ؟</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وإعادة تسميته، وحساب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بسر مقسوم بين أمينين</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bl>
    <w:p>
      <w:pPr>
        <w:bidi/>
        <w:spacing w:after="120" w:before="0"/>
      </w:pPr>
    </w:p>
    <w:p>
      <w:pPr>
        <w:bidi/>
        <w:spacing w:after="110" w:before="0" w:line="312"/>
      </w:pPr>
      <w:r>
        <w:rPr>
          <w:rFonts w:ascii="Arial" w:cs="Arial" w:eastAsia="Arial" w:hAnsi="Arial"/>
          <w:b/>
          <w:bCs/>
          <w:sz w:val="21"/>
          <w:szCs w:val="21"/>
          <w:rtl/>
        </w:rPr>
        <w:t xml:space="preserve">DOC-S09 — خطة النسخ الاحتياطي والاستعادة والتعافي من الكوارث</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37"/>
        <w:gridCol w:w="1637"/>
        <w:gridCol w:w="2291"/>
        <w:gridCol w:w="4299"/>
      </w:tblGrid>
      <w:tr>
        <w:trPr>
          <w:cantSplit/>
          <w:tblHeader/>
        </w:trPr>
        <w:tc>
          <w:tcPr>
            <w:tcW w:type="dxa" w:w="1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2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42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 مع توفر 99.5%</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RTO 4 ساعات مع قبول أن كارثة واحدة تكسر هدف التوفر في شهرها، ومراجعة بعد أول تمرين</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(20-database-design)، DOC-B03</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DQ-S09-2</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ومزوّده ودولته</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مختلف عن مزوّد VPS، في دولة يقبلها الرأي القانوني</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DQ-S09-3</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خدمة حتى S5؛ استعادة كاملة للكوارث فقط</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الخدمة</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DQ-S09-5</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 للاستعادة النقطية و12 شهرًا للنسخ الشهرية، بلا نسخ سنوية</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DQ-S09-6</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VPS من المزوّد</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معطّلة، أو مقيّدة بموافقة المالك ومعاملة نسخة غير مشفّرة</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DQ-S09-7</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احتياطي جاهز بنقل السجلات إليه</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الآن؛ يُعاد النظر إن لم يحقق التمرين RTO</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r>
    </w:tbl>
    <w:p>
      <w:pPr>
        <w:bidi/>
        <w:spacing w:after="120" w:before="0"/>
      </w:pPr>
    </w:p>
    <w:p>
      <w:pPr>
        <w:bidi/>
        <w:spacing w:after="110" w:before="0" w:line="312"/>
      </w:pPr>
      <w:r>
        <w:rPr>
          <w:rFonts w:ascii="Arial" w:cs="Arial" w:eastAsia="Arial" w:hAnsi="Arial"/>
          <w:b/>
          <w:bCs/>
          <w:sz w:val="21"/>
          <w:szCs w:val="21"/>
          <w:rtl/>
        </w:rPr>
        <w:t xml:space="preserve">DOC-B02 — سجل سيناريوهات القبول للشريحتين S0 وS1</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3148"/>
        <w:gridCol w:w="3360"/>
        <w:gridCol w:w="1678"/>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w:t>
            </w:r>
          </w:p>
        </w:tc>
        <w:tc>
          <w:tcPr>
            <w:tcW w:type="dxa" w:w="31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 حين يغيب قالب لغة المستلم</w:t>
            </w:r>
          </w:p>
        </w:tc>
        <w:tc>
          <w:tcPr>
            <w:tcW w:type="dxa" w:w="3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اللغة الأساس</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w:t>
            </w:r>
          </w:p>
        </w:tc>
        <w:tc>
          <w:tcPr>
            <w:tcW w:type="dxa" w:w="31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المتوقعة لدخول مستخدم غير مدير الحساب إلى مشترك SUSPENDED</w:t>
            </w:r>
          </w:p>
        </w:tc>
        <w:tc>
          <w:tcPr>
            <w:tcW w:type="dxa" w:w="3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قرار O-18 (erd_open_items)</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c>
          <w:tcPr>
            <w:tcW w:type="dxa" w:w="31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بالفجوات في الترقيم (O-12، erd_open_items)</w:t>
            </w:r>
          </w:p>
        </w:tc>
        <w:tc>
          <w:tcPr>
            <w:tcW w:type="dxa" w:w="3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فجوات للطلبات والبروفورما كما في Q-PLT-08، وإلا يُعدَّل AC-PLT-3</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DQ-B02-5</w:t>
            </w:r>
          </w:p>
        </w:tc>
        <w:tc>
          <w:tcPr>
            <w:tcW w:type="dxa" w:w="31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الأولوية على الخروج</w:t>
            </w:r>
          </w:p>
        </w:tc>
        <w:tc>
          <w:tcPr>
            <w:tcW w:type="dxa" w:w="3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 يوقف الخروج، وShould يوقفه إلا بتأجيل مكتوب، وCould لا يوقفه</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DOC-B03 — مواصفة المتطلبات غير الوظيفية</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5653"/>
        <w:gridCol w:w="1351"/>
        <w:gridCol w:w="188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يطلب «عربية RTL كاملة» (docs/10-detailed-analysis/00-overview-and-cross-cutting.md:172)، وقرار 2026-10-10 يجعل الإنجليزية الأساس والعربية لاحقًا</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مسجَّل ومحسوم: الإنجليزية LTR الآن مع تخطيط جاهز لـ RTL (NFR-ACC-04 وNFR-I18N-01 و02)، والعربية الكاملة إصدار لاحق؛ ويُصحَّح نص السطر 172</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S0</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DQ-B03-2</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اعتمادهما مع شرط النسخ خارج الخادم، وتثبيتهما بعد أول تمرين استعادة مقاس</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الإطلاق، O-14 (20-database-design)</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DQ-B03-3</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مع خادم واحد وRTO 4 ساعات: استعادة كاملة واحدة تتجاوز ميزانية الشهر</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الإبقاء على الرقمين، وتسجيل الشهر الذي تقع فيه استعادة كاملة خرقًا معلنًا، ومراجعتهما بعد التمرين</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DQ-B03-4</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«عشرات الآلاف» و«مئات المشتركين»</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 سجل لكل جدول رئيسي لكل مشترك، و300 مشترك</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NFR-SCL</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DQ-B03-6</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 إمكانية الوصول</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WCAG 2.1 المستوى AA</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DQ-B03-8</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(DQ-B02-2)</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r>
    </w:tbl>
    <w:p>
      <w:pPr>
        <w:bidi/>
        <w:spacing w:after="120" w:before="0"/>
      </w:pPr>
    </w:p>
    <w:p>
      <w:pPr>
        <w:bidi/>
        <w:spacing w:after="110" w:before="0" w:line="312"/>
      </w:pPr>
      <w:r>
        <w:rPr>
          <w:rFonts w:ascii="Arial" w:cs="Arial" w:eastAsia="Arial" w:hAnsi="Arial"/>
          <w:b/>
          <w:bCs/>
          <w:sz w:val="21"/>
          <w:szCs w:val="21"/>
          <w:rtl/>
        </w:rPr>
        <w:t xml:space="preserve">DOC-B05 — خطة البذر والترحيل الأولي</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29"/>
        <w:gridCol w:w="2144"/>
        <w:gridCol w:w="3218"/>
        <w:gridCol w:w="2573"/>
      </w:tblGrid>
      <w:tr>
        <w:trPr>
          <w:cantSplit/>
          <w:tblHeader/>
        </w:trPr>
        <w:tc>
          <w:tcPr>
            <w:tcW w:type="dxa" w:w="1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5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الأولى</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باقة واحدة STANDARD بكل الوحدات وبلا حدود</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في S0</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DQ-B05-5</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الدول والعملات كاملة أم جزئية</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بعلم IsActive، وإصدار ISO مسجَّل</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الأشكال القانونية والمناصب وأنواع الصلاحيات (Q-CAT-03، Q-ORG-10)</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أشكال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تُبذر، وPARTNERSHIP وFOREIGN_BRANCH بعد إقرار LEG</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CAT.ORG في S1</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متطلب FR لقوالب Excel</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متطلبات استيراد للشركات (10) وللمنشآت والعلاقات والحسابات (11) بأولوية Should في S1</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الدول (Q-CAT-01)</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واحدة للسعودية والخليج</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 وCAT.BANKING</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DQ-B05-12</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أدوار النظام ورموزها الموحدة</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وTM وFO وTE وFA وRQ وAU كما في 12-m5…:46، وRK (مسؤول المخاطر، القرار 35)، وتُثبَّت في 10 §2</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 في S0؛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مبنية (ADR 0035)</w:t>
            </w:r>
          </w:p>
        </w:tc>
      </w:tr>
    </w:tbl>
    <w:p>
      <w:pPr>
        <w:bidi/>
        <w:spacing w:after="120" w:before="0"/>
      </w:pPr>
    </w:p>
    <w:p>
      <w:pPr>
        <w:bidi/>
        <w:spacing w:after="110" w:before="0" w:line="312"/>
      </w:pPr>
      <w:r>
        <w:rPr>
          <w:rFonts w:ascii="Arial" w:cs="Arial" w:eastAsia="Arial" w:hAnsi="Arial"/>
          <w:b/>
          <w:bCs/>
          <w:sz w:val="21"/>
          <w:szCs w:val="21"/>
          <w:rtl/>
        </w:rPr>
        <w:t xml:space="preserve">DOC-B07 — قائمة شاشات S0 وخريطة التنقل والنماذج الأولية</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76"/>
        <w:gridCol w:w="2076"/>
        <w:gridCol w:w="4155"/>
        <w:gridCol w:w="1557"/>
      </w:tblGrid>
      <w:tr>
        <w:trPr>
          <w:cantSplit/>
          <w:tblHeader/>
        </w:trPr>
        <w:tc>
          <w:tcPr>
            <w:tcW w:type="dxa" w:w="2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DQ-B07-1</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مبدّل الشركة</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تضييق فقط، و«All companies in my scope» افتراضيًا، ومخفي في S0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في S1</w:t>
            </w:r>
          </w:p>
        </w:tc>
      </w:tr>
      <w:tr>
        <w:trPr>
          <w:cantSplit/>
        </w:trPr>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DQ-B07-4</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شريط التنبيه للمشترك المؤرشف والمعلّق وجلسة الدعم</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يُعرض دائمًا، والسلوك في SUSPENDED بعد حسم O-18 (erd_open_items)</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w:t>
            </w:r>
          </w:p>
        </w:tc>
      </w:tr>
    </w:tbl>
    <w:p>
      <w:pPr>
        <w:bidi/>
        <w:spacing w:after="120" w:before="0"/>
      </w:pPr>
    </w:p>
    <w:p>
      <w:pPr>
        <w:bidi/>
        <w:spacing w:after="110" w:before="0" w:line="312"/>
      </w:pPr>
      <w:r>
        <w:rPr>
          <w:rFonts w:ascii="Arial" w:cs="Arial" w:eastAsia="Arial" w:hAnsi="Arial"/>
          <w:b/>
          <w:bCs/>
          <w:sz w:val="21"/>
          <w:szCs w:val="21"/>
          <w:rtl/>
        </w:rPr>
        <w:t xml:space="preserve">DOC-B09 — مصفوفة المسؤوليات وسجل ملكية القرارات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4372"/>
        <w:gridCol w:w="2496"/>
        <w:gridCol w:w="1997"/>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3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4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DQ-B09-1</w:t>
            </w:r>
          </w:p>
        </w:tc>
        <w:tc>
          <w:tcPr>
            <w:tcW w:type="dxa" w:w="4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OWN وTRM شخص واحد لدى العميل؟ السجل يسمّي مدير الخزينة صاحب القرار (docs/30-readiness-documents.md:55)</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دوران منفصلان. إن شغلهما شخص واحد يعتمد SEC أو SA ما يقترحه هذا الشخص تقنيًا، ويُسجَّل الاستثناء لغيره</w:t>
            </w:r>
          </w:p>
        </w:tc>
        <w:tc>
          <w:tcPr>
            <w:tcW w:type="dxa" w:w="1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خانات A</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DQ-B09-2</w:t>
            </w:r>
          </w:p>
        </w:tc>
        <w:tc>
          <w:tcPr>
            <w:tcW w:type="dxa" w:w="4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المالك في سجل الأسئلة</w:t>
            </w:r>
          </w:p>
        </w:tc>
        <w:tc>
          <w:tcPr>
            <w:tcW w:type="dxa" w:w="2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أعمدة في §14 لكل مواصفة وتعديل tools/gen_indexes.py (§7.1)</w:t>
            </w:r>
          </w:p>
        </w:tc>
        <w:tc>
          <w:tcPr>
            <w:tcW w:type="dxa" w:w="1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(erd_open_items)</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DQ-B09-4</w:t>
            </w:r>
          </w:p>
        </w:tc>
        <w:tc>
          <w:tcPr>
            <w:tcW w:type="dxa" w:w="4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إيقاع مراجعة القرارات</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أسبوعية يقودها PM، والمتأخر عن بدء شريحته يُصعَّد إلى OWN</w:t>
            </w:r>
          </w:p>
        </w:tc>
        <w:tc>
          <w:tcPr>
            <w:tcW w:type="dxa" w:w="1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bl>
    <w:p>
      <w:pPr>
        <w:bidi/>
        <w:spacing w:after="120" w:before="0"/>
      </w:pPr>
    </w:p>
    <w:p>
      <w:pPr>
        <w:bidi/>
        <w:spacing w:after="110" w:before="0" w:line="312"/>
      </w:pPr>
      <w:r>
        <w:rPr>
          <w:rFonts w:ascii="Arial" w:cs="Arial" w:eastAsia="Arial" w:hAnsi="Arial"/>
          <w:b/>
          <w:bCs/>
          <w:sz w:val="21"/>
          <w:szCs w:val="21"/>
          <w:rtl/>
        </w:rPr>
        <w:t xml:space="preserve">DOC-B10 — المسرد ثنائي اللغة (English / العربية)</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78"/>
        <w:gridCol w:w="2348"/>
        <w:gridCol w:w="3290"/>
        <w:gridCol w:w="2348"/>
      </w:tblGrid>
      <w:tr>
        <w:trPr>
          <w:cantSplit/>
          <w:tblHeader/>
        </w:trPr>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DQ-B10-1</w:t>
            </w:r>
          </w:p>
        </w:tc>
        <w:tc>
          <w:tcPr>
            <w:tcW w:type="dxa" w:w="2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الإنجليزي لدور TA</w:t>
            </w:r>
          </w:p>
        </w:tc>
        <w:tc>
          <w:tcPr>
            <w:tcW w:type="dxa" w:w="3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administrator، والعربي «مدير حساب المشترك»</w:t>
            </w:r>
          </w:p>
        </w:tc>
        <w:tc>
          <w:tcPr>
            <w:tcW w:type="dxa" w:w="2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SCR-PLT-08</w:t>
            </w:r>
          </w:p>
        </w:tc>
      </w:tr>
      <w:tr>
        <w:trPr>
          <w:cantSplit/>
        </w:trPr>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DQ-B10-9</w:t>
            </w:r>
          </w:p>
        </w:tc>
        <w:tc>
          <w:tcPr>
            <w:tcW w:type="dxa" w:w="2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تهجئة الإنجليزية في الواجهة</w:t>
            </w:r>
          </w:p>
        </w:tc>
        <w:tc>
          <w:tcPr>
            <w:tcW w:type="dxa" w:w="3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البريطانية، مع إبقاء المعرّفات البرمجية</w:t>
            </w:r>
          </w:p>
        </w:tc>
        <w:tc>
          <w:tcPr>
            <w:tcW w:type="dxa" w:w="2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الموارد</w:t>
            </w:r>
          </w:p>
        </w:tc>
      </w:tr>
    </w:tbl>
    <w:p>
      <w:pPr>
        <w:bidi/>
        <w:spacing w:after="120" w:before="0"/>
      </w:pPr>
    </w:p>
    <w:p>
      <w:pPr>
        <w:bidi/>
        <w:spacing w:after="110" w:before="0" w:line="312"/>
      </w:pPr>
      <w:r>
        <w:rPr>
          <w:rFonts w:ascii="Arial" w:cs="Arial" w:eastAsia="Arial" w:hAnsi="Arial"/>
          <w:b/>
          <w:bCs/>
          <w:sz w:val="21"/>
          <w:szCs w:val="21"/>
          <w:rtl/>
        </w:rPr>
        <w:t xml:space="preserve">DOC-B11 — مواصفة البيئات والبناء والإصدار</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3"/>
        <w:gridCol w:w="1429"/>
        <w:gridCol w:w="5863"/>
        <w:gridCol w:w="1429"/>
      </w:tblGrid>
      <w:tr>
        <w:trPr>
          <w:cantSplit/>
          <w:tblHeader/>
        </w:trPr>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نظام طبقة التطبيق بعد ADR 0001</w:t>
            </w:r>
          </w:p>
        </w:tc>
        <w:tc>
          <w:tcPr>
            <w:tcW w:type="dxa" w:w="5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Windows Server حتى المراجعة، وحزمة .NET تُبنى لتعمل على النظامين؛ والمراجعة تقارن به Ubuntu 24.04 LTS الذي يوحّد المضيفين ويعمل عليه الفريق (docs/adr/0001-schema-work-on-linux.md:7)</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بيئة الاختبار، بوابة G4</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5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مستقل للقاعدة وآخر للتطبيق</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التجهيز، NFR-AVL</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DQ-B11-3</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استضافة الاختبار وUAT ونطاقاهما</w:t>
            </w:r>
          </w:p>
        </w:tc>
        <w:tc>
          <w:tcPr>
            <w:tcW w:type="dxa" w:w="5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لكل منهما لدى المزوّد نفسه، ونطاقان فرعيان مثل </w:t>
            </w:r>
            <w:r>
              <w:rPr>
                <w:rFonts w:ascii="Courier New" w:cs="Courier New" w:eastAsia="Courier New" w:hAnsi="Courier New"/>
                <w:b w:val="false"/>
                <w:bCs w:val="false"/>
                <w:color w:val="1F2937"/>
                <w:sz w:val="16"/>
                <w:szCs w:val="16"/>
                <w:shd w:fill="F1F3F5" w:color="auto" w:val="clear"/>
                <w:rtl/>
              </w:rPr>
              <w:t xml:space="preserve">‎{tenant}.test.bankfas.com‎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‎{tenant}.uat.bankfas.com‎</w:t>
            </w:r>
            <w:r>
              <w:rPr>
                <w:rFonts w:ascii="Arial" w:cs="Arial" w:eastAsia="Arial" w:hAnsi="Arial"/>
                <w:b w:val="false"/>
                <w:bCs w:val="false"/>
                <w:sz w:val="18"/>
                <w:szCs w:val="18"/>
                <w:rtl/>
              </w:rPr>
              <w:t xml:space="preserve"> بشهادتين شاملتين مستقلتين</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اختبار خروج S0</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DQ-B11-8</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مصير deploy.ps1</w:t>
            </w:r>
          </w:p>
        </w:tc>
        <w:tc>
          <w:tcPr>
            <w:tcW w:type="dxa" w:w="5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خارج مسار الإنتاج بلا اختبار حتى يطلب مشترك خادم Windows</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r>
    </w:tbl>
    <w:p>
      <w:pPr>
        <w:bidi/>
        <w:spacing w:after="120" w:before="0"/>
      </w:pPr>
    </w:p>
    <w:p>
      <w:pPr>
        <w:pStyle w:val="Heading2"/>
        <w:bidi/>
      </w:pPr>
      <w:bookmarkStart w:name="_sec9" w:id="9"/>
      <w:r>
        <w:rPr>
          <w:rFonts w:ascii="Arial" w:cs="Arial" w:eastAsia="Arial" w:hAnsi="Arial"/>
          <w:b/>
          <w:bCs/>
          <w:color w:val="2B5C8A"/>
          <w:sz w:val="26"/>
          <w:szCs w:val="26"/>
          <w:rtl/>
        </w:rPr>
        <w:t xml:space="preserve">3.2 مستندات P1 (قبل S2 وS3)</w:t>
      </w:r>
      <w:bookmarkEnd w:id="9"/>
    </w:p>
    <w:p>
      <w:pPr>
        <w:bidi/>
        <w:spacing w:after="110" w:before="0" w:line="312"/>
      </w:pPr>
      <w:r>
        <w:rPr>
          <w:rFonts w:ascii="Arial" w:cs="Arial" w:eastAsia="Arial" w:hAnsi="Arial"/>
          <w:b/>
          <w:bCs/>
          <w:sz w:val="21"/>
          <w:szCs w:val="21"/>
          <w:rtl/>
        </w:rPr>
        <w:t xml:space="preserve">DOC-F09 — كتالوج حالات الاستخدام: المنشآت والحسابات والكتالوجات والتسهيلات والطلبات والاعتمادات (M2 إلى M8)</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0"/>
        <w:gridCol w:w="2040"/>
        <w:gridCol w:w="4084"/>
        <w:gridCol w:w="2380"/>
      </w:tblGrid>
      <w:tr>
        <w:trPr>
          <w:cantSplit/>
          <w:tblHeader/>
        </w:trPr>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DQ-F09-1</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الرموز الأربعة المقترحة في §3.2</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هي؛ </w:t>
            </w:r>
            <w:r>
              <w:rPr>
                <w:rFonts w:ascii="Courier New" w:cs="Courier New" w:eastAsia="Courier New" w:hAnsi="Courier New"/>
                <w:b w:val="false"/>
                <w:bCs w:val="false"/>
                <w:color w:val="1F2937"/>
                <w:sz w:val="16"/>
                <w:szCs w:val="16"/>
                <w:shd w:fill="F1F3F5" w:color="auto" w:val="clear"/>
                <w:rtl/>
              </w:rPr>
              <w:t xml:space="preserve">‎acc.signature.image.view‎</w:t>
            </w:r>
            <w:r>
              <w:rPr>
                <w:rFonts w:ascii="Arial" w:cs="Arial" w:eastAsia="Arial" w:hAnsi="Arial"/>
                <w:b w:val="false"/>
                <w:bCs w:val="false"/>
                <w:sz w:val="18"/>
                <w:szCs w:val="18"/>
                <w:rtl/>
              </w:rPr>
              <w:t xml:space="preserve"> مقفلة على TM وFO كبقية صلاحيات الصور (BR-PLT-019)</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UC-FAC-07، UC-CMP-01، UC-ACC-04، UC-WFL-18</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DQ-F09-5</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شريحة FR-ACC-022 (S1) وحقلها على سجل المفوّض (S1-ب)</w:t>
            </w:r>
          </w:p>
        </w:tc>
        <w:tc>
          <w:tcPr>
            <w:tcW w:type="dxa" w:w="4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تُنقل إلى S1-ب، ويُنقل AC-ACC-6 معها</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معايير خروج S1 (DOC-B02)</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DQ-F09-6</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تمنع نتيجة INSUFFICIENT لكفاية التوقيعات إكمال التنفيذ؟</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تحذير يُقرّ به المنفّذ ويُسجَّل مع الطلب، والمنع إعداد لكل مشترك لاحقًا</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UC-ACC-12، UC-WFL-08، UC-LCI-04</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DQ-F09-8</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الدور FA (المحلل المالي)</w:t>
            </w:r>
          </w:p>
        </w:tc>
        <w:tc>
          <w:tcPr>
            <w:tcW w:type="dxa" w:w="4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 في COVENANTS بـ </w:t>
            </w:r>
            <w:r>
              <w:rPr>
                <w:rFonts w:ascii="Courier New" w:cs="Courier New" w:eastAsia="Courier New" w:hAnsi="Courier New"/>
                <w:b w:val="false"/>
                <w:bCs w:val="false"/>
                <w:color w:val="1F2937"/>
                <w:sz w:val="16"/>
                <w:szCs w:val="16"/>
                <w:shd w:fill="F1F3F5" w:color="auto" w:val="clear"/>
                <w:rtl/>
              </w:rPr>
              <w:t xml:space="preserve">‎fin.view‎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‎fin.verify.run‎</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 UC-FIN-07؛ S2-ب</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DQ-F09-9</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يعلّم مواد UCP «مُتحقَّقة» وبأي صلاحية</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 بـ </w:t>
            </w:r>
            <w:r>
              <w:rPr>
                <w:rFonts w:ascii="Courier New" w:cs="Courier New" w:eastAsia="Courier New" w:hAnsi="Courier New"/>
                <w:b w:val="false"/>
                <w:bCs w:val="false"/>
                <w:color w:val="1F2937"/>
                <w:sz w:val="16"/>
                <w:szCs w:val="16"/>
                <w:shd w:fill="F1F3F5" w:color="auto" w:val="clear"/>
                <w:rtl/>
              </w:rPr>
              <w:t xml:space="preserve">‎cat.global.manage‎</w:t>
            </w:r>
            <w:r>
              <w:rPr>
                <w:rFonts w:ascii="Arial" w:cs="Arial" w:eastAsia="Arial" w:hAnsi="Arial"/>
                <w:b w:val="false"/>
                <w:bCs w:val="false"/>
                <w:sz w:val="18"/>
                <w:szCs w:val="18"/>
                <w:rtl/>
              </w:rPr>
              <w:t xml:space="preserve"> بعد مراجعة مختص، من لوحة المشغّل</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UC-LCT-07</w:t>
            </w:r>
          </w:p>
        </w:tc>
      </w:tr>
    </w:tbl>
    <w:p>
      <w:pPr>
        <w:bidi/>
        <w:spacing w:after="120" w:before="0"/>
      </w:pPr>
    </w:p>
    <w:p>
      <w:pPr>
        <w:bidi/>
        <w:spacing w:after="110" w:before="0" w:line="312"/>
      </w:pPr>
      <w:r>
        <w:rPr>
          <w:rFonts w:ascii="Arial" w:cs="Arial" w:eastAsia="Arial" w:hAnsi="Arial"/>
          <w:b/>
          <w:bCs/>
          <w:sz w:val="21"/>
          <w:szCs w:val="21"/>
          <w:rtl/>
        </w:rPr>
        <w:t xml:space="preserve">DOC-F10 — نموذج سير الموافقات (M6): القوالب والمراحل والأدوار وجداول الانتقال</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3114"/>
        <w:gridCol w:w="4155"/>
        <w:gridCol w:w="1211"/>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DQ-F10-4</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حين لا يوجد مؤهل؟</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السلسلة البديلة حتى TA، ثم فتح المرحلة للدور مع حدث إلزامي مقترح REQ.NO_ELIGIBLE_ASSIGNEE لـ TA وTM</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 وكتالوج الأحداث</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يُتاح REJECT في كل مرحلة APPROVAL؟</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بسبب إلزامي، في كل مرحلة APPROVAL من كل قالب</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DQ-F10-7</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 القوالب غير PURCHASE_LC</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PURCHASE_LC بحسب نوع المرحلة كما في §12</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SLA</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DQ-F10-9</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يوافق في TM_APPROVAL من أكمل FACILITY_SELECTION للطلب نفسه؟</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إلا بالاستثناء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في S3</w:t>
            </w:r>
          </w:p>
        </w:tc>
      </w:tr>
    </w:tbl>
    <w:p>
      <w:pPr>
        <w:bidi/>
        <w:spacing w:after="120" w:before="0"/>
      </w:pPr>
    </w:p>
    <w:p>
      <w:pPr>
        <w:bidi/>
        <w:spacing w:after="110" w:before="0" w:line="312"/>
      </w:pPr>
      <w:r>
        <w:rPr>
          <w:rFonts w:ascii="Arial" w:cs="Arial" w:eastAsia="Arial" w:hAnsi="Arial"/>
          <w:b/>
          <w:bCs/>
          <w:sz w:val="21"/>
          <w:szCs w:val="21"/>
          <w:rtl/>
        </w:rPr>
        <w:t xml:space="preserve">DOC-F12 — تسلسل إصدار الاعتماد المستندي وتعديله وتحويل الحجز</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9"/>
        <w:gridCol w:w="1193"/>
        <w:gridCol w:w="4878"/>
        <w:gridCol w:w="2574"/>
      </w:tblGrid>
      <w:tr>
        <w:trPr>
          <w:cantSplit/>
          <w:tblHeader/>
        </w:trPr>
        <w:tc>
          <w:tcPr>
            <w:tcW w:type="dxa" w:w="1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5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DQ-F12-6</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لاعتماد ينتهي وعليه تمديد صادر من البنك بانتظار الرد؟</w:t>
            </w:r>
          </w:p>
        </w:tc>
        <w:tc>
          <w:tcPr>
            <w:tcW w:type="dxa" w:w="4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تؤجل JOB-LC-EXPIRY انتهاءه ما دام التعديل BANK_ISSUED وأُصدر قبل الانتهاء، وتنبّه TM يوميًا</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w:t>
            </w:r>
          </w:p>
        </w:tc>
      </w:tr>
      <w:tr>
        <w:trPr>
          <w:cantSplit/>
        </w:trPr>
        <w:tc>
          <w:tcPr>
            <w:tcW w:type="dxa" w:w="1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DQ-F12-7</w:t>
            </w:r>
          </w:p>
        </w:tc>
        <w:tc>
          <w:tcPr>
            <w:tcW w:type="dxa" w:w="1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سحب تعديل بعد إصدار البنك له؟</w:t>
            </w:r>
          </w:p>
        </w:tc>
        <w:tc>
          <w:tcPr>
            <w:tcW w:type="dxa" w:w="4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لـ TM فقط، بتأكيد مكتوب من البنك مرفق وسبب.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B7e): </w:t>
            </w:r>
            <w:r>
              <w:rPr>
                <w:rFonts w:ascii="Courier New" w:cs="Courier New" w:eastAsia="Courier New" w:hAnsi="Courier New"/>
                <w:b w:val="false"/>
                <w:bCs w:val="false"/>
                <w:color w:val="1F2937"/>
                <w:sz w:val="16"/>
                <w:szCs w:val="16"/>
                <w:shd w:fill="F1F3F5" w:color="auto" w:val="clear"/>
                <w:rtl/>
              </w:rPr>
              <w:t xml:space="preserve">‎lc.LcAmendment.WithdrawalDocumentId‎</w:t>
            </w:r>
            <w:r>
              <w:rPr>
                <w:rFonts w:ascii="Arial" w:cs="Arial" w:eastAsia="Arial" w:hAnsi="Arial"/>
                <w:b w:val="false"/>
                <w:bCs w:val="false"/>
                <w:sz w:val="18"/>
                <w:szCs w:val="18"/>
                <w:rtl/>
              </w:rPr>
              <w:t xml:space="preserve">، وسحب تعديل له </w:t>
            </w:r>
            <w:r>
              <w:rPr>
                <w:rFonts w:ascii="Courier New" w:cs="Courier New" w:eastAsia="Courier New" w:hAnsi="Courier New"/>
                <w:b w:val="false"/>
                <w:bCs w:val="false"/>
                <w:color w:val="1F2937"/>
                <w:sz w:val="16"/>
                <w:szCs w:val="16"/>
                <w:shd w:fill="F1F3F5" w:color="auto" w:val="clear"/>
                <w:rtl/>
              </w:rPr>
              <w:t xml:space="preserve">‎BankIssuedOn‎</w:t>
            </w:r>
            <w:r>
              <w:rPr>
                <w:rFonts w:ascii="Arial" w:cs="Arial" w:eastAsia="Arial" w:hAnsi="Arial"/>
                <w:b w:val="false"/>
                <w:bCs w:val="false"/>
                <w:sz w:val="18"/>
                <w:szCs w:val="18"/>
                <w:rtl/>
              </w:rPr>
              <w:t xml:space="preserve"> يستلزم الوثيقة والسبب (SR3)؛ وقصره على TM يفحصه التطبيق</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r>
        <w:trPr>
          <w:cantSplit/>
        </w:trPr>
        <w:tc>
          <w:tcPr>
            <w:tcW w:type="dxa" w:w="1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DQ-F12-8</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شروط تطبيق تعديل الإلغاء؟</w:t>
            </w:r>
          </w:p>
        </w:tc>
        <w:tc>
          <w:tcPr>
            <w:tcW w:type="dxa" w:w="4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حارس الإغلاق V-LCI-09؛ وإلا يُرفض التطبيق حتى التسديد. عند القبول: CANCELLED و</w:t>
            </w: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‎lc.apply_amendment‎</w:t>
            </w:r>
          </w:p>
        </w:tc>
      </w:tr>
      <w:tr>
        <w:trPr>
          <w:cantSplit/>
        </w:trPr>
        <w:tc>
          <w:tcPr>
            <w:tcW w:type="dxa" w:w="1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DQ-F12-10</w:t>
            </w:r>
          </w:p>
        </w:tc>
        <w:tc>
          <w:tcPr>
            <w:tcW w:type="dxa" w:w="1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يُسجَّل القبول بتقديم مطابق والقبول الجزئي؟</w:t>
            </w:r>
          </w:p>
        </w:tc>
        <w:tc>
          <w:tcPr>
            <w:tcW w:type="dxa" w:w="4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 ACCEPTED يدويًا بملاحظة «تقديم مطابق»؛ والثاني REJECTED</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bl>
    <w:p>
      <w:pPr>
        <w:bidi/>
        <w:spacing w:after="120" w:before="0"/>
      </w:pPr>
    </w:p>
    <w:p>
      <w:pPr>
        <w:bidi/>
        <w:spacing w:after="110" w:before="0" w:line="312"/>
      </w:pPr>
      <w:r>
        <w:rPr>
          <w:rFonts w:ascii="Arial" w:cs="Arial" w:eastAsia="Arial" w:hAnsi="Arial"/>
          <w:b/>
          <w:bCs/>
          <w:sz w:val="21"/>
          <w:szCs w:val="21"/>
          <w:rtl/>
        </w:rPr>
        <w:t xml:space="preserve">DOC-F13 — تسلسل إدخال التسهيل واعتماد مراجعته وإسقاط بياناته</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2642"/>
        <w:gridCol w:w="4757"/>
        <w:gridCol w:w="1056"/>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7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DQ-F13-6</w:t>
            </w:r>
          </w:p>
        </w:tc>
        <w:tc>
          <w:tcPr>
            <w:tcW w:type="dxa" w:w="26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الإسقاط: داخل المعاملة؟ والحقل الفارغ؟ وتاريخ السريان؟</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داخلها؛ الفارغ NOT_SPECIFIED_IN_AGREEMENT؛ السريان من الصف المصدر وإلا من الرأس</w:t>
            </w:r>
          </w:p>
        </w:tc>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DQ-F13-7</w:t>
            </w:r>
          </w:p>
        </w:tc>
        <w:tc>
          <w:tcPr>
            <w:tcW w:type="dxa" w:w="26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الاعتماد (O-03، erd_open_items)</w:t>
            </w:r>
          </w:p>
        </w:tc>
        <w:tc>
          <w:tcPr>
            <w:tcW w:type="dxa" w:w="4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تعديل في مكانه؛ مراجعة CORRECTION؛ القادح حارس أخير</w:t>
            </w:r>
          </w:p>
        </w:tc>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O-03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DQ-F13-9</w:t>
            </w:r>
          </w:p>
        </w:tc>
        <w:tc>
          <w:tcPr>
            <w:tcW w:type="dxa" w:w="26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حد أو خط عليه استخدام أو حجز فعّال</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عند التقديم والاعتماد، والبديل مراجعة تخفّض السقف</w:t>
            </w:r>
          </w:p>
        </w:tc>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r>
    </w:tbl>
    <w:p>
      <w:pPr>
        <w:bidi/>
        <w:spacing w:after="120" w:before="0"/>
      </w:pPr>
    </w:p>
    <w:p>
      <w:pPr>
        <w:bidi/>
        <w:spacing w:after="110" w:before="0" w:line="312"/>
      </w:pPr>
      <w:r>
        <w:rPr>
          <w:rFonts w:ascii="Arial" w:cs="Arial" w:eastAsia="Arial" w:hAnsi="Arial"/>
          <w:b/>
          <w:bCs/>
          <w:sz w:val="21"/>
          <w:szCs w:val="21"/>
          <w:rtl/>
        </w:rPr>
        <w:t xml:space="preserve">DOC-F14 — مخططات حالات التسهيل والمراجعة والحجز والاستغلال</w:t>
      </w:r>
      <w:r>
        <w:rPr>
          <w:rFonts w:ascii="Arial" w:cs="Arial" w:eastAsia="Arial" w:hAnsi="Arial"/>
          <w:b w:val="false"/>
          <w:bCs w:val="false"/>
          <w:sz w:val="21"/>
          <w:szCs w:val="21"/>
          <w:rtl/>
        </w:rPr>
        <w:t xml:space="preserve"> (8)</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7"/>
        <w:gridCol w:w="1903"/>
        <w:gridCol w:w="4674"/>
        <w:gridCol w:w="1730"/>
      </w:tblGrid>
      <w:tr>
        <w:trPr>
          <w:cantSplit/>
          <w:tblHeader/>
        </w:trPr>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صلاحية تغيير دورة الحياة</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والتعليق ورفعه لـ TM فقط.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B7d): </w:t>
            </w: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w:t>
            </w:r>
            <w:r>
              <w:rPr>
                <w:rFonts w:ascii="Courier New" w:cs="Courier New" w:eastAsia="Courier New" w:hAnsi="Courier New"/>
                <w:b w:val="false"/>
                <w:bCs w:val="false"/>
                <w:color w:val="1F2937"/>
                <w:sz w:val="16"/>
                <w:szCs w:val="16"/>
                <w:shd w:fill="F1F3F5" w:color="auto" w:val="clear"/>
                <w:rtl/>
              </w:rPr>
              <w:t xml:space="preserve">‎fac.lifecycle.suspend‎</w:t>
            </w:r>
            <w:r>
              <w:rPr>
                <w:rFonts w:ascii="Arial" w:cs="Arial" w:eastAsia="Arial" w:hAnsi="Arial"/>
                <w:b w:val="false"/>
                <w:bCs w:val="false"/>
                <w:sz w:val="18"/>
                <w:szCs w:val="18"/>
                <w:rtl/>
              </w:rPr>
              <w:t xml:space="preserve"> لـ TM في db/seed/102_permissions.sql (139 صلاحية يومها، و140 بعد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ADR 0016)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 3 إلى 7</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DQ-F14-2</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من SUSPENDED إلى EXPIRED أو TERMINATED أو SUPERSEDED، ومن EXPIRED إلى SUPERSEDED؟</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DQ-F14-3</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التعليق على الحجز القائم</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حجز ولا زيادة؛ التحويل مسموح مع تنبيه TM لأن البنك قد أصدر</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DOC-F12</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DQ-F14-4</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الفعالة عند EXPIRED أو TERMINATED</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بسبب MANUAL ويصدر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فيصير الطلب LOST</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الانتقالان 5 و6</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DQ-F14-5</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والحجوزات عند استبدال السابق</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تُنقل إلى العقدة بالرمز نفسه في اللاحق بحركة مدققة؛ وما لا مقابل له يظهر في R-FAC-03.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B6): </w:t>
            </w:r>
            <w:r>
              <w:rPr>
                <w:rFonts w:ascii="Courier New" w:cs="Courier New" w:eastAsia="Courier New" w:hAnsi="Courier New"/>
                <w:b w:val="false"/>
                <w:bCs w:val="false"/>
                <w:color w:val="1F2937"/>
                <w:sz w:val="16"/>
                <w:szCs w:val="16"/>
                <w:shd w:fill="F1F3F5" w:color="auto" w:val="clear"/>
                <w:rtl/>
              </w:rPr>
              <w:t xml:space="preserve">‎fac.Utilization‎</w:t>
            </w:r>
            <w:r>
              <w:rPr>
                <w:rFonts w:ascii="Arial" w:cs="Arial" w:eastAsia="Arial" w:hAnsi="Arial"/>
                <w:b w:val="false"/>
                <w:bCs w:val="false"/>
                <w:sz w:val="18"/>
                <w:szCs w:val="18"/>
                <w:rtl/>
              </w:rPr>
              <w:t xml:space="preserve"> في TRANSFERRED يشير ببند في اللاحق نفسه (</w:t>
            </w:r>
            <w:r>
              <w:rPr>
                <w:rFonts w:ascii="Courier New" w:cs="Courier New" w:eastAsia="Courier New" w:hAnsi="Courier New"/>
                <w:b w:val="false"/>
                <w:bCs w:val="false"/>
                <w:color w:val="1F2937"/>
                <w:sz w:val="16"/>
                <w:szCs w:val="16"/>
                <w:shd w:fill="F1F3F5" w:color="auto" w:val="clear"/>
                <w:rtl/>
              </w:rPr>
              <w:t xml:space="preserve">‎PreviousFacilityId‎</w:t>
            </w:r>
            <w:r>
              <w:rPr>
                <w:rFonts w:ascii="Arial" w:cs="Arial" w:eastAsia="Arial" w:hAnsi="Arial"/>
                <w:b w:val="false"/>
                <w:bCs w:val="false"/>
                <w:sz w:val="18"/>
                <w:szCs w:val="18"/>
                <w:rtl/>
              </w:rPr>
              <w:t xml:space="preserve">) عبر مفتاحين مركّبين، وحركة TRANSFER بسبب في </w:t>
            </w:r>
            <w:r>
              <w:rPr>
                <w:rFonts w:ascii="Courier New" w:cs="Courier New" w:eastAsia="Courier New" w:hAnsi="Courier New"/>
                <w:b w:val="false"/>
                <w:bCs w:val="false"/>
                <w:color w:val="1F2937"/>
                <w:sz w:val="16"/>
                <w:szCs w:val="16"/>
                <w:shd w:fill="F1F3F5" w:color="auto" w:val="clear"/>
                <w:rtl/>
              </w:rPr>
              <w:t xml:space="preserve">‎fac.LimitMovement‎</w:t>
            </w:r>
            <w:r>
              <w:rPr>
                <w:rFonts w:ascii="Arial" w:cs="Arial" w:eastAsia="Arial" w:hAnsi="Arial"/>
                <w:b w:val="false"/>
                <w:bCs w:val="false"/>
                <w:sz w:val="18"/>
                <w:szCs w:val="18"/>
                <w:rtl/>
              </w:rPr>
              <w:t xml:space="preserve"> (SR9)؛ ومطابقة الرمز يفحصها التطبيق، والحجز يُفك بسبب SUPERSEDED</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 في S2</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DQ-F14-6</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المؤشر بعد انتهاء السابق ولاحقه المعتمد لم يبدأ</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NOT_CONFIRMED حتى بدء اللاحق</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DQ-F14-7</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على تسهيل مؤشره SCHEDULED</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LIMIT_NOT_ACTIVE حتى </w:t>
            </w:r>
            <w:r>
              <w:rPr>
                <w:rFonts w:ascii="Courier New" w:cs="Courier New" w:eastAsia="Courier New" w:hAnsi="Courier New"/>
                <w:b w:val="false"/>
                <w:bCs w:val="false"/>
                <w:color w:val="1F2937"/>
                <w:sz w:val="16"/>
                <w:szCs w:val="16"/>
                <w:shd w:fill="F1F3F5" w:color="auto" w:val="clear"/>
                <w:rtl/>
              </w:rPr>
              <w:t xml:space="preserve">‎EffectiveFrom‎</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DQ-F14-11</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المراجعة المسموحة لكل حالة</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§2.2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bl>
    <w:p>
      <w:pPr>
        <w:bidi/>
        <w:spacing w:after="120" w:before="0"/>
      </w:pPr>
    </w:p>
    <w:p>
      <w:pPr>
        <w:bidi/>
        <w:spacing w:after="110" w:before="0" w:line="312"/>
      </w:pPr>
      <w:r>
        <w:rPr>
          <w:rFonts w:ascii="Arial" w:cs="Arial" w:eastAsia="Arial" w:hAnsi="Arial"/>
          <w:b/>
          <w:bCs/>
          <w:sz w:val="21"/>
          <w:szCs w:val="21"/>
          <w:rtl/>
        </w:rPr>
        <w:t xml:space="preserve">DOC-F15 — مخططات حالات الالتزامات والبيانات المالية</w:t>
      </w:r>
      <w:r>
        <w:rPr>
          <w:rFonts w:ascii="Arial" w:cs="Arial" w:eastAsia="Arial" w:hAnsi="Arial"/>
          <w:b w:val="false"/>
          <w:bCs w:val="false"/>
          <w:sz w:val="21"/>
          <w:szCs w:val="21"/>
          <w:rtl/>
        </w:rPr>
        <w:t xml:space="preserve"> (11)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2557"/>
        <w:gridCol w:w="3837"/>
        <w:gridCol w:w="1826"/>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تتغير حالة الالتزام وهو صف مراجَع؟</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ورفعه بمراجعة؛ ENDED مشتقة؛ البنود المستقبلية تُلغى بسبب.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المراجعة الذاتية B7c): </w:t>
            </w:r>
            <w:r>
              <w:rPr>
                <w:rFonts w:ascii="Courier New" w:cs="Courier New" w:eastAsia="Courier New" w:hAnsi="Courier New"/>
                <w:b w:val="false"/>
                <w:bCs w:val="false"/>
                <w:color w:val="1F2937"/>
                <w:sz w:val="16"/>
                <w:szCs w:val="16"/>
                <w:shd w:fill="F1F3F5" w:color="auto" w:val="clear"/>
                <w:rtl/>
              </w:rPr>
              <w:t xml:space="preserve">‎obl.Obligation.Status‎</w:t>
            </w:r>
            <w:r>
              <w:rPr>
                <w:rFonts w:ascii="Arial" w:cs="Arial" w:eastAsia="Arial" w:hAnsi="Arial"/>
                <w:b w:val="false"/>
                <w:bCs w:val="false"/>
                <w:sz w:val="18"/>
                <w:szCs w:val="18"/>
                <w:rtl/>
              </w:rPr>
              <w:t xml:space="preserve"> لا يقبل إلا ACTIVE وSUSPENDED، وENDED تُشتق (SR9)</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DQ-F15-6</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الوصفي: خطوة واحدة أم اثنتان؟</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واحدة إلى REVIEWED بمراجِع ودليل؛ UNDER_REVIEW حين لا يُحسم</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DQ-F15-7</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فتح خرق LATE_REPORT</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عند OVERDUE بعد </w:t>
            </w:r>
            <w:r>
              <w:rPr>
                <w:rFonts w:ascii="Courier New" w:cs="Courier New" w:eastAsia="Courier New" w:hAnsi="Courier New"/>
                <w:b w:val="false"/>
                <w:bCs w:val="false"/>
                <w:color w:val="1F2937"/>
                <w:sz w:val="16"/>
                <w:szCs w:val="16"/>
                <w:shd w:fill="F1F3F5" w:color="auto" w:val="clear"/>
                <w:rtl/>
              </w:rPr>
              <w:t xml:space="preserve">‎GraceDays‎</w:t>
            </w:r>
            <w:r>
              <w:rPr>
                <w:rFonts w:ascii="Arial" w:cs="Arial" w:eastAsia="Arial" w:hAnsi="Arial"/>
                <w:b w:val="false"/>
                <w:bCs w:val="false"/>
                <w:sz w:val="18"/>
                <w:szCs w:val="18"/>
                <w:rtl/>
              </w:rPr>
              <w:t xml:space="preserve">؛ وإلا عند التقديم المتأخر كما في AC-FAC-6</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DQ-F15-8</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إلى IN_CURE</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الكشف إن كانت </w:t>
            </w:r>
            <w:r>
              <w:rPr>
                <w:rFonts w:ascii="Courier New" w:cs="Courier New" w:eastAsia="Courier New" w:hAnsi="Courier New"/>
                <w:b w:val="false"/>
                <w:bCs w:val="false"/>
                <w:color w:val="1F2937"/>
                <w:sz w:val="16"/>
                <w:szCs w:val="16"/>
                <w:shd w:fill="F1F3F5" w:color="auto" w:val="clear"/>
                <w:rtl/>
              </w:rPr>
              <w:t xml:space="preserve">‎CureDays‎</w:t>
            </w:r>
            <w:r>
              <w:rPr>
                <w:rFonts w:ascii="Arial" w:cs="Arial" w:eastAsia="Arial" w:hAnsi="Arial"/>
                <w:b w:val="false"/>
                <w:bCs w:val="false"/>
                <w:sz w:val="18"/>
                <w:szCs w:val="18"/>
                <w:rtl/>
              </w:rPr>
              <w:t xml:space="preserve"> أكبر من صفر؛ ويدويًا إن منح البنك مهلة لاحقًا</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DQ-F15-9</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التنازل قبل اعتماده؟</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والسماح بحقول التنازل في OPEN وIN_CURE، وWAIVED يستلزم الاعتماد.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B2):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‎obl.ObligationBreach‎</w:t>
            </w:r>
            <w:r>
              <w:rPr>
                <w:rFonts w:ascii="Arial" w:cs="Arial" w:eastAsia="Arial" w:hAnsi="Arial"/>
                <w:b w:val="false"/>
                <w:bCs w:val="false"/>
                <w:sz w:val="18"/>
                <w:szCs w:val="18"/>
                <w:rtl/>
              </w:rPr>
              <w:t xml:space="preserve">؛ حقول التنازل تُسجَّل في OPEN وIN_CURE، والاعتماد هو الانتقال إلى WAIVED (SR9)</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F-OBL-1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DQ-F15-11</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 جديد لفترة لها خرق مفتوح</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خرق ثانٍ؛ NeedsReview على القائم.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B1): الخرق يحمل جذر التعهد ونهاية الفترة بمفتاح مركّب، وخرق مفتوح واحد لكل تعهد وفترة ولو أعيد التقييم (SR9)</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DQ-F15-12</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يضع بند الأجندة WAIVED وبأي دليل؟</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وسبب ووثيقة إلزاميان.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B7a): بند الأجندة WAIVED يستلزم </w:t>
            </w:r>
            <w:r>
              <w:rPr>
                <w:rFonts w:ascii="Courier New" w:cs="Courier New" w:eastAsia="Courier New" w:hAnsi="Courier New"/>
                <w:b w:val="false"/>
                <w:bCs w:val="false"/>
                <w:color w:val="1F2937"/>
                <w:sz w:val="16"/>
                <w:szCs w:val="16"/>
                <w:shd w:fill="F1F3F5" w:color="auto" w:val="clear"/>
                <w:rtl/>
              </w:rPr>
              <w:t xml:space="preserve">‎StatusReason‎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‎EvidenceDocumentId‎</w:t>
            </w:r>
            <w:r>
              <w:rPr>
                <w:rFonts w:ascii="Arial" w:cs="Arial" w:eastAsia="Arial" w:hAnsi="Arial"/>
                <w:b w:val="false"/>
                <w:bCs w:val="false"/>
                <w:sz w:val="18"/>
                <w:szCs w:val="18"/>
                <w:rtl/>
              </w:rPr>
              <w:t xml:space="preserve"> (SR9، RF29)؛ وصلاحية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يفحصها التطبيق</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DQ-F15-13</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بند SUBMITTED</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رجوع؛ تعديل مدقَّق؛ والخرق الناتج يغلقه TM إن زال التأخير</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DQ-F15-14</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لون NOT_COMPARABLE وUNDER_REVIEW</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 لكليهما</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DQ-F15-15</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فوات مهلة العلاج أو انتهاء التنازل</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NeedsReview وتنبيه يومي بلا تغيير حالة</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DQ-F15-18</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الشهري: من يؤكد وما الذي يُقيَّم؟</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المؤكد وحده؛ يؤكده حامل </w:t>
            </w:r>
            <w:r>
              <w:rPr>
                <w:rFonts w:ascii="Courier New" w:cs="Courier New" w:eastAsia="Courier New" w:hAnsi="Courier New"/>
                <w:b w:val="false"/>
                <w:bCs w:val="false"/>
                <w:color w:val="1F2937"/>
                <w:sz w:val="16"/>
                <w:szCs w:val="16"/>
                <w:shd w:fill="F1F3F5" w:color="auto" w:val="clear"/>
                <w:rtl/>
              </w:rPr>
              <w:t xml:space="preserve">‎fin.stats.enter‎</w:t>
            </w:r>
            <w:r>
              <w:rPr>
                <w:rFonts w:ascii="Arial" w:cs="Arial" w:eastAsia="Arial" w:hAnsi="Arial"/>
                <w:b w:val="false"/>
                <w:bCs w:val="false"/>
                <w:sz w:val="18"/>
                <w:szCs w:val="18"/>
                <w:rtl/>
              </w:rPr>
              <w:t xml:space="preserve"> بلا معتمِد ثانٍ</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BR-FIN-005</w:t>
            </w:r>
          </w:p>
        </w:tc>
      </w:tr>
    </w:tbl>
    <w:p>
      <w:pPr>
        <w:bidi/>
        <w:spacing w:after="120" w:before="0"/>
      </w:pPr>
    </w:p>
    <w:p>
      <w:pPr>
        <w:bidi/>
        <w:spacing w:after="110" w:before="0" w:line="312"/>
      </w:pPr>
      <w:r>
        <w:rPr>
          <w:rFonts w:ascii="Arial" w:cs="Arial" w:eastAsia="Arial" w:hAnsi="Arial"/>
          <w:b/>
          <w:bCs/>
          <w:sz w:val="21"/>
          <w:szCs w:val="21"/>
          <w:rtl/>
        </w:rPr>
        <w:t xml:space="preserve">DOC-F16 — مخططات حالات كيانات الاعتماد التابعة (التعديل والسحب والمبيعات والمخالفات والبروفورما)</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69"/>
        <w:gridCol w:w="2775"/>
        <w:gridCol w:w="2047"/>
        <w:gridCol w:w="2773"/>
      </w:tblGrid>
      <w:tr>
        <w:trPr>
          <w:cantSplit/>
          <w:tblHeader/>
        </w:trPr>
        <w:tc>
          <w:tcPr>
            <w:tcW w:type="dxa" w:w="22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DQ-F16-8</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إغلاق آليًا؛ TM فقط بسبب؛ وحارس V-LCI-09 للجانبين</w:t>
            </w:r>
          </w:p>
        </w:tc>
        <w:tc>
          <w:tcPr>
            <w:tcW w:type="dxa" w:w="2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 BR-LCE-012</w:t>
            </w:r>
          </w:p>
        </w:tc>
      </w:tr>
      <w:tr>
        <w:trPr>
          <w:cantSplit/>
        </w:trPr>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DQ-F16-12</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يعود VERIFIED إلى UNVERIFIED؟</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بيد المشغّل مع ملاحظة وتدقيق HIGH، لتصحيح تحقق خاطئ</w:t>
            </w:r>
          </w:p>
        </w:tc>
        <w:tc>
          <w:tcPr>
            <w:tcW w:type="dxa" w:w="2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r>
    </w:tbl>
    <w:p>
      <w:pPr>
        <w:bidi/>
        <w:spacing w:after="120" w:before="0"/>
      </w:pPr>
    </w:p>
    <w:p>
      <w:pPr>
        <w:bidi/>
        <w:spacing w:after="110" w:before="0" w:line="312"/>
      </w:pPr>
      <w:r>
        <w:rPr>
          <w:rFonts w:ascii="Arial" w:cs="Arial" w:eastAsia="Arial" w:hAnsi="Arial"/>
          <w:b/>
          <w:bCs/>
          <w:sz w:val="21"/>
          <w:szCs w:val="21"/>
          <w:rtl/>
        </w:rPr>
        <w:t xml:space="preserve">DOC-F17 — تدفقات الأحداث غير المتزامنة: Outbox والمهام المجدولة ومسار الإشعار</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1972"/>
        <w:gridCol w:w="3102"/>
        <w:gridCol w:w="2254"/>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DQ-F17-8</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للإشعار</w:t>
            </w:r>
          </w:p>
        </w:tc>
        <w:tc>
          <w:tcPr>
            <w:tcW w:type="dxa" w:w="3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ويُعدَّل FR-NTF-024</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DQ-F17-12</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مشترك معلّق</w:t>
            </w:r>
          </w:p>
        </w:tc>
        <w:tc>
          <w:tcPr>
            <w:tcW w:type="dxa" w:w="3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PENDING حتى يعود نشطًا؛ وتنبيه TA بالتعليق بريد منصة لا إشعار مشترك</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§7.4 وDOC-F05</w:t>
            </w:r>
          </w:p>
        </w:tc>
      </w:tr>
    </w:tbl>
    <w:p>
      <w:pPr>
        <w:bidi/>
        <w:spacing w:after="120" w:before="0"/>
      </w:pPr>
    </w:p>
    <w:p>
      <w:pPr>
        <w:bidi/>
        <w:spacing w:after="110" w:before="0" w:line="312"/>
      </w:pPr>
      <w:r>
        <w:rPr>
          <w:rFonts w:ascii="Arial" w:cs="Arial" w:eastAsia="Arial" w:hAnsi="Arial"/>
          <w:b/>
          <w:bCs/>
          <w:sz w:val="21"/>
          <w:szCs w:val="21"/>
          <w:rtl/>
        </w:rPr>
        <w:t xml:space="preserve">DOC-S10 — دليل تشغيل خادم Ubuntu 24.04 لقاعدة البيانات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76"/>
        <w:gridCol w:w="1991"/>
        <w:gridCol w:w="3890"/>
        <w:gridCol w:w="1707"/>
      </w:tblGrid>
      <w:tr>
        <w:trPr>
          <w:cantSplit/>
          <w:tblHeader/>
        </w:trPr>
        <w:tc>
          <w:tcPr>
            <w:tcW w:type="dxa" w:w="2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w:t>
            </w:r>
          </w:p>
        </w:tc>
        <w:tc>
          <w:tcPr>
            <w:tcW w:type="dxa" w:w="1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خادم القاعدة</w:t>
            </w:r>
          </w:p>
        </w:tc>
        <w:tc>
          <w:tcPr>
            <w:tcW w:type="dxa" w:w="38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معالجات افتراضية و16 GB ذاكرة نقطة بدء، بعد التحقق من الحد الأدنى لدى Microsoft [تحقق MS]، ويُراجع بعد اختبار الحمل (NFR-PERF-01)</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r>
      <w:tr>
        <w:trPr>
          <w:cantSplit/>
        </w:trPr>
        <w:tc>
          <w:tcPr>
            <w:tcW w:type="dxa" w:w="2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DQ-S10-8</w:t>
            </w:r>
          </w:p>
        </w:tc>
        <w:tc>
          <w:tcPr>
            <w:tcW w:type="dxa" w:w="1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يملك sudo</w:t>
            </w:r>
          </w:p>
        </w:tc>
        <w:tc>
          <w:tcPr>
            <w:tcW w:type="dxa" w:w="38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أشخاص مسمّون على الأكثر، يعتمدهم OWN، وليس بينهم حافظا المفتاح الرئيسي</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DQ-S10-9</w:t>
            </w:r>
          </w:p>
        </w:tc>
        <w:tc>
          <w:tcPr>
            <w:tcW w:type="dxa" w:w="1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طوارئ النظام</w:t>
            </w:r>
          </w:p>
        </w:tc>
        <w:tc>
          <w:tcPr>
            <w:tcW w:type="dxa" w:w="38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 المزوّد بحساب كلمته مقسومة بين أمينين</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r>
    </w:tbl>
    <w:p>
      <w:pPr>
        <w:bidi/>
        <w:spacing w:after="120" w:before="0"/>
      </w:pPr>
    </w:p>
    <w:p>
      <w:pPr>
        <w:bidi/>
        <w:spacing w:after="110" w:before="0" w:line="312"/>
      </w:pPr>
      <w:r>
        <w:rPr>
          <w:rFonts w:ascii="Arial" w:cs="Arial" w:eastAsia="Arial" w:hAnsi="Arial"/>
          <w:b/>
          <w:bCs/>
          <w:sz w:val="21"/>
          <w:szCs w:val="21"/>
          <w:rtl/>
        </w:rPr>
        <w:t xml:space="preserve">DOC-S11 — دليل نشر قاعدة البيانات على الخادم باستخدام deploy.sh</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23"/>
        <w:gridCol w:w="2380"/>
        <w:gridCol w:w="2721"/>
        <w:gridCol w:w="2040"/>
      </w:tblGrid>
      <w:tr>
        <w:trPr>
          <w:cantSplit/>
          <w:tblHeader/>
        </w:trPr>
        <w:tc>
          <w:tcPr>
            <w:tcW w:type="dxa" w:w="27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DQ-S11-8</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 عاجل قبل منفّذ الترحيل</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طارئ مجرَّب على نسخة مستعادة، يعتمده OWN وSEC</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r>
    </w:tbl>
    <w:p>
      <w:pPr>
        <w:bidi/>
        <w:spacing w:after="120" w:before="0"/>
      </w:pPr>
    </w:p>
    <w:p>
      <w:pPr>
        <w:bidi/>
        <w:spacing w:after="110" w:before="0" w:line="312"/>
      </w:pPr>
      <w:r>
        <w:rPr>
          <w:rFonts w:ascii="Arial" w:cs="Arial" w:eastAsia="Arial" w:hAnsi="Arial"/>
          <w:b/>
          <w:bCs/>
          <w:sz w:val="21"/>
          <w:szCs w:val="21"/>
          <w:rtl/>
        </w:rPr>
        <w:t xml:space="preserve">DOC-S12 — متطلبات السجلات والمراقبة والتدقيق التشغيلي</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5"/>
        <w:gridCol w:w="2307"/>
        <w:gridCol w:w="3232"/>
        <w:gridCol w:w="1730"/>
      </w:tblGrid>
      <w:tr>
        <w:trPr>
          <w:cantSplit/>
          <w:tblHeader/>
        </w:trPr>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DQ-S12-2</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المخزن المركزي ودولته</w:t>
            </w:r>
          </w:p>
        </w:tc>
        <w:tc>
          <w:tcPr>
            <w:tcW w:type="dxa" w:w="3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حساب الاستضافة، في الدولة نفسها التي يُقبل فيها الموقع المنفصل للنسخ (DQ-S09-2، DQ-S07-2)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w:t>
            </w:r>
          </w:p>
        </w:tc>
        <w:tc>
          <w:tcPr>
            <w:tcW w:type="dxa" w:w="3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§5.1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r>
      <w:tr>
        <w:trPr>
          <w:cantSplit/>
        </w:trPr>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DQ-S12-10</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المناوبة</w:t>
            </w:r>
          </w:p>
        </w:tc>
        <w:tc>
          <w:tcPr>
            <w:tcW w:type="dxa" w:w="3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على مدار الساعة من الإطلاق، وساعات العمل قبله</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bidi/>
        <w:spacing w:after="110" w:before="0" w:line="312"/>
      </w:pPr>
      <w:r>
        <w:rPr>
          <w:rFonts w:ascii="Arial" w:cs="Arial" w:eastAsia="Arial" w:hAnsi="Arial"/>
          <w:b/>
          <w:bCs/>
          <w:sz w:val="21"/>
          <w:szCs w:val="21"/>
          <w:rtl/>
        </w:rPr>
        <w:t xml:space="preserve">DOC-S13 — خطة اختبار الأمن والعزل</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9"/>
        <w:gridCol w:w="2566"/>
        <w:gridCol w:w="3193"/>
        <w:gridCol w:w="1796"/>
      </w:tblGrid>
      <w:tr>
        <w:trPr>
          <w:cantSplit/>
          <w:tblHeader/>
        </w:trPr>
        <w:tc>
          <w:tcPr>
            <w:tcW w:type="dxa" w:w="23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DQ-S13-5</w:t>
            </w:r>
          </w:p>
        </w:tc>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الفحص الديناميكي ومزوّد اختبار الاختراق</w:t>
            </w:r>
          </w:p>
        </w:tc>
        <w:tc>
          <w:tcPr>
            <w:tcW w:type="dxa" w:w="3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فاحص DAST مفتوح المصدر، مثل OWASP ZAP، في بيئة الاختبار؛ ومزوّد اختبار خارجي مستقل يختاره OWN</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L7، §9</w:t>
            </w:r>
          </w:p>
        </w:tc>
      </w:tr>
      <w:tr>
        <w:trPr>
          <w:cantSplit/>
        </w:trPr>
        <w:tc>
          <w:tcPr>
            <w:tcW w:type="dxa" w:w="2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DQ-S13-10</w:t>
            </w:r>
          </w:p>
        </w:tc>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اختبار الاختراق وتكراره</w:t>
            </w:r>
          </w:p>
        </w:tc>
        <w:tc>
          <w:tcPr>
            <w:tcW w:type="dxa" w:w="3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معزولة ببيانات اصطناعية، قبل قرار التجربة بثلاثة أسابيع على الأقل لإتاحة الإصلاح وإعادة الاختبار، ثم سنويًا</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DOC-B12</w:t>
            </w:r>
          </w:p>
        </w:tc>
      </w:tr>
    </w:tbl>
    <w:p>
      <w:pPr>
        <w:bidi/>
        <w:spacing w:after="120" w:before="0"/>
      </w:pPr>
    </w:p>
    <w:p>
      <w:pPr>
        <w:bidi/>
        <w:spacing w:after="110" w:before="0" w:line="312"/>
      </w:pPr>
      <w:r>
        <w:rPr>
          <w:rFonts w:ascii="Arial" w:cs="Arial" w:eastAsia="Arial" w:hAnsi="Arial"/>
          <w:b/>
          <w:bCs/>
          <w:sz w:val="21"/>
          <w:szCs w:val="21"/>
          <w:rtl/>
        </w:rPr>
        <w:t xml:space="preserve">DOC-B06 — مواصفة بيانات الاختبار والتجهيل</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43"/>
        <w:gridCol w:w="3088"/>
        <w:gridCol w:w="2851"/>
        <w:gridCol w:w="1682"/>
      </w:tblGrid>
      <w:tr>
        <w:trPr>
          <w:cantSplit/>
          <w:tblHeader/>
        </w:trPr>
        <w:tc>
          <w:tcPr>
            <w:tcW w:type="dxa" w:w="2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0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الرئيسية مجهّلة في UAT؟</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افتراضيًا؛ DS-AGR مع بيانات اصطناعية، والتجهيل لغيرها باعتماد LEG فقط</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DQ-B06-2</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يتحقق خروج S2 بالاتفاقيات «الفعلية»</w:t>
            </w:r>
          </w:p>
        </w:tc>
        <w:tc>
          <w:tcPr>
            <w:tcW w:type="dxa" w:w="2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ببنيتها كاملة مجهّلة في الاختبار، وبقيمها الحقيقية في الإنتاج عند التجربة (§6.5)</w:t>
            </w:r>
          </w:p>
        </w:tc>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DQ-B06-3</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المبالغ</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سري واحد لكل اتفاقية بين 0.5 و2.0 ثم التقريب إلى ألف</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r>
      <w:tr>
        <w:trPr>
          <w:cantSplit/>
        </w:trPr>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DQ-B06-5</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يبقى من النسب</w:t>
            </w:r>
          </w:p>
        </w:tc>
        <w:tc>
          <w:tcPr>
            <w:tcW w:type="dxa" w:w="2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التقارير ونسب التعهدات وفراغها تبقى؛ الهوامش والرسوم تُستبدل</w:t>
            </w:r>
          </w:p>
        </w:tc>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DQ-B06-9</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الاعتماد للحزم</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يعدّ، وشخص ثانٍ يراجع، وTRM يطابق البنية، وLEG يعتمد</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w:t>
            </w:r>
          </w:p>
        </w:tc>
      </w:tr>
    </w:tbl>
    <w:p>
      <w:pPr>
        <w:bidi/>
        <w:spacing w:after="120" w:before="0"/>
      </w:pPr>
    </w:p>
    <w:p>
      <w:pPr>
        <w:bidi/>
        <w:spacing w:after="110" w:before="0" w:line="312"/>
      </w:pPr>
      <w:r>
        <w:rPr>
          <w:rFonts w:ascii="Arial" w:cs="Arial" w:eastAsia="Arial" w:hAnsi="Arial"/>
          <w:b/>
          <w:bCs/>
          <w:sz w:val="21"/>
          <w:szCs w:val="21"/>
          <w:rtl/>
        </w:rPr>
        <w:t xml:space="preserve">DOC-B08 — مصفوفة التتبع: المتطلب والقاعدة والقبول والكيان والاختبار والشاشة</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20"/>
        <w:gridCol w:w="2113"/>
        <w:gridCol w:w="2818"/>
        <w:gridCol w:w="2113"/>
      </w:tblGrid>
      <w:tr>
        <w:trPr>
          <w:cantSplit/>
          <w:tblHeader/>
        </w:trPr>
        <w:tc>
          <w:tcPr>
            <w:tcW w:type="dxa" w:w="2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DQ-B08-5</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بوابة الخروج</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كل شريحة</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3.3 مستندات P2 (قبل الإطلاق)</w:t>
      </w:r>
      <w:bookmarkEnd w:id="10"/>
    </w:p>
    <w:p>
      <w:pPr>
        <w:bidi/>
        <w:spacing w:after="110" w:before="0" w:line="312"/>
      </w:pPr>
      <w:r>
        <w:rPr>
          <w:rFonts w:ascii="Arial" w:cs="Arial" w:eastAsia="Arial" w:hAnsi="Arial"/>
          <w:b/>
          <w:bCs/>
          <w:sz w:val="21"/>
          <w:szCs w:val="21"/>
          <w:rtl/>
        </w:rPr>
        <w:t xml:space="preserve">DOC-S15 — إجراء الاستجابة للحوادث الأمنية وإخطار خرق البيانات</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9"/>
        <w:gridCol w:w="2423"/>
        <w:gridCol w:w="2863"/>
        <w:gridCol w:w="2289"/>
      </w:tblGrid>
      <w:tr>
        <w:trPr>
          <w:cantSplit/>
          <w:tblHeader/>
        </w:trPr>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يقود الحوادث وكيف تُغطى الساعات</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قائدًا وOPS نائبًا، والمناوبة كما في DQ-S12-10</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DQ-S15-3</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الشدة وأزمنته</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§4</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DQ-S15-4</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الهدف الداخلي لإبلاغ المشترك</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 من التأكيد، ويُثبت في عقد الاشتراك</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§10.2، DQ-S07-3</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والجهات ومهلها، وهل تبلّغ المنصة بنفسها عن بياناتها</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 المستشار لكل دولة قبل الإطلاق</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§10.3، X-AUD-4</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DQ-S15-7</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وقف قراءة مشترك كامل</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O-18 بحيث يرفض </w:t>
            </w:r>
            <w:r>
              <w:rPr>
                <w:rFonts w:ascii="Courier New" w:cs="Courier New" w:eastAsia="Courier New" w:hAnsi="Courier New"/>
                <w:b w:val="false"/>
                <w:bCs w:val="false"/>
                <w:color w:val="1F2937"/>
                <w:sz w:val="16"/>
                <w:szCs w:val="16"/>
                <w:shd w:fill="F1F3F5" w:color="auto" w:val="clear"/>
                <w:rtl/>
              </w:rPr>
              <w:t xml:space="preserve">‎SUSPENDED‎</w:t>
            </w:r>
            <w:r>
              <w:rPr>
                <w:rFonts w:ascii="Arial" w:cs="Arial" w:eastAsia="Arial" w:hAnsi="Arial"/>
                <w:b w:val="false"/>
                <w:bCs w:val="false"/>
                <w:sz w:val="18"/>
                <w:szCs w:val="18"/>
                <w:rtl/>
              </w:rPr>
              <w:t xml:space="preserve"> الربط الجديد إلا لمن تسمح له BR-PLT-002</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DQ-S15-8</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القرص دليلًا</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بموافقة OWN فقط، ومعاملة المقيّد</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DQ-S15-9</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الفدية</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دفع</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w:t>
            </w:r>
          </w:p>
        </w:tc>
      </w:tr>
    </w:tbl>
    <w:p>
      <w:pPr>
        <w:bidi/>
        <w:spacing w:after="120" w:before="0"/>
      </w:pPr>
    </w:p>
    <w:p>
      <w:pPr>
        <w:bidi/>
        <w:spacing w:after="110" w:before="0" w:line="312"/>
      </w:pPr>
      <w:r>
        <w:rPr>
          <w:rFonts w:ascii="Arial" w:cs="Arial" w:eastAsia="Arial" w:hAnsi="Arial"/>
          <w:b/>
          <w:bCs/>
          <w:sz w:val="21"/>
          <w:szCs w:val="21"/>
          <w:rtl/>
        </w:rPr>
        <w:t xml:space="preserve">DOC-B12 — خطة قبول المستخدم والإطلاق التجريبي</w:t>
      </w:r>
      <w:r>
        <w:rPr>
          <w:rFonts w:ascii="Arial" w:cs="Arial" w:eastAsia="Arial" w:hAnsi="Arial"/>
          <w:b w:val="false"/>
          <w:bCs w:val="false"/>
          <w:sz w:val="21"/>
          <w:szCs w:val="21"/>
          <w:rtl/>
        </w:rPr>
        <w:t xml:space="preserve">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3116"/>
        <w:gridCol w:w="2595"/>
        <w:gridCol w:w="1817"/>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لكل شريحة أم UAT نهائي فقط؟</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 لكل شريحة من S1، وثلاثة أسابيع نهائية بعد S5</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المشروع</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DQ-B12-2</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التجربة وشكلها</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ثمانية أسابيع بتشغيل موازٍ والعملية اليدوية سجل رسمي</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DQ-B12-3</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المشترك التجريبي</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العميل التي زوّدت الاتفاقيات</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DQ-B12-4</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أعداد المشاركين لكل دور</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UAT</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DQ-B12-5</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خروج التجربة</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§8.3، ومنها عشرة طلبات اعتماد حقيقية</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الإطلاق</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DQ-B12-6</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قرار التجربة والإطلاق</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بتوصية QA وSEC وOPS، ولـ LEG رفض في بنود حماية البيانات</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DQ-B12-7</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FR-PLT-039 بأولوية Should في S5، والتراجع يعتمد عليه</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رفعه إلى Must للتجربة، أو إجراء تصدير بيد DBA موثّق</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البند 13، §10.3</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DQ-B12-9</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مشاركة المالية في UAT</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المالية إلى الأقسام الثلاثة لأجل S2-ب</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DQ-B12-11</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نصوص السيناريوهات للمشاركين</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مع شرح عربي في جلسة التدريب، حتى تصدر الواجهة العربية</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القرارات المعتمدة من المالك · BankFas · 2026-10-22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سجل القرارات المطلوبة من المالك</dc:title>
  <dc:creator>Claude</dc:creator>
  <dc:description>BankFas database design document</dc:description>
  <cp:lastModifiedBy>Un-named</cp:lastModifiedBy>
  <cp:revision>1</cp:revision>
  <dcterms:created xsi:type="dcterms:W3CDTF">2026-10-22T01:51:18.829Z</dcterms:created>
  <dcterms:modified xsi:type="dcterms:W3CDTF">2026-10-22T01:51:18.829Z</dcterms:modified>
</cp:coreProperties>
</file>

<file path=docProps/custom.xml><?xml version="1.0" encoding="utf-8"?>
<Properties xmlns="http://schemas.openxmlformats.org/officeDocument/2006/custom-properties" xmlns:vt="http://schemas.openxmlformats.org/officeDocument/2006/docPropsVTypes"/>
</file>