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المرحلة الثانية: بناء التطبيق — الشريحة S1</w:t>
      </w:r>
    </w:p>
    <w:p>
      <w:pPr>
        <w:bidi/>
        <w:spacing w:after="110" w:before="0" w:line="312"/>
      </w:pPr>
      <w:r>
        <w:rPr>
          <w:rFonts w:ascii="Arial" w:cs="Arial" w:eastAsia="Arial" w:hAnsi="Arial"/>
          <w:b w:val="false"/>
          <w:bCs w:val="false"/>
          <w:sz w:val="21"/>
          <w:szCs w:val="21"/>
          <w:rtl/>
        </w:rPr>
        <w:t xml:space="preserve">التاريخ: 2026-10-22. الطلب 38 في </w:t>
      </w:r>
      <w:r>
        <w:rPr>
          <w:rFonts w:ascii="Courier New" w:cs="Courier New" w:eastAsia="Courier New" w:hAnsi="Courier New"/>
          <w:b w:val="false"/>
          <w:bCs w:val="false"/>
          <w:color w:val="1F2937"/>
          <w:sz w:val="18"/>
          <w:szCs w:val="18"/>
          <w:shd w:fill="F1F3F5" w:color="auto" w:val="clear"/>
          <w:rtl/>
        </w:rPr>
        <w:t xml:space="preserve">‎docs/31‎</w:t>
      </w:r>
      <w:r>
        <w:rPr>
          <w:rFonts w:ascii="Arial" w:cs="Arial" w:eastAsia="Arial" w:hAnsi="Arial"/>
          <w:b w:val="false"/>
          <w:bCs w:val="false"/>
          <w:sz w:val="21"/>
          <w:szCs w:val="21"/>
          <w:rtl/>
        </w:rPr>
        <w:t xml:space="preserve">، والقرار المعماري ADR 0041.</w:t>
      </w:r>
    </w:p>
    <w:p>
      <w:pPr>
        <w:bidi/>
        <w:spacing w:after="110" w:before="0" w:line="312"/>
      </w:pPr>
      <w:r>
        <w:rPr>
          <w:rFonts w:ascii="Arial" w:cs="Arial" w:eastAsia="Arial" w:hAnsi="Arial"/>
          <w:b w:val="false"/>
          <w:bCs w:val="false"/>
          <w:sz w:val="21"/>
          <w:szCs w:val="21"/>
          <w:rtl/>
        </w:rPr>
        <w:t xml:space="preserve">كتب هذا البناء وهذا التقرير وكيلُ ذكاء اصطناعي. والنصوص الافتراضية للحزم والرسائل مقترحة منه، وتحتاج مراجعة الخزينة.</w:t>
      </w:r>
    </w:p>
    <w:p>
      <w:pPr>
        <w:pStyle w:val="Heading1"/>
        <w:bidi/>
      </w:pPr>
      <w:bookmarkStart w:name="_sec1" w:id="1"/>
      <w:r>
        <w:rPr>
          <w:rFonts w:ascii="Arial" w:cs="Arial" w:eastAsia="Arial" w:hAnsi="Arial"/>
          <w:b/>
          <w:bCs/>
          <w:color w:val="1F3A5F"/>
          <w:sz w:val="32"/>
          <w:szCs w:val="32"/>
          <w:rtl/>
        </w:rPr>
        <w:t xml:space="preserve">1. ما طلبه المالك</w:t>
      </w:r>
      <w:bookmarkEnd w:id="1"/>
    </w:p>
    <w:p>
      <w:pPr>
        <w:pStyle w:val="ListParagraph"/>
        <w:numPr>
          <w:ilvl w:val="0"/>
          <w:numId w:val="2"/>
        </w:numPr>
        <w:bidi/>
        <w:spacing w:after="70" w:before="0" w:line="300"/>
      </w:pPr>
      <w:r>
        <w:rPr>
          <w:rFonts w:ascii="Arial" w:cs="Arial" w:eastAsia="Arial" w:hAnsi="Arial"/>
          <w:b w:val="false"/>
          <w:bCs w:val="false"/>
          <w:sz w:val="21"/>
          <w:szCs w:val="21"/>
          <w:rtl/>
        </w:rPr>
        <w:t xml:space="preserve">«ابدأ ببناء S1»، ثم «تابع البناء بعد انتهاء الدراسة».</w:t>
      </w:r>
    </w:p>
    <w:p>
      <w:pPr>
        <w:pStyle w:val="ListParagraph"/>
        <w:numPr>
          <w:ilvl w:val="0"/>
          <w:numId w:val="2"/>
        </w:numPr>
        <w:bidi/>
        <w:spacing w:after="70" w:before="0" w:line="300"/>
      </w:pPr>
      <w:r>
        <w:rPr>
          <w:rFonts w:ascii="Arial" w:cs="Arial" w:eastAsia="Arial" w:hAnsi="Arial"/>
          <w:b w:val="false"/>
          <w:bCs w:val="false"/>
          <w:sz w:val="21"/>
          <w:szCs w:val="21"/>
          <w:rtl/>
        </w:rPr>
        <w:t xml:space="preserve">سبق البناءَ موجزٌ درس عقد قاعدة البيانات لـ S1. وجد 18 ثغرة (S1-GAP-1 إلى 18) و11 سؤالًا مفتوحًا (OQ-1 إلى 11)، ولكل سؤال افتراض مقترح.</w:t>
      </w:r>
    </w:p>
    <w:p>
      <w:pPr>
        <w:bidi/>
        <w:spacing w:after="60" w:before="0"/>
      </w:pPr>
    </w:p>
    <w:p>
      <w:pPr>
        <w:bidi/>
        <w:spacing w:after="110" w:before="0" w:line="312"/>
      </w:pPr>
      <w:r>
        <w:rPr>
          <w:rFonts w:ascii="Arial" w:cs="Arial" w:eastAsia="Arial" w:hAnsi="Arial"/>
          <w:b w:val="false"/>
          <w:bCs w:val="false"/>
          <w:sz w:val="21"/>
          <w:szCs w:val="21"/>
          <w:rtl/>
        </w:rPr>
        <w:t xml:space="preserve">S1 أول شريحة أعمال. فيها:</w:t>
      </w:r>
    </w:p>
    <w:p>
      <w:pPr>
        <w:pStyle w:val="ListParagraph"/>
        <w:numPr>
          <w:ilvl w:val="0"/>
          <w:numId w:val="2"/>
        </w:numPr>
        <w:bidi/>
        <w:spacing w:after="70" w:before="0" w:line="300"/>
      </w:pPr>
      <w:r>
        <w:rPr>
          <w:rFonts w:ascii="Arial" w:cs="Arial" w:eastAsia="Arial" w:hAnsi="Arial"/>
          <w:b w:val="false"/>
          <w:bCs w:val="false"/>
          <w:sz w:val="21"/>
          <w:szCs w:val="21"/>
          <w:rtl/>
        </w:rPr>
        <w:t xml:space="preserve">الشركات بمستنداتها.</w:t>
      </w:r>
    </w:p>
    <w:p>
      <w:pPr>
        <w:pStyle w:val="ListParagraph"/>
        <w:numPr>
          <w:ilvl w:val="0"/>
          <w:numId w:val="2"/>
        </w:numPr>
        <w:bidi/>
        <w:spacing w:after="70" w:before="0" w:line="300"/>
      </w:pPr>
      <w:r>
        <w:rPr>
          <w:rFonts w:ascii="Arial" w:cs="Arial" w:eastAsia="Arial" w:hAnsi="Arial"/>
          <w:b w:val="false"/>
          <w:bCs w:val="false"/>
          <w:sz w:val="21"/>
          <w:szCs w:val="21"/>
          <w:rtl/>
        </w:rPr>
        <w:t xml:space="preserve">الأشخاص والجهات.</w:t>
      </w:r>
    </w:p>
    <w:p>
      <w:pPr>
        <w:pStyle w:val="ListParagraph"/>
        <w:numPr>
          <w:ilvl w:val="0"/>
          <w:numId w:val="2"/>
        </w:numPr>
        <w:bidi/>
        <w:spacing w:after="70" w:before="0" w:line="300"/>
      </w:pPr>
      <w:r>
        <w:rPr>
          <w:rFonts w:ascii="Arial" w:cs="Arial" w:eastAsia="Arial" w:hAnsi="Arial"/>
          <w:b w:val="false"/>
          <w:bCs w:val="false"/>
          <w:sz w:val="21"/>
          <w:szCs w:val="21"/>
          <w:rtl/>
        </w:rPr>
        <w:t xml:space="preserve">البنوك بجهات اتصالها وعلاقاتها وحساباتها.</w:t>
      </w:r>
    </w:p>
    <w:p>
      <w:pPr>
        <w:pStyle w:val="ListParagraph"/>
        <w:numPr>
          <w:ilvl w:val="0"/>
          <w:numId w:val="2"/>
        </w:numPr>
        <w:bidi/>
        <w:spacing w:after="70" w:before="0" w:line="300"/>
      </w:pPr>
      <w:r>
        <w:rPr>
          <w:rFonts w:ascii="Arial" w:cs="Arial" w:eastAsia="Arial" w:hAnsi="Arial"/>
          <w:b w:val="false"/>
          <w:bCs w:val="false"/>
          <w:sz w:val="21"/>
          <w:szCs w:val="21"/>
          <w:rtl/>
        </w:rPr>
        <w:t xml:space="preserve">الكتالوجات وأسعار الأساس.</w:t>
      </w:r>
    </w:p>
    <w:p>
      <w:pPr>
        <w:pStyle w:val="ListParagraph"/>
        <w:numPr>
          <w:ilvl w:val="0"/>
          <w:numId w:val="2"/>
        </w:numPr>
        <w:bidi/>
        <w:spacing w:after="70" w:before="0" w:line="300"/>
      </w:pPr>
      <w:r>
        <w:rPr>
          <w:rFonts w:ascii="Arial" w:cs="Arial" w:eastAsia="Arial" w:hAnsi="Arial"/>
          <w:b w:val="false"/>
          <w:bCs w:val="false"/>
          <w:sz w:val="21"/>
          <w:szCs w:val="21"/>
          <w:rtl/>
        </w:rPr>
        <w:t xml:space="preserve">الإشعارات التي تنتج عن ذلك كله.</w:t>
      </w:r>
    </w:p>
    <w:p>
      <w:pPr>
        <w:bidi/>
        <w:spacing w:after="60" w:before="0"/>
      </w:pPr>
    </w:p>
    <w:p>
      <w:pPr>
        <w:bidi/>
        <w:spacing w:after="110" w:before="0" w:line="312"/>
      </w:pPr>
      <w:r>
        <w:rPr>
          <w:rFonts w:ascii="Arial" w:cs="Arial" w:eastAsia="Arial" w:hAnsi="Arial"/>
          <w:b w:val="false"/>
          <w:bCs w:val="false"/>
          <w:sz w:val="21"/>
          <w:szCs w:val="21"/>
          <w:rtl/>
        </w:rPr>
        <w:t xml:space="preserve">مسار الخروج من S1 تدفّقان (DOC-B02 §4):</w:t>
      </w:r>
    </w:p>
    <w:p>
      <w:pPr>
        <w:pStyle w:val="ListParagraph"/>
        <w:numPr>
          <w:ilvl w:val="0"/>
          <w:numId w:val="3"/>
        </w:numPr>
        <w:bidi/>
        <w:spacing w:after="70" w:before="0" w:line="300"/>
      </w:pPr>
      <w:r>
        <w:rPr>
          <w:rFonts w:ascii="Arial" w:cs="Arial" w:eastAsia="Arial" w:hAnsi="Arial"/>
          <w:b/>
          <w:bCs/>
          <w:sz w:val="21"/>
          <w:szCs w:val="21"/>
          <w:rtl/>
        </w:rPr>
        <w:t xml:space="preserve">AC-INS-1.</w:t>
      </w:r>
      <w:r>
        <w:rPr>
          <w:rFonts w:ascii="Arial" w:cs="Arial" w:eastAsia="Arial" w:hAnsi="Arial"/>
          <w:b w:val="false"/>
          <w:bCs w:val="false"/>
          <w:sz w:val="21"/>
          <w:szCs w:val="21"/>
          <w:rtl/>
        </w:rPr>
        <w:t xml:space="preserve"> إدخال بنك بمعالج واحد.</w:t>
      </w:r>
    </w:p>
    <w:p>
      <w:pPr>
        <w:pStyle w:val="ListParagraph"/>
        <w:numPr>
          <w:ilvl w:val="0"/>
          <w:numId w:val="3"/>
        </w:numPr>
        <w:bidi/>
        <w:spacing w:after="70" w:before="0" w:line="300"/>
      </w:pPr>
      <w:r>
        <w:rPr>
          <w:rFonts w:ascii="Arial" w:cs="Arial" w:eastAsia="Arial" w:hAnsi="Arial"/>
          <w:b/>
          <w:bCs/>
          <w:sz w:val="21"/>
          <w:szCs w:val="21"/>
          <w:rtl/>
        </w:rPr>
        <w:t xml:space="preserve">AC-ORG-6.</w:t>
      </w:r>
      <w:r>
        <w:rPr>
          <w:rFonts w:ascii="Arial" w:cs="Arial" w:eastAsia="Arial" w:hAnsi="Arial"/>
          <w:b w:val="false"/>
          <w:bCs w:val="false"/>
          <w:sz w:val="21"/>
          <w:szCs w:val="21"/>
          <w:rtl/>
        </w:rPr>
        <w:t xml:space="preserve"> إدخال شركة بمستنداتها وتنبيه انتهائها.</w:t>
      </w:r>
    </w:p>
    <w:p>
      <w:pPr>
        <w:bidi/>
        <w:spacing w:after="60" w:before="0"/>
      </w:pPr>
    </w:p>
    <w:p>
      <w:pPr>
        <w:pStyle w:val="Heading1"/>
        <w:bidi/>
      </w:pPr>
      <w:bookmarkStart w:name="_sec2" w:id="2"/>
      <w:r>
        <w:rPr>
          <w:rFonts w:ascii="Arial" w:cs="Arial" w:eastAsia="Arial" w:hAnsi="Arial"/>
          <w:b/>
          <w:bCs/>
          <w:color w:val="1F3A5F"/>
          <w:sz w:val="32"/>
          <w:szCs w:val="32"/>
          <w:rtl/>
        </w:rPr>
        <w:t xml:space="preserve">2. الدفعات</w:t>
      </w:r>
      <w:bookmarkEnd w:id="2"/>
    </w:p>
    <w:p>
      <w:pPr>
        <w:bidi/>
        <w:spacing w:after="110" w:before="0" w:line="312"/>
      </w:pPr>
      <w:r>
        <w:rPr>
          <w:rFonts w:ascii="Arial" w:cs="Arial" w:eastAsia="Arial" w:hAnsi="Arial"/>
          <w:b w:val="false"/>
          <w:bCs w:val="false"/>
          <w:sz w:val="21"/>
          <w:szCs w:val="21"/>
          <w:rtl/>
        </w:rPr>
        <w:t xml:space="preserve">بُنيت S1 في ست دفعات. لكل دفعة اختباراتها وإيداعها.</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529"/>
        <w:gridCol w:w="4384"/>
        <w:gridCol w:w="2951"/>
      </w:tblGrid>
      <w:tr>
        <w:trPr>
          <w:cantSplit/>
          <w:tblHeader/>
        </w:trPr>
        <w:tc>
          <w:tcPr>
            <w:tcW w:type="dxa" w:w="25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الدفعة</w:t>
            </w:r>
          </w:p>
        </w:tc>
        <w:tc>
          <w:tcPr>
            <w:tcW w:type="dxa" w:w="43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المحتوى</w:t>
            </w:r>
          </w:p>
        </w:tc>
        <w:tc>
          <w:tcPr>
            <w:tcW w:type="dxa" w:w="29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الإيداع</w:t>
            </w:r>
          </w:p>
        </w:tc>
      </w:tr>
      <w:tr>
        <w:trPr>
          <w:cantSplit/>
        </w:trPr>
        <w:tc>
          <w:tcPr>
            <w:tcW w:type="dxa" w:w="25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S1-A</w:t>
            </w:r>
          </w:p>
        </w:tc>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 البذور، ومحمّل البذور، وحماية الكتالوجات في القاعدة، وواجهة الكتالوجات وشاشاتها</w:t>
            </w:r>
          </w:p>
        </w:tc>
        <w:tc>
          <w:tcPr>
            <w:tcW w:type="dxa" w:w="2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a718f51</w:t>
            </w:r>
          </w:p>
        </w:tc>
      </w:tr>
      <w:tr>
        <w:trPr>
          <w:cantSplit/>
        </w:trPr>
        <w:tc>
          <w:tcPr>
            <w:tcW w:type="dxa" w:w="25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S1-B</w:t>
            </w:r>
          </w:p>
        </w:tc>
        <w:tc>
          <w:tcPr>
            <w:tcW w:type="dxa" w:w="4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المستندات، والشركات</w:t>
            </w:r>
          </w:p>
        </w:tc>
        <w:tc>
          <w:tcPr>
            <w:tcW w:type="dxa" w:w="2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1a546b4</w:t>
            </w:r>
          </w:p>
        </w:tc>
      </w:tr>
      <w:tr>
        <w:trPr>
          <w:cantSplit/>
        </w:trPr>
        <w:tc>
          <w:tcPr>
            <w:tcW w:type="dxa" w:w="25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S1-C</w:t>
            </w:r>
          </w:p>
        </w:tc>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الأشخاص والجهات</w:t>
            </w:r>
          </w:p>
        </w:tc>
        <w:tc>
          <w:tcPr>
            <w:tcW w:type="dxa" w:w="2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e7babf9</w:t>
            </w:r>
          </w:p>
        </w:tc>
      </w:tr>
      <w:tr>
        <w:trPr>
          <w:cantSplit/>
        </w:trPr>
        <w:tc>
          <w:tcPr>
            <w:tcW w:type="dxa" w:w="25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S1-D</w:t>
            </w:r>
          </w:p>
        </w:tc>
        <w:tc>
          <w:tcPr>
            <w:tcW w:type="dxa" w:w="4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المنشآت والعلاقات ومعالج البنك والحسابات وأسعار الأساس</w:t>
            </w:r>
          </w:p>
        </w:tc>
        <w:tc>
          <w:tcPr>
            <w:tcW w:type="dxa" w:w="2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0504ea7</w:t>
            </w:r>
          </w:p>
        </w:tc>
      </w:tr>
      <w:tr>
        <w:trPr>
          <w:cantSplit/>
        </w:trPr>
        <w:tc>
          <w:tcPr>
            <w:tcW w:type="dxa" w:w="25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S1-E</w:t>
            </w:r>
          </w:p>
        </w:tc>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الإشعارات وتنبيهات الانتهاء والأحداث الأمنية</w:t>
            </w:r>
          </w:p>
        </w:tc>
        <w:tc>
          <w:tcPr>
            <w:tcW w:type="dxa" w:w="2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هذا الإيداع</w:t>
            </w:r>
          </w:p>
        </w:tc>
      </w:tr>
      <w:tr>
        <w:trPr>
          <w:cantSplit/>
        </w:trPr>
        <w:tc>
          <w:tcPr>
            <w:tcW w:type="dxa" w:w="25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S1-F</w:t>
            </w:r>
          </w:p>
        </w:tc>
        <w:tc>
          <w:tcPr>
            <w:tcW w:type="dxa" w:w="4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مسار الخروج واختبار المتصفح والمستندات</w:t>
            </w:r>
          </w:p>
        </w:tc>
        <w:tc>
          <w:tcPr>
            <w:tcW w:type="dxa" w:w="2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هذا الإيداع</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ما طلبه المالك</w:t>
        </w:r>
      </w:hyperlink>
    </w:p>
    <w:p>
      <w:pPr>
        <w:bidi/>
        <w:spacing w:after="50" w:before="0"/>
        <w:ind w:left="0"/>
      </w:pPr>
      <w:hyperlink w:history="1" w:anchor="_sec2">
        <w:r>
          <w:rPr>
            <w:rFonts w:ascii="Arial" w:cs="Arial" w:eastAsia="Arial" w:hAnsi="Arial"/>
            <w:b/>
            <w:bCs/>
            <w:color w:val="1F3A5F"/>
            <w:sz w:val="20"/>
            <w:szCs w:val="20"/>
            <w:rtl/>
          </w:rPr>
          <w:t xml:space="preserve">2. الدفعات</w:t>
        </w:r>
      </w:hyperlink>
    </w:p>
    <w:p>
      <w:pPr>
        <w:bidi/>
        <w:spacing w:after="50" w:before="0"/>
        <w:ind w:left="0"/>
      </w:pPr>
      <w:hyperlink w:history="1" w:anchor="_sec3">
        <w:r>
          <w:rPr>
            <w:rFonts w:ascii="Arial" w:cs="Arial" w:eastAsia="Arial" w:hAnsi="Arial"/>
            <w:b/>
            <w:bCs/>
            <w:color w:val="1F3A5F"/>
            <w:sz w:val="20"/>
            <w:szCs w:val="20"/>
            <w:rtl/>
          </w:rPr>
          <w:t xml:space="preserve">3. ما يعمل الآن</w:t>
        </w:r>
      </w:hyperlink>
    </w:p>
    <w:p>
      <w:pPr>
        <w:bidi/>
        <w:spacing w:after="50" w:before="0"/>
        <w:ind w:left="0"/>
      </w:pPr>
      <w:hyperlink w:history="1" w:anchor="_sec9">
        <w:r>
          <w:rPr>
            <w:rFonts w:ascii="Arial" w:cs="Arial" w:eastAsia="Arial" w:hAnsi="Arial"/>
            <w:b/>
            <w:bCs/>
            <w:color w:val="1F3A5F"/>
            <w:sz w:val="20"/>
            <w:szCs w:val="20"/>
            <w:rtl/>
          </w:rPr>
          <w:t xml:space="preserve">4. الافتراضات المأخوذة</w:t>
        </w:r>
      </w:hyperlink>
    </w:p>
    <w:p>
      <w:pPr>
        <w:bidi/>
        <w:spacing w:after="50" w:before="0"/>
        <w:ind w:left="0"/>
      </w:pPr>
      <w:hyperlink w:history="1" w:anchor="_sec10">
        <w:r>
          <w:rPr>
            <w:rFonts w:ascii="Arial" w:cs="Arial" w:eastAsia="Arial" w:hAnsi="Arial"/>
            <w:b/>
            <w:bCs/>
            <w:color w:val="1F3A5F"/>
            <w:sz w:val="20"/>
            <w:szCs w:val="20"/>
            <w:rtl/>
          </w:rPr>
          <w:t xml:space="preserve">5. ثغرة وُجدت في الطريق</w:t>
        </w:r>
      </w:hyperlink>
    </w:p>
    <w:p>
      <w:pPr>
        <w:bidi/>
        <w:spacing w:after="50" w:before="0"/>
        <w:ind w:left="0"/>
      </w:pPr>
      <w:hyperlink w:history="1" w:anchor="_sec11">
        <w:r>
          <w:rPr>
            <w:rFonts w:ascii="Arial" w:cs="Arial" w:eastAsia="Arial" w:hAnsi="Arial"/>
            <w:b/>
            <w:bCs/>
            <w:color w:val="1F3A5F"/>
            <w:sz w:val="20"/>
            <w:szCs w:val="20"/>
            <w:rtl/>
          </w:rPr>
          <w:t xml:space="preserve">6. الاختبار</w:t>
        </w:r>
      </w:hyperlink>
    </w:p>
    <w:p>
      <w:pPr>
        <w:bidi/>
        <w:spacing w:after="50" w:before="0"/>
        <w:ind w:left="0"/>
      </w:pPr>
      <w:hyperlink w:history="1" w:anchor="_sec12">
        <w:r>
          <w:rPr>
            <w:rFonts w:ascii="Arial" w:cs="Arial" w:eastAsia="Arial" w:hAnsi="Arial"/>
            <w:b/>
            <w:bCs/>
            <w:color w:val="1F3A5F"/>
            <w:sz w:val="20"/>
            <w:szCs w:val="20"/>
            <w:rtl/>
          </w:rPr>
          <w:t xml:space="preserve">7. ما بقي خارج S1</w:t>
        </w:r>
      </w:hyperlink>
    </w:p>
    <w:p>
      <w:r>
        <w:br w:type="page"/>
      </w:r>
    </w:p>
    <w:p>
      <w:pPr>
        <w:pStyle w:val="Heading1"/>
        <w:bidi/>
      </w:pPr>
      <w:bookmarkStart w:name="_sec3" w:id="3"/>
      <w:r>
        <w:rPr>
          <w:rFonts w:ascii="Arial" w:cs="Arial" w:eastAsia="Arial" w:hAnsi="Arial"/>
          <w:b/>
          <w:bCs/>
          <w:color w:val="1F3A5F"/>
          <w:sz w:val="32"/>
          <w:szCs w:val="32"/>
          <w:rtl/>
        </w:rPr>
        <w:t xml:space="preserve">3. ما يعمل الآن</w:t>
      </w:r>
      <w:bookmarkEnd w:id="3"/>
    </w:p>
    <w:p>
      <w:pPr>
        <w:pStyle w:val="Heading2"/>
        <w:bidi/>
      </w:pPr>
      <w:bookmarkStart w:name="_sec4" w:id="4"/>
      <w:r>
        <w:rPr>
          <w:rFonts w:ascii="Arial" w:cs="Arial" w:eastAsia="Arial" w:hAnsi="Arial"/>
          <w:b/>
          <w:bCs/>
          <w:color w:val="2B5C8A"/>
          <w:sz w:val="26"/>
          <w:szCs w:val="26"/>
          <w:rtl/>
        </w:rPr>
        <w:t xml:space="preserve">3.1 الكتالوجات والحزم (S1-A)</w:t>
      </w:r>
      <w:bookmarkEnd w:id="4"/>
    </w:p>
    <w:p>
      <w:pPr>
        <w:pStyle w:val="ListParagraph"/>
        <w:numPr>
          <w:ilvl w:val="0"/>
          <w:numId w:val="2"/>
        </w:numPr>
        <w:bidi/>
        <w:spacing w:after="70" w:before="0" w:line="300"/>
      </w:pPr>
      <w:r>
        <w:rPr>
          <w:rFonts w:ascii="Arial" w:cs="Arial" w:eastAsia="Arial" w:hAnsi="Arial"/>
          <w:b/>
          <w:bCs/>
          <w:sz w:val="21"/>
          <w:szCs w:val="21"/>
          <w:rtl/>
        </w:rPr>
        <w:t xml:space="preserve">الحزم.</w:t>
      </w:r>
      <w:r>
        <w:rPr>
          <w:rFonts w:ascii="Arial" w:cs="Arial" w:eastAsia="Arial" w:hAnsi="Arial"/>
          <w:b w:val="false"/>
          <w:bCs w:val="false"/>
          <w:sz w:val="21"/>
          <w:szCs w:val="21"/>
          <w:rtl/>
        </w:rPr>
        <w:t xml:space="preserve"> تسع حزم للمشترك: CAT.ORG وCAT.BANKING وCAT.DOCTYPES وCAT.LOOKUPS وCAT.CURRENCY وCORE.NUMBERING وCORE.EXPIRY وCORE.DEPARTMENTS، ثم NTF.BASE. كتبها وكيل ذكاء اصطناعي، ويفحصها </w:t>
      </w:r>
      <w:r>
        <w:rPr>
          <w:rFonts w:ascii="Courier New" w:cs="Courier New" w:eastAsia="Courier New" w:hAnsi="Courier New"/>
          <w:b w:val="false"/>
          <w:bCs w:val="false"/>
          <w:color w:val="1F2937"/>
          <w:sz w:val="18"/>
          <w:szCs w:val="18"/>
          <w:shd w:fill="F1F3F5" w:color="auto" w:val="clear"/>
          <w:rtl/>
        </w:rPr>
        <w:t xml:space="preserve">‎tools/dbgen/tenant_packs.py‎</w:t>
      </w:r>
      <w:r>
        <w:rPr>
          <w:rFonts w:ascii="Arial" w:cs="Arial" w:eastAsia="Arial" w:hAnsi="Arial"/>
          <w:b w:val="false"/>
          <w:bCs w:val="false"/>
          <w:sz w:val="21"/>
          <w:szCs w:val="21"/>
          <w:rtl/>
        </w:rPr>
        <w:t xml:space="preserve"> في CI.</w:t>
      </w:r>
    </w:p>
    <w:p>
      <w:pPr>
        <w:pStyle w:val="ListParagraph"/>
        <w:numPr>
          <w:ilvl w:val="0"/>
          <w:numId w:val="2"/>
        </w:numPr>
        <w:bidi/>
        <w:spacing w:after="70" w:before="0" w:line="300"/>
      </w:pPr>
      <w:r>
        <w:rPr>
          <w:rFonts w:ascii="Arial" w:cs="Arial" w:eastAsia="Arial" w:hAnsi="Arial"/>
          <w:b/>
          <w:bCs/>
          <w:sz w:val="21"/>
          <w:szCs w:val="21"/>
          <w:rtl/>
        </w:rPr>
        <w:t xml:space="preserve">المحمّل.</w:t>
      </w:r>
      <w:r>
        <w:rPr>
          <w:rFonts w:ascii="Arial" w:cs="Arial" w:eastAsia="Arial" w:hAnsi="Arial"/>
          <w:b w:val="false"/>
          <w:bCs w:val="false"/>
          <w:sz w:val="21"/>
          <w:szCs w:val="21"/>
          <w:rtl/>
        </w:rPr>
        <w:t xml:space="preserve"> يضيف ولا يعدّل: الصف الموجود بمفتاح بذرته يُترك كما غيّره المشترك. وكل تشغيل صف في </w:t>
      </w:r>
      <w:r>
        <w:rPr>
          <w:rFonts w:ascii="Courier New" w:cs="Courier New" w:eastAsia="Courier New" w:hAnsi="Courier New"/>
          <w:b w:val="false"/>
          <w:bCs w:val="false"/>
          <w:color w:val="1F2937"/>
          <w:sz w:val="18"/>
          <w:szCs w:val="18"/>
          <w:shd w:fill="F1F3F5" w:color="auto" w:val="clear"/>
          <w:rtl/>
        </w:rPr>
        <w:t xml:space="preserve">‎cfg.SeedRun‎</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الترقية.</w:t>
      </w:r>
      <w:r>
        <w:rPr>
          <w:rFonts w:ascii="Arial" w:cs="Arial" w:eastAsia="Arial" w:hAnsi="Arial"/>
          <w:b w:val="false"/>
          <w:bCs w:val="false"/>
          <w:sz w:val="21"/>
          <w:szCs w:val="21"/>
          <w:rtl/>
        </w:rPr>
        <w:t xml:space="preserve"> مهمة يومية تبذر المشتركين الذين سبقت تهيئتهم الحزمة. وتُطبَّق كل حزمة بأحدث إصدار لها.</w:t>
      </w:r>
    </w:p>
    <w:p>
      <w:pPr>
        <w:pStyle w:val="ListParagraph"/>
        <w:numPr>
          <w:ilvl w:val="0"/>
          <w:numId w:val="2"/>
        </w:numPr>
        <w:bidi/>
        <w:spacing w:after="70" w:before="0" w:line="300"/>
      </w:pPr>
      <w:r>
        <w:rPr>
          <w:rFonts w:ascii="Arial" w:cs="Arial" w:eastAsia="Arial" w:hAnsi="Arial"/>
          <w:b/>
          <w:bCs/>
          <w:sz w:val="21"/>
          <w:szCs w:val="21"/>
          <w:rtl/>
        </w:rPr>
        <w:t xml:space="preserve">حماية الكتالوجات في القاعدة (060).</w:t>
      </w:r>
    </w:p>
    <w:p>
      <w:pPr>
        <w:pStyle w:val="ListParagraph"/>
        <w:numPr>
          <w:ilvl w:val="1"/>
          <w:numId w:val="2"/>
        </w:numPr>
        <w:bidi/>
        <w:spacing w:after="70" w:before="0" w:line="300"/>
      </w:pPr>
      <w:r>
        <w:rPr>
          <w:rFonts w:ascii="Arial" w:cs="Arial" w:eastAsia="Arial" w:hAnsi="Arial"/>
          <w:b w:val="false"/>
          <w:bCs w:val="false"/>
          <w:sz w:val="21"/>
          <w:szCs w:val="21"/>
          <w:rtl/>
        </w:rPr>
        <w:t xml:space="preserve">لا يغيّر التطبيق الرمز ولا علامتي النظام والقفل ولا مفتاح البذرة.</w:t>
      </w:r>
    </w:p>
    <w:p>
      <w:pPr>
        <w:pStyle w:val="ListParagraph"/>
        <w:numPr>
          <w:ilvl w:val="1"/>
          <w:numId w:val="2"/>
        </w:numPr>
        <w:bidi/>
        <w:spacing w:after="70" w:before="0" w:line="300"/>
      </w:pPr>
      <w:r>
        <w:rPr>
          <w:rFonts w:ascii="Arial" w:cs="Arial" w:eastAsia="Arial" w:hAnsi="Arial"/>
          <w:b w:val="false"/>
          <w:bCs w:val="false"/>
          <w:sz w:val="21"/>
          <w:szCs w:val="21"/>
          <w:rtl/>
        </w:rPr>
        <w:t xml:space="preserve">الصف النظامي أو المقفل لا يأتي إلا من الحزم.</w:t>
      </w:r>
    </w:p>
    <w:p>
      <w:pPr>
        <w:pStyle w:val="ListParagraph"/>
        <w:numPr>
          <w:ilvl w:val="1"/>
          <w:numId w:val="2"/>
        </w:numPr>
        <w:bidi/>
        <w:spacing w:after="70" w:before="0" w:line="300"/>
      </w:pPr>
      <w:r>
        <w:rPr>
          <w:rFonts w:ascii="Arial" w:cs="Arial" w:eastAsia="Arial" w:hAnsi="Arial"/>
          <w:b w:val="false"/>
          <w:bCs w:val="false"/>
          <w:sz w:val="21"/>
          <w:szCs w:val="21"/>
          <w:rtl/>
        </w:rPr>
        <w:t xml:space="preserve">القائمة المغلقة لا يُضاف إليها بند.</w:t>
      </w:r>
    </w:p>
    <w:p>
      <w:pPr>
        <w:bidi/>
        <w:spacing w:after="60" w:before="0"/>
      </w:pPr>
    </w:p>
    <w:p>
      <w:pPr>
        <w:pStyle w:val="Heading2"/>
        <w:bidi/>
      </w:pPr>
      <w:bookmarkStart w:name="_sec5" w:id="5"/>
      <w:r>
        <w:rPr>
          <w:rFonts w:ascii="Arial" w:cs="Arial" w:eastAsia="Arial" w:hAnsi="Arial"/>
          <w:b/>
          <w:bCs/>
          <w:color w:val="2B5C8A"/>
          <w:sz w:val="26"/>
          <w:szCs w:val="26"/>
          <w:rtl/>
        </w:rPr>
        <w:t xml:space="preserve">3.2 المستندات والشركات (S1-B)</w:t>
      </w:r>
      <w:bookmarkEnd w:id="5"/>
    </w:p>
    <w:p>
      <w:pPr>
        <w:pStyle w:val="ListParagraph"/>
        <w:numPr>
          <w:ilvl w:val="0"/>
          <w:numId w:val="2"/>
        </w:numPr>
        <w:bidi/>
        <w:spacing w:after="70" w:before="0" w:line="300"/>
      </w:pPr>
      <w:r>
        <w:rPr>
          <w:rFonts w:ascii="Arial" w:cs="Arial" w:eastAsia="Arial" w:hAnsi="Arial"/>
          <w:b/>
          <w:bCs/>
          <w:sz w:val="21"/>
          <w:szCs w:val="21"/>
          <w:rtl/>
        </w:rPr>
        <w:t xml:space="preserve">المخزن.</w:t>
      </w:r>
      <w:r>
        <w:rPr>
          <w:rFonts w:ascii="Arial" w:cs="Arial" w:eastAsia="Arial" w:hAnsi="Arial"/>
          <w:b w:val="false"/>
          <w:bCs w:val="false"/>
          <w:sz w:val="21"/>
          <w:szCs w:val="21"/>
          <w:rtl/>
        </w:rPr>
        <w:t xml:space="preserve"> الملف مشفّر بقطع AES-256-GCM بمفتاح الملفات للمشترك.</w:t>
      </w:r>
    </w:p>
    <w:p>
      <w:pPr>
        <w:pStyle w:val="ListParagraph"/>
        <w:numPr>
          <w:ilvl w:val="0"/>
          <w:numId w:val="2"/>
        </w:numPr>
        <w:bidi/>
        <w:spacing w:after="70" w:before="0" w:line="300"/>
      </w:pPr>
      <w:r>
        <w:rPr>
          <w:rFonts w:ascii="Arial" w:cs="Arial" w:eastAsia="Arial" w:hAnsi="Arial"/>
          <w:b/>
          <w:bCs/>
          <w:sz w:val="21"/>
          <w:szCs w:val="21"/>
          <w:rtl/>
        </w:rPr>
        <w:t xml:space="preserve">الفحص.</w:t>
      </w:r>
      <w:r>
        <w:rPr>
          <w:rFonts w:ascii="Arial" w:cs="Arial" w:eastAsia="Arial" w:hAnsi="Arial"/>
          <w:b w:val="false"/>
          <w:bCs w:val="false"/>
          <w:sz w:val="21"/>
          <w:szCs w:val="21"/>
          <w:rtl/>
        </w:rPr>
        <w:t xml:space="preserve"> يُعرف النوع من المحتوى لا من الاسم، ويُفحص الملف من البرمجيات الخبيثة.</w:t>
      </w:r>
    </w:p>
    <w:p>
      <w:pPr>
        <w:pStyle w:val="ListParagraph"/>
        <w:numPr>
          <w:ilvl w:val="0"/>
          <w:numId w:val="2"/>
        </w:numPr>
        <w:bidi/>
        <w:spacing w:after="70" w:before="0" w:line="300"/>
      </w:pPr>
      <w:r>
        <w:rPr>
          <w:rFonts w:ascii="Arial" w:cs="Arial" w:eastAsia="Arial" w:hAnsi="Arial"/>
          <w:b/>
          <w:bCs/>
          <w:sz w:val="21"/>
          <w:szCs w:val="21"/>
          <w:rtl/>
        </w:rPr>
        <w:t xml:space="preserve">المستند الحساس.</w:t>
      </w:r>
      <w:r>
        <w:rPr>
          <w:rFonts w:ascii="Arial" w:cs="Arial" w:eastAsia="Arial" w:hAnsi="Arial"/>
          <w:b w:val="false"/>
          <w:bCs w:val="false"/>
          <w:sz w:val="21"/>
          <w:szCs w:val="21"/>
          <w:rtl/>
        </w:rPr>
        <w:t xml:space="preserve"> لا يُعرض إلا لحامل صلاحيته.</w:t>
      </w:r>
    </w:p>
    <w:p>
      <w:pPr>
        <w:pStyle w:val="ListParagraph"/>
        <w:numPr>
          <w:ilvl w:val="0"/>
          <w:numId w:val="2"/>
        </w:numPr>
        <w:bidi/>
        <w:spacing w:after="70" w:before="0" w:line="300"/>
      </w:pPr>
      <w:r>
        <w:rPr>
          <w:rFonts w:ascii="Arial" w:cs="Arial" w:eastAsia="Arial" w:hAnsi="Arial"/>
          <w:b/>
          <w:bCs/>
          <w:sz w:val="21"/>
          <w:szCs w:val="21"/>
          <w:rtl/>
        </w:rPr>
        <w:t xml:space="preserve">الشركة.</w:t>
      </w:r>
      <w:r>
        <w:rPr>
          <w:rFonts w:ascii="Arial" w:cs="Arial" w:eastAsia="Arial" w:hAnsi="Arial"/>
          <w:b w:val="false"/>
          <w:bCs w:val="false"/>
          <w:sz w:val="21"/>
          <w:szCs w:val="21"/>
          <w:rtl/>
        </w:rPr>
        <w:t xml:space="preserve"> تُنشأ معها جهتها المرآة في الأطراف. ولها شجرة بلا حلقات، وسنة مالية، ونسب ضريبة، وجهات اتصال، وأرشفة.</w:t>
      </w:r>
    </w:p>
    <w:p>
      <w:pPr>
        <w:bidi/>
        <w:spacing w:after="60" w:before="0"/>
      </w:pPr>
    </w:p>
    <w:p>
      <w:pPr>
        <w:pStyle w:val="Heading2"/>
        <w:bidi/>
      </w:pPr>
      <w:bookmarkStart w:name="_sec6" w:id="6"/>
      <w:r>
        <w:rPr>
          <w:rFonts w:ascii="Arial" w:cs="Arial" w:eastAsia="Arial" w:hAnsi="Arial"/>
          <w:b/>
          <w:bCs/>
          <w:color w:val="2B5C8A"/>
          <w:sz w:val="26"/>
          <w:szCs w:val="26"/>
          <w:rtl/>
        </w:rPr>
        <w:t xml:space="preserve">3.3 الأشخاص والجهات (S1-C)</w:t>
      </w:r>
      <w:bookmarkEnd w:id="6"/>
    </w:p>
    <w:p>
      <w:pPr>
        <w:pStyle w:val="ListParagraph"/>
        <w:numPr>
          <w:ilvl w:val="0"/>
          <w:numId w:val="2"/>
        </w:numPr>
        <w:bidi/>
        <w:spacing w:after="70" w:before="0" w:line="300"/>
      </w:pPr>
      <w:r>
        <w:rPr>
          <w:rFonts w:ascii="Arial" w:cs="Arial" w:eastAsia="Arial" w:hAnsi="Arial"/>
          <w:b/>
          <w:bCs/>
          <w:sz w:val="21"/>
          <w:szCs w:val="21"/>
          <w:rtl/>
        </w:rPr>
        <w:t xml:space="preserve">رقم الهوية.</w:t>
      </w:r>
    </w:p>
    <w:p>
      <w:pPr>
        <w:pStyle w:val="ListParagraph"/>
        <w:numPr>
          <w:ilvl w:val="1"/>
          <w:numId w:val="2"/>
        </w:numPr>
        <w:bidi/>
        <w:spacing w:after="70" w:before="0" w:line="300"/>
      </w:pPr>
      <w:r>
        <w:rPr>
          <w:rFonts w:ascii="Arial" w:cs="Arial" w:eastAsia="Arial" w:hAnsi="Arial"/>
          <w:b w:val="false"/>
          <w:bCs w:val="false"/>
          <w:sz w:val="21"/>
          <w:szCs w:val="21"/>
          <w:rtl/>
        </w:rPr>
        <w:t xml:space="preserve">مشفّر ومقنَّع بآخر أربع خانات.</w:t>
      </w:r>
    </w:p>
    <w:p>
      <w:pPr>
        <w:pStyle w:val="ListParagraph"/>
        <w:numPr>
          <w:ilvl w:val="1"/>
          <w:numId w:val="2"/>
        </w:numPr>
        <w:bidi/>
        <w:spacing w:after="70" w:before="0" w:line="300"/>
      </w:pPr>
      <w:r>
        <w:rPr>
          <w:rFonts w:ascii="Arial" w:cs="Arial" w:eastAsia="Arial" w:hAnsi="Arial"/>
          <w:b w:val="false"/>
          <w:bCs w:val="false"/>
          <w:sz w:val="21"/>
          <w:szCs w:val="21"/>
          <w:rtl/>
        </w:rPr>
        <w:t xml:space="preserve">يُبحث عنه بفهرس أعمى دون فك التشفير.</w:t>
      </w:r>
    </w:p>
    <w:p>
      <w:pPr>
        <w:pStyle w:val="ListParagraph"/>
        <w:numPr>
          <w:ilvl w:val="0"/>
          <w:numId w:val="2"/>
        </w:numPr>
        <w:bidi/>
        <w:spacing w:after="70" w:before="0" w:line="300"/>
      </w:pPr>
      <w:r>
        <w:rPr>
          <w:rFonts w:ascii="Arial" w:cs="Arial" w:eastAsia="Arial" w:hAnsi="Arial"/>
          <w:b/>
          <w:bCs/>
          <w:sz w:val="21"/>
          <w:szCs w:val="21"/>
          <w:rtl/>
        </w:rPr>
        <w:t xml:space="preserve">الكشف.</w:t>
      </w:r>
      <w:r>
        <w:rPr>
          <w:rFonts w:ascii="Arial" w:cs="Arial" w:eastAsia="Arial" w:hAnsi="Arial"/>
          <w:b w:val="false"/>
          <w:bCs w:val="false"/>
          <w:sz w:val="21"/>
          <w:szCs w:val="21"/>
          <w:rtl/>
        </w:rPr>
        <w:t xml:space="preserve"> بصلاحية، ويُسجَّل في سجل الوصول الحساس.</w:t>
      </w:r>
    </w:p>
    <w:p>
      <w:pPr>
        <w:pStyle w:val="ListParagraph"/>
        <w:numPr>
          <w:ilvl w:val="0"/>
          <w:numId w:val="2"/>
        </w:numPr>
        <w:bidi/>
        <w:spacing w:after="70" w:before="0" w:line="300"/>
      </w:pPr>
      <w:r>
        <w:rPr>
          <w:rFonts w:ascii="Arial" w:cs="Arial" w:eastAsia="Arial" w:hAnsi="Arial"/>
          <w:b/>
          <w:bCs/>
          <w:sz w:val="21"/>
          <w:szCs w:val="21"/>
          <w:rtl/>
        </w:rPr>
        <w:t xml:space="preserve">التجديد.</w:t>
      </w:r>
      <w:r>
        <w:rPr>
          <w:rFonts w:ascii="Arial" w:cs="Arial" w:eastAsia="Arial" w:hAnsi="Arial"/>
          <w:b w:val="false"/>
          <w:bCs w:val="false"/>
          <w:sz w:val="21"/>
          <w:szCs w:val="21"/>
          <w:rtl/>
        </w:rPr>
        <w:t xml:space="preserve"> وثيقة جديدة تحل محل القديمة، والقديمة تبقى في السجل.</w:t>
      </w:r>
    </w:p>
    <w:p>
      <w:pPr>
        <w:pStyle w:val="ListParagraph"/>
        <w:numPr>
          <w:ilvl w:val="0"/>
          <w:numId w:val="2"/>
        </w:numPr>
        <w:bidi/>
        <w:spacing w:after="70" w:before="0" w:line="300"/>
      </w:pPr>
      <w:r>
        <w:rPr>
          <w:rFonts w:ascii="Arial" w:cs="Arial" w:eastAsia="Arial" w:hAnsi="Arial"/>
          <w:b/>
          <w:bCs/>
          <w:sz w:val="21"/>
          <w:szCs w:val="21"/>
          <w:rtl/>
        </w:rPr>
        <w:t xml:space="preserve">الدمج.</w:t>
      </w:r>
      <w:r>
        <w:rPr>
          <w:rFonts w:ascii="Arial" w:cs="Arial" w:eastAsia="Arial" w:hAnsi="Arial"/>
          <w:b w:val="false"/>
          <w:bCs w:val="false"/>
          <w:sz w:val="21"/>
          <w:szCs w:val="21"/>
          <w:rtl/>
        </w:rPr>
        <w:t xml:space="preserve"> ينقل كل المراجع إلى الطرف الباقي في معاملة واحدة.</w:t>
      </w:r>
    </w:p>
    <w:p>
      <w:pPr>
        <w:bidi/>
        <w:spacing w:after="60" w:before="0"/>
      </w:pPr>
    </w:p>
    <w:p>
      <w:pPr>
        <w:pStyle w:val="Heading2"/>
        <w:bidi/>
      </w:pPr>
      <w:bookmarkStart w:name="_sec7" w:id="7"/>
      <w:r>
        <w:rPr>
          <w:rFonts w:ascii="Arial" w:cs="Arial" w:eastAsia="Arial" w:hAnsi="Arial"/>
          <w:b/>
          <w:bCs/>
          <w:color w:val="2B5C8A"/>
          <w:sz w:val="26"/>
          <w:szCs w:val="26"/>
          <w:rtl/>
        </w:rPr>
        <w:t xml:space="preserve">3.4 البنوك والحسابات وأسعار الأساس (S1-D)</w:t>
      </w:r>
      <w:bookmarkEnd w:id="7"/>
    </w:p>
    <w:p>
      <w:pPr>
        <w:pStyle w:val="ListParagraph"/>
        <w:numPr>
          <w:ilvl w:val="0"/>
          <w:numId w:val="2"/>
        </w:numPr>
        <w:bidi/>
        <w:spacing w:after="70" w:before="0" w:line="300"/>
      </w:pPr>
      <w:r>
        <w:rPr>
          <w:rFonts w:ascii="Arial" w:cs="Arial" w:eastAsia="Arial" w:hAnsi="Arial"/>
          <w:b/>
          <w:bCs/>
          <w:sz w:val="21"/>
          <w:szCs w:val="21"/>
          <w:rtl/>
        </w:rPr>
        <w:t xml:space="preserve">المنشأة.</w:t>
      </w:r>
    </w:p>
    <w:p>
      <w:pPr>
        <w:pStyle w:val="ListParagraph"/>
        <w:numPr>
          <w:ilvl w:val="1"/>
          <w:numId w:val="2"/>
        </w:numPr>
        <w:bidi/>
        <w:spacing w:after="70" w:before="0" w:line="300"/>
      </w:pPr>
      <w:r>
        <w:rPr>
          <w:rFonts w:ascii="Arial" w:cs="Arial" w:eastAsia="Arial" w:hAnsi="Arial"/>
          <w:b w:val="false"/>
          <w:bCs w:val="false"/>
          <w:sz w:val="21"/>
          <w:szCs w:val="21"/>
          <w:rtl/>
        </w:rPr>
        <w:t xml:space="preserve">المحلي والأجنبي مشتق من دولة المشترك.</w:t>
      </w:r>
    </w:p>
    <w:p>
      <w:pPr>
        <w:pStyle w:val="ListParagraph"/>
        <w:numPr>
          <w:ilvl w:val="1"/>
          <w:numId w:val="2"/>
        </w:numPr>
        <w:bidi/>
        <w:spacing w:after="70" w:before="0" w:line="300"/>
      </w:pPr>
      <w:r>
        <w:rPr>
          <w:rFonts w:ascii="Arial" w:cs="Arial" w:eastAsia="Arial" w:hAnsi="Arial"/>
          <w:b w:val="false"/>
          <w:bCs w:val="false"/>
          <w:sz w:val="21"/>
          <w:szCs w:val="21"/>
          <w:rtl/>
        </w:rPr>
        <w:t xml:space="preserve">رمز BIC من 8 أو 11 خانة.</w:t>
      </w:r>
    </w:p>
    <w:p>
      <w:pPr>
        <w:pStyle w:val="ListParagraph"/>
        <w:numPr>
          <w:ilvl w:val="1"/>
          <w:numId w:val="2"/>
        </w:numPr>
        <w:bidi/>
        <w:spacing w:after="70" w:before="0" w:line="300"/>
      </w:pPr>
      <w:r>
        <w:rPr>
          <w:rFonts w:ascii="Arial" w:cs="Arial" w:eastAsia="Arial" w:hAnsi="Arial"/>
          <w:b w:val="false"/>
          <w:bCs w:val="false"/>
          <w:sz w:val="21"/>
          <w:szCs w:val="21"/>
          <w:rtl/>
        </w:rPr>
        <w:t xml:space="preserve">الممول الفرد مربوط بطرف.</w:t>
      </w:r>
    </w:p>
    <w:p>
      <w:pPr>
        <w:pStyle w:val="ListParagraph"/>
        <w:numPr>
          <w:ilvl w:val="0"/>
          <w:numId w:val="2"/>
        </w:numPr>
        <w:bidi/>
        <w:spacing w:after="70" w:before="0" w:line="300"/>
      </w:pPr>
      <w:r>
        <w:rPr>
          <w:rFonts w:ascii="Arial" w:cs="Arial" w:eastAsia="Arial" w:hAnsi="Arial"/>
          <w:b/>
          <w:bCs/>
          <w:sz w:val="21"/>
          <w:szCs w:val="21"/>
          <w:rtl/>
        </w:rPr>
        <w:t xml:space="preserve">الوحدات.</w:t>
      </w:r>
      <w:r>
        <w:rPr>
          <w:rFonts w:ascii="Arial" w:cs="Arial" w:eastAsia="Arial" w:hAnsi="Arial"/>
          <w:b w:val="false"/>
          <w:bCs w:val="false"/>
          <w:sz w:val="21"/>
          <w:szCs w:val="21"/>
          <w:rtl/>
        </w:rPr>
        <w:t xml:space="preserve"> أربعة مستويات على الأكثر. القسم تحت إدارة أو فرع، والإدارة تحت فرع أو الجذر.</w:t>
      </w:r>
    </w:p>
    <w:p>
      <w:pPr>
        <w:pStyle w:val="ListParagraph"/>
        <w:numPr>
          <w:ilvl w:val="0"/>
          <w:numId w:val="2"/>
        </w:numPr>
        <w:bidi/>
        <w:spacing w:after="70" w:before="0" w:line="300"/>
      </w:pPr>
      <w:r>
        <w:rPr>
          <w:rFonts w:ascii="Arial" w:cs="Arial" w:eastAsia="Arial" w:hAnsi="Arial"/>
          <w:b/>
          <w:bCs/>
          <w:sz w:val="21"/>
          <w:szCs w:val="21"/>
          <w:rtl/>
        </w:rPr>
        <w:t xml:space="preserve">جهات الاتصال.</w:t>
      </w:r>
    </w:p>
    <w:p>
      <w:pPr>
        <w:pStyle w:val="ListParagraph"/>
        <w:numPr>
          <w:ilvl w:val="1"/>
          <w:numId w:val="2"/>
        </w:numPr>
        <w:bidi/>
        <w:spacing w:after="70" w:before="0" w:line="300"/>
      </w:pPr>
      <w:r>
        <w:rPr>
          <w:rFonts w:ascii="Arial" w:cs="Arial" w:eastAsia="Arial" w:hAnsi="Arial"/>
          <w:b w:val="false"/>
          <w:bCs w:val="false"/>
          <w:sz w:val="21"/>
          <w:szCs w:val="21"/>
          <w:rtl/>
        </w:rPr>
        <w:t xml:space="preserve">لكل جهة هاتف أو جوال أو بريد على الأقل.</w:t>
      </w:r>
    </w:p>
    <w:p>
      <w:pPr>
        <w:pStyle w:val="ListParagraph"/>
        <w:numPr>
          <w:ilvl w:val="1"/>
          <w:numId w:val="2"/>
        </w:numPr>
        <w:bidi/>
        <w:spacing w:after="70" w:before="0" w:line="300"/>
      </w:pPr>
      <w:r>
        <w:rPr>
          <w:rFonts w:ascii="Arial" w:cs="Arial" w:eastAsia="Arial" w:hAnsi="Arial"/>
          <w:b w:val="false"/>
          <w:bCs w:val="false"/>
          <w:sz w:val="21"/>
          <w:szCs w:val="21"/>
          <w:rtl/>
        </w:rPr>
        <w:t xml:space="preserve">«يتبع لـ» بلا حلقات.</w:t>
      </w:r>
    </w:p>
    <w:p>
      <w:pPr>
        <w:pStyle w:val="ListParagraph"/>
        <w:numPr>
          <w:ilvl w:val="1"/>
          <w:numId w:val="2"/>
        </w:numPr>
        <w:bidi/>
        <w:spacing w:after="70" w:before="0" w:line="300"/>
      </w:pPr>
      <w:r>
        <w:rPr>
          <w:rFonts w:ascii="Arial" w:cs="Arial" w:eastAsia="Arial" w:hAnsi="Arial"/>
          <w:b w:val="false"/>
          <w:bCs w:val="false"/>
          <w:sz w:val="21"/>
          <w:szCs w:val="21"/>
          <w:rtl/>
        </w:rPr>
        <w:t xml:space="preserve">تُرقّى الجهة إلى طرف مرة واحدة في المنشأة (V-INS-07)، وتتبع الطرف إن دُمج.</w:t>
      </w:r>
    </w:p>
    <w:p>
      <w:pPr>
        <w:pStyle w:val="ListParagraph"/>
        <w:numPr>
          <w:ilvl w:val="1"/>
          <w:numId w:val="2"/>
        </w:numPr>
        <w:bidi/>
        <w:spacing w:after="70" w:before="0" w:line="300"/>
      </w:pPr>
      <w:r>
        <w:rPr>
          <w:rFonts w:ascii="Arial" w:cs="Arial" w:eastAsia="Arial" w:hAnsi="Arial"/>
          <w:b w:val="false"/>
          <w:bCs w:val="false"/>
          <w:sz w:val="21"/>
          <w:szCs w:val="21"/>
          <w:rtl/>
        </w:rPr>
        <w:t xml:space="preserve">تعطيل جهة افتراضية لمنتجات يطلب بديلًا لكل منتج، ومديرًا لمن يتبعها.</w:t>
      </w:r>
    </w:p>
    <w:p>
      <w:pPr>
        <w:pStyle w:val="ListParagraph"/>
        <w:numPr>
          <w:ilvl w:val="0"/>
          <w:numId w:val="2"/>
        </w:numPr>
        <w:bidi/>
        <w:spacing w:after="70" w:before="0" w:line="300"/>
      </w:pPr>
      <w:r>
        <w:rPr>
          <w:rFonts w:ascii="Arial" w:cs="Arial" w:eastAsia="Arial" w:hAnsi="Arial"/>
          <w:b/>
          <w:bCs/>
          <w:sz w:val="21"/>
          <w:szCs w:val="21"/>
          <w:rtl/>
        </w:rPr>
        <w:t xml:space="preserve">العلاقة.</w:t>
      </w:r>
    </w:p>
    <w:p>
      <w:pPr>
        <w:pStyle w:val="ListParagraph"/>
        <w:numPr>
          <w:ilvl w:val="1"/>
          <w:numId w:val="2"/>
        </w:numPr>
        <w:bidi/>
        <w:spacing w:after="70" w:before="0" w:line="300"/>
      </w:pPr>
      <w:r>
        <w:rPr>
          <w:rFonts w:ascii="Arial" w:cs="Arial" w:eastAsia="Arial" w:hAnsi="Arial"/>
          <w:b w:val="false"/>
          <w:bCs w:val="false"/>
          <w:sz w:val="21"/>
          <w:szCs w:val="21"/>
          <w:rtl/>
        </w:rPr>
        <w:t xml:space="preserve">علاقة واحدة لكل شركة ومنشأة.</w:t>
      </w:r>
    </w:p>
    <w:p>
      <w:pPr>
        <w:pStyle w:val="ListParagraph"/>
        <w:numPr>
          <w:ilvl w:val="1"/>
          <w:numId w:val="2"/>
        </w:numPr>
        <w:bidi/>
        <w:spacing w:after="70" w:before="0" w:line="300"/>
      </w:pPr>
      <w:r>
        <w:rPr>
          <w:rFonts w:ascii="Arial" w:cs="Arial" w:eastAsia="Arial" w:hAnsi="Arial"/>
          <w:b w:val="false"/>
          <w:bCs w:val="false"/>
          <w:sz w:val="21"/>
          <w:szCs w:val="21"/>
          <w:rtl/>
        </w:rPr>
        <w:t xml:space="preserve">تكرار رقم العميل تحذير لا منع.</w:t>
      </w:r>
    </w:p>
    <w:p>
      <w:pPr>
        <w:pStyle w:val="ListParagraph"/>
        <w:numPr>
          <w:ilvl w:val="1"/>
          <w:numId w:val="2"/>
        </w:numPr>
        <w:bidi/>
        <w:spacing w:after="70" w:before="0" w:line="300"/>
      </w:pPr>
      <w:r>
        <w:rPr>
          <w:rFonts w:ascii="Arial" w:cs="Arial" w:eastAsia="Arial" w:hAnsi="Arial"/>
          <w:b w:val="false"/>
          <w:bCs w:val="false"/>
          <w:sz w:val="21"/>
          <w:szCs w:val="21"/>
          <w:rtl/>
        </w:rPr>
        <w:t xml:space="preserve">لا تُغلق وفيها حساب غير مغلق.</w:t>
      </w:r>
    </w:p>
    <w:p>
      <w:pPr>
        <w:pStyle w:val="ListParagraph"/>
        <w:numPr>
          <w:ilvl w:val="0"/>
          <w:numId w:val="2"/>
        </w:numPr>
        <w:bidi/>
        <w:spacing w:after="70" w:before="0" w:line="300"/>
      </w:pPr>
      <w:r>
        <w:rPr>
          <w:rFonts w:ascii="Arial" w:cs="Arial" w:eastAsia="Arial" w:hAnsi="Arial"/>
          <w:b/>
          <w:bCs/>
          <w:sz w:val="21"/>
          <w:szCs w:val="21"/>
          <w:rtl/>
        </w:rPr>
        <w:t xml:space="preserve">التغطية.</w:t>
      </w:r>
      <w:r>
        <w:rPr>
          <w:rFonts w:ascii="Arial" w:cs="Arial" w:eastAsia="Arial" w:hAnsi="Arial"/>
          <w:b w:val="false"/>
          <w:bCs w:val="false"/>
          <w:sz w:val="21"/>
          <w:szCs w:val="21"/>
          <w:rtl/>
        </w:rPr>
        <w:t xml:space="preserve"> الرتبة الافتراضية من الدور، والاستبدال ينهي القديم في اليوم السابق.</w:t>
      </w:r>
    </w:p>
    <w:p>
      <w:pPr>
        <w:pStyle w:val="ListParagraph"/>
        <w:numPr>
          <w:ilvl w:val="0"/>
          <w:numId w:val="2"/>
        </w:numPr>
        <w:bidi/>
        <w:spacing w:after="70" w:before="0" w:line="300"/>
      </w:pPr>
      <w:r>
        <w:rPr>
          <w:rFonts w:ascii="Arial" w:cs="Arial" w:eastAsia="Arial" w:hAnsi="Arial"/>
          <w:b/>
          <w:bCs/>
          <w:sz w:val="21"/>
          <w:szCs w:val="21"/>
          <w:rtl/>
        </w:rPr>
        <w:t xml:space="preserve">المنتجات والقنوات.</w:t>
      </w:r>
      <w:r>
        <w:rPr>
          <w:rFonts w:ascii="Arial" w:cs="Arial" w:eastAsia="Arial" w:hAnsi="Arial"/>
          <w:b w:val="false"/>
          <w:bCs w:val="false"/>
          <w:sz w:val="21"/>
          <w:szCs w:val="21"/>
          <w:rtl/>
        </w:rPr>
        <w:t xml:space="preserve"> القناة بوابة البنك أو نموذج يدوي. والربط المباشر مرفوض حتى يوجد محوّل.</w:t>
      </w:r>
    </w:p>
    <w:p>
      <w:pPr>
        <w:pStyle w:val="ListParagraph"/>
        <w:numPr>
          <w:ilvl w:val="0"/>
          <w:numId w:val="2"/>
        </w:numPr>
        <w:bidi/>
        <w:spacing w:after="70" w:before="0" w:line="300"/>
      </w:pPr>
      <w:r>
        <w:rPr>
          <w:rFonts w:ascii="Arial" w:cs="Arial" w:eastAsia="Arial" w:hAnsi="Arial"/>
          <w:b/>
          <w:bCs/>
          <w:sz w:val="21"/>
          <w:szCs w:val="21"/>
          <w:rtl/>
        </w:rPr>
        <w:t xml:space="preserve">الخدمتان.</w:t>
      </w:r>
    </w:p>
    <w:p>
      <w:pPr>
        <w:pStyle w:val="ListParagraph"/>
        <w:numPr>
          <w:ilvl w:val="1"/>
          <w:numId w:val="2"/>
        </w:numPr>
        <w:bidi/>
        <w:spacing w:after="70" w:before="0" w:line="300"/>
      </w:pPr>
      <w:r>
        <w:rPr>
          <w:rFonts w:ascii="Arial" w:cs="Arial" w:eastAsia="Arial" w:hAnsi="Arial"/>
          <w:b w:val="false"/>
          <w:bCs w:val="false"/>
          <w:sz w:val="21"/>
          <w:szCs w:val="21"/>
          <w:rtl/>
        </w:rPr>
        <w:t xml:space="preserve">SVC-01 تعيد الجهة الفعلية: الافتراضية، ثم مدير العلاقة، ثم لا أحد.</w:t>
      </w:r>
    </w:p>
    <w:p>
      <w:pPr>
        <w:pStyle w:val="ListParagraph"/>
        <w:numPr>
          <w:ilvl w:val="1"/>
          <w:numId w:val="2"/>
        </w:numPr>
        <w:bidi/>
        <w:spacing w:after="70" w:before="0" w:line="300"/>
      </w:pPr>
      <w:r>
        <w:rPr>
          <w:rFonts w:ascii="Arial" w:cs="Arial" w:eastAsia="Arial" w:hAnsi="Arial"/>
          <w:b w:val="false"/>
          <w:bCs w:val="false"/>
          <w:sz w:val="21"/>
          <w:szCs w:val="21"/>
          <w:rtl/>
        </w:rPr>
        <w:t xml:space="preserve">SVC-02 تعيد القناة المضبوطة، أو النموذج اليدوي افتراضيًا.</w:t>
      </w:r>
    </w:p>
    <w:p>
      <w:pPr>
        <w:pStyle w:val="ListParagraph"/>
        <w:numPr>
          <w:ilvl w:val="0"/>
          <w:numId w:val="2"/>
        </w:numPr>
        <w:bidi/>
        <w:spacing w:after="70" w:before="0" w:line="300"/>
      </w:pPr>
      <w:r>
        <w:rPr>
          <w:rFonts w:ascii="Arial" w:cs="Arial" w:eastAsia="Arial" w:hAnsi="Arial"/>
          <w:b/>
          <w:bCs/>
          <w:sz w:val="21"/>
          <w:szCs w:val="21"/>
          <w:rtl/>
        </w:rPr>
        <w:t xml:space="preserve">معالج إعداد البنك.</w:t>
      </w:r>
    </w:p>
    <w:p>
      <w:pPr>
        <w:pStyle w:val="ListParagraph"/>
        <w:numPr>
          <w:ilvl w:val="1"/>
          <w:numId w:val="2"/>
        </w:numPr>
        <w:bidi/>
        <w:spacing w:after="70" w:before="0" w:line="300"/>
      </w:pPr>
      <w:r>
        <w:rPr>
          <w:rFonts w:ascii="Arial" w:cs="Arial" w:eastAsia="Arial" w:hAnsi="Arial"/>
          <w:b w:val="false"/>
          <w:bCs w:val="false"/>
          <w:sz w:val="21"/>
          <w:szCs w:val="21"/>
          <w:rtl/>
        </w:rPr>
        <w:t xml:space="preserve">المنشأة، ثم الشركات، ثم جهات الاتصال والتغطية، ثم مصفوفة المنتجات، ثم المراجعة.</w:t>
      </w:r>
    </w:p>
    <w:p>
      <w:pPr>
        <w:pStyle w:val="ListParagraph"/>
        <w:numPr>
          <w:ilvl w:val="1"/>
          <w:numId w:val="2"/>
        </w:numPr>
        <w:bidi/>
        <w:spacing w:after="70" w:before="0" w:line="300"/>
      </w:pPr>
      <w:r>
        <w:rPr>
          <w:rFonts w:ascii="Arial" w:cs="Arial" w:eastAsia="Arial" w:hAnsi="Arial"/>
          <w:b w:val="false"/>
          <w:bCs w:val="false"/>
          <w:sz w:val="21"/>
          <w:szCs w:val="21"/>
          <w:rtl/>
        </w:rPr>
        <w:t xml:space="preserve">كل ذلك في معاملة واحدة: كل شيء أو لا شيء.</w:t>
      </w:r>
    </w:p>
    <w:p>
      <w:pPr>
        <w:pStyle w:val="ListParagraph"/>
        <w:numPr>
          <w:ilvl w:val="1"/>
          <w:numId w:val="2"/>
        </w:numPr>
        <w:bidi/>
        <w:spacing w:after="70" w:before="0" w:line="300"/>
      </w:pPr>
      <w:r>
        <w:rPr>
          <w:rFonts w:ascii="Arial" w:cs="Arial" w:eastAsia="Arial" w:hAnsi="Arial"/>
          <w:b w:val="false"/>
          <w:bCs w:val="false"/>
          <w:sz w:val="21"/>
          <w:szCs w:val="21"/>
          <w:rtl/>
        </w:rPr>
        <w:t xml:space="preserve">المراجعة تشغيل تجريبي يتراجع، فتعرض بالضبط ما سيُنشأ وتحذيراته.</w:t>
      </w:r>
    </w:p>
    <w:p>
      <w:pPr>
        <w:pStyle w:val="ListParagraph"/>
        <w:numPr>
          <w:ilvl w:val="0"/>
          <w:numId w:val="2"/>
        </w:numPr>
        <w:bidi/>
        <w:spacing w:after="70" w:before="0" w:line="300"/>
      </w:pPr>
      <w:r>
        <w:rPr>
          <w:rFonts w:ascii="Arial" w:cs="Arial" w:eastAsia="Arial" w:hAnsi="Arial"/>
          <w:b/>
          <w:bCs/>
          <w:sz w:val="21"/>
          <w:szCs w:val="21"/>
          <w:rtl/>
        </w:rPr>
        <w:t xml:space="preserve">الحسابات البنكية.</w:t>
      </w:r>
    </w:p>
    <w:p>
      <w:pPr>
        <w:pStyle w:val="ListParagraph"/>
        <w:numPr>
          <w:ilvl w:val="1"/>
          <w:numId w:val="2"/>
        </w:numPr>
        <w:bidi/>
        <w:spacing w:after="70" w:before="0" w:line="300"/>
      </w:pPr>
      <w:r>
        <w:rPr>
          <w:rFonts w:ascii="Arial" w:cs="Arial" w:eastAsia="Arial" w:hAnsi="Arial"/>
          <w:b w:val="false"/>
          <w:bCs w:val="false"/>
          <w:sz w:val="21"/>
          <w:szCs w:val="21"/>
          <w:rtl/>
        </w:rPr>
        <w:t xml:space="preserve">الرقم والآيبان مشفّران، ومقنَّعان: </w:t>
      </w:r>
      <w:r>
        <w:rPr>
          <w:rFonts w:ascii="Courier New" w:cs="Courier New" w:eastAsia="Courier New" w:hAnsi="Courier New"/>
          <w:b w:val="false"/>
          <w:bCs w:val="false"/>
          <w:color w:val="1F2937"/>
          <w:sz w:val="18"/>
          <w:szCs w:val="18"/>
          <w:shd w:fill="F1F3F5" w:color="auto" w:val="clear"/>
          <w:rtl/>
        </w:rPr>
        <w:t xml:space="preserve">‎SA•• •••• •••• •••• •••• 3456‎</w:t>
      </w:r>
      <w:r>
        <w:rPr>
          <w:rFonts w:ascii="Arial" w:cs="Arial" w:eastAsia="Arial" w:hAnsi="Arial"/>
          <w:b w:val="false"/>
          <w:bCs w:val="false"/>
          <w:sz w:val="21"/>
          <w:szCs w:val="21"/>
          <w:rtl/>
        </w:rPr>
        <w:t xml:space="preserve">.</w:t>
      </w:r>
    </w:p>
    <w:p>
      <w:pPr>
        <w:pStyle w:val="ListParagraph"/>
        <w:numPr>
          <w:ilvl w:val="1"/>
          <w:numId w:val="2"/>
        </w:numPr>
        <w:bidi/>
        <w:spacing w:after="70" w:before="0" w:line="300"/>
      </w:pPr>
      <w:r>
        <w:rPr>
          <w:rFonts w:ascii="Arial" w:cs="Arial" w:eastAsia="Arial" w:hAnsi="Arial"/>
          <w:b w:val="false"/>
          <w:bCs w:val="false"/>
          <w:sz w:val="21"/>
          <w:szCs w:val="21"/>
          <w:rtl/>
        </w:rPr>
        <w:t xml:space="preserve">فرادتهما بفهرس أعمى: الرقم لكل منشأة، والآيبان لكل مشترك، والمغلق يحجز رقمه.</w:t>
      </w:r>
    </w:p>
    <w:p>
      <w:pPr>
        <w:pStyle w:val="ListParagraph"/>
        <w:numPr>
          <w:ilvl w:val="1"/>
          <w:numId w:val="2"/>
        </w:numPr>
        <w:bidi/>
        <w:spacing w:after="70" w:before="0" w:line="300"/>
      </w:pPr>
      <w:r>
        <w:rPr>
          <w:rFonts w:ascii="Arial" w:cs="Arial" w:eastAsia="Arial" w:hAnsi="Arial"/>
          <w:b w:val="false"/>
          <w:bCs w:val="false"/>
          <w:sz w:val="21"/>
          <w:szCs w:val="21"/>
          <w:rtl/>
        </w:rPr>
        <w:t xml:space="preserve">الآيبان بطول دولته وباقي 97.</w:t>
      </w:r>
    </w:p>
    <w:p>
      <w:pPr>
        <w:pStyle w:val="ListParagraph"/>
        <w:numPr>
          <w:ilvl w:val="1"/>
          <w:numId w:val="2"/>
        </w:numPr>
        <w:bidi/>
        <w:spacing w:after="70" w:before="0" w:line="300"/>
      </w:pPr>
      <w:r>
        <w:rPr>
          <w:rFonts w:ascii="Arial" w:cs="Arial" w:eastAsia="Arial" w:hAnsi="Arial"/>
          <w:b w:val="false"/>
          <w:bCs w:val="false"/>
          <w:sz w:val="21"/>
          <w:szCs w:val="21"/>
          <w:rtl/>
        </w:rPr>
        <w:t xml:space="preserve">الحساب الافتراضي تحت رئيسي من الشركة والمنشأة والعملة نفسها، والرئيسي لا يُغلق قبل افتراضياته.</w:t>
      </w:r>
    </w:p>
    <w:p>
      <w:pPr>
        <w:pStyle w:val="ListParagraph"/>
        <w:numPr>
          <w:ilvl w:val="1"/>
          <w:numId w:val="2"/>
        </w:numPr>
        <w:bidi/>
        <w:spacing w:after="70" w:before="0" w:line="300"/>
      </w:pPr>
      <w:r>
        <w:rPr>
          <w:rFonts w:ascii="Arial" w:cs="Arial" w:eastAsia="Arial" w:hAnsi="Arial"/>
          <w:b w:val="false"/>
          <w:bCs w:val="false"/>
          <w:sz w:val="21"/>
          <w:szCs w:val="21"/>
          <w:rtl/>
        </w:rPr>
        <w:t xml:space="preserve">الكشف بصلاحية </w:t>
      </w:r>
      <w:r>
        <w:rPr>
          <w:rFonts w:ascii="Courier New" w:cs="Courier New" w:eastAsia="Courier New" w:hAnsi="Courier New"/>
          <w:b w:val="false"/>
          <w:bCs w:val="false"/>
          <w:color w:val="1F2937"/>
          <w:sz w:val="18"/>
          <w:szCs w:val="18"/>
          <w:shd w:fill="F1F3F5" w:color="auto" w:val="clear"/>
          <w:rtl/>
        </w:rPr>
        <w:t xml:space="preserve">‎acc.reveal‎</w:t>
      </w:r>
      <w:r>
        <w:rPr>
          <w:rFonts w:ascii="Arial" w:cs="Arial" w:eastAsia="Arial" w:hAnsi="Arial"/>
          <w:b w:val="false"/>
          <w:bCs w:val="false"/>
          <w:sz w:val="21"/>
          <w:szCs w:val="21"/>
          <w:rtl/>
        </w:rPr>
        <w:t xml:space="preserve">، ويُسجَّل الكشف ومحاولته.</w:t>
      </w:r>
    </w:p>
    <w:p>
      <w:pPr>
        <w:pStyle w:val="ListParagraph"/>
        <w:numPr>
          <w:ilvl w:val="0"/>
          <w:numId w:val="2"/>
        </w:numPr>
        <w:bidi/>
        <w:spacing w:after="70" w:before="0" w:line="300"/>
      </w:pPr>
      <w:r>
        <w:rPr>
          <w:rFonts w:ascii="Arial" w:cs="Arial" w:eastAsia="Arial" w:hAnsi="Arial"/>
          <w:b/>
          <w:bCs/>
          <w:sz w:val="21"/>
          <w:szCs w:val="21"/>
          <w:rtl/>
        </w:rPr>
        <w:t xml:space="preserve">أسعار الأساس.</w:t>
      </w:r>
    </w:p>
    <w:p>
      <w:pPr>
        <w:pStyle w:val="ListParagraph"/>
        <w:numPr>
          <w:ilvl w:val="1"/>
          <w:numId w:val="2"/>
        </w:numPr>
        <w:bidi/>
        <w:spacing w:after="70" w:before="0" w:line="300"/>
      </w:pPr>
      <w:r>
        <w:rPr>
          <w:rFonts w:ascii="Arial" w:cs="Arial" w:eastAsia="Arial" w:hAnsi="Arial"/>
          <w:b w:val="false"/>
          <w:bCs w:val="false"/>
          <w:sz w:val="21"/>
          <w:szCs w:val="21"/>
          <w:rtl/>
        </w:rPr>
        <w:t xml:space="preserve">سعر السوق بلا منشأة، والسعر الداخلي لبنك.</w:t>
      </w:r>
    </w:p>
    <w:p>
      <w:pPr>
        <w:pStyle w:val="ListParagraph"/>
        <w:numPr>
          <w:ilvl w:val="1"/>
          <w:numId w:val="2"/>
        </w:numPr>
        <w:bidi/>
        <w:spacing w:after="70" w:before="0" w:line="300"/>
      </w:pPr>
      <w:r>
        <w:rPr>
          <w:rFonts w:ascii="Arial" w:cs="Arial" w:eastAsia="Arial" w:hAnsi="Arial"/>
          <w:b w:val="false"/>
          <w:bCs w:val="false"/>
          <w:sz w:val="21"/>
          <w:szCs w:val="21"/>
          <w:rtl/>
        </w:rPr>
        <w:t xml:space="preserve">الأسماء البديلة (SIBOR للسايبور) تُبحث بلا حساسية حالة.</w:t>
      </w:r>
    </w:p>
    <w:p>
      <w:pPr>
        <w:pStyle w:val="ListParagraph"/>
        <w:numPr>
          <w:ilvl w:val="1"/>
          <w:numId w:val="2"/>
        </w:numPr>
        <w:bidi/>
        <w:spacing w:after="70" w:before="0" w:line="300"/>
      </w:pPr>
      <w:r>
        <w:rPr>
          <w:rFonts w:ascii="Arial" w:cs="Arial" w:eastAsia="Arial" w:hAnsi="Arial"/>
          <w:b w:val="false"/>
          <w:bCs w:val="false"/>
          <w:sz w:val="21"/>
          <w:szCs w:val="21"/>
          <w:rtl/>
        </w:rPr>
        <w:t xml:space="preserve">القيم لا تُحذف. التصحيح صف جديد، والقديم «مستبدل».</w:t>
      </w:r>
    </w:p>
    <w:p>
      <w:pPr>
        <w:pStyle w:val="ListParagraph"/>
        <w:numPr>
          <w:ilvl w:val="1"/>
          <w:numId w:val="2"/>
        </w:numPr>
        <w:bidi/>
        <w:spacing w:after="70" w:before="0" w:line="300"/>
      </w:pPr>
      <w:r>
        <w:rPr>
          <w:rFonts w:ascii="Arial" w:cs="Arial" w:eastAsia="Arial" w:hAnsi="Arial"/>
          <w:b w:val="false"/>
          <w:bCs w:val="false"/>
          <w:sz w:val="21"/>
          <w:szCs w:val="21"/>
          <w:rtl/>
        </w:rPr>
        <w:t xml:space="preserve">SVC-05 تعيد قيمة آخر تاريخ سريان لا يتجاوز التاريخ المطلوب، أو «لا قيمة».</w:t>
      </w:r>
    </w:p>
    <w:p>
      <w:pPr>
        <w:bidi/>
        <w:spacing w:after="60" w:before="0"/>
      </w:pPr>
    </w:p>
    <w:p>
      <w:pPr>
        <w:pStyle w:val="Heading2"/>
        <w:bidi/>
      </w:pPr>
      <w:bookmarkStart w:name="_sec8" w:id="8"/>
      <w:r>
        <w:rPr>
          <w:rFonts w:ascii="Arial" w:cs="Arial" w:eastAsia="Arial" w:hAnsi="Arial"/>
          <w:b/>
          <w:bCs/>
          <w:color w:val="2B5C8A"/>
          <w:sz w:val="26"/>
          <w:szCs w:val="26"/>
          <w:rtl/>
        </w:rPr>
        <w:t xml:space="preserve">3.5 الإشعارات (S1-E)</w:t>
      </w:r>
      <w:bookmarkEnd w:id="8"/>
    </w:p>
    <w:p>
      <w:pPr>
        <w:pStyle w:val="ListParagraph"/>
        <w:numPr>
          <w:ilvl w:val="0"/>
          <w:numId w:val="2"/>
        </w:numPr>
        <w:bidi/>
        <w:spacing w:after="70" w:before="0" w:line="300"/>
      </w:pPr>
      <w:r>
        <w:rPr>
          <w:rFonts w:ascii="Arial" w:cs="Arial" w:eastAsia="Arial" w:hAnsi="Arial"/>
          <w:b/>
          <w:bCs/>
          <w:sz w:val="21"/>
          <w:szCs w:val="21"/>
          <w:rtl/>
        </w:rPr>
        <w:t xml:space="preserve">الطلب.</w:t>
      </w:r>
      <w:r>
        <w:rPr>
          <w:rFonts w:ascii="Arial" w:cs="Arial" w:eastAsia="Arial" w:hAnsi="Arial"/>
          <w:b w:val="false"/>
          <w:bCs w:val="false"/>
          <w:sz w:val="21"/>
          <w:szCs w:val="21"/>
          <w:rtl/>
        </w:rPr>
        <w:t xml:space="preserve"> حدث </w:t>
      </w:r>
      <w:r>
        <w:rPr>
          <w:rFonts w:ascii="Courier New" w:cs="Courier New" w:eastAsia="Courier New" w:hAnsi="Courier New"/>
          <w:b w:val="false"/>
          <w:bCs w:val="false"/>
          <w:color w:val="1F2937"/>
          <w:sz w:val="18"/>
          <w:szCs w:val="18"/>
          <w:shd w:fill="F1F3F5" w:color="auto" w:val="clear"/>
          <w:rtl/>
        </w:rPr>
        <w:t xml:space="preserve">‎notification.requested‎</w:t>
      </w:r>
      <w:r>
        <w:rPr>
          <w:rFonts w:ascii="Arial" w:cs="Arial" w:eastAsia="Arial" w:hAnsi="Arial"/>
          <w:b w:val="false"/>
          <w:bCs w:val="false"/>
          <w:sz w:val="21"/>
          <w:szCs w:val="21"/>
          <w:rtl/>
        </w:rPr>
        <w:t xml:space="preserve"> في صندوق الصادر، في معاملة التغيير نفسها. فيه رمز الحدث وهدفه وشركته ومفتاح منع التكرار وقيم النص. لا قيمة مقيّدة في القيم أبدًا.</w:t>
      </w:r>
    </w:p>
    <w:p>
      <w:pPr>
        <w:pStyle w:val="ListParagraph"/>
        <w:numPr>
          <w:ilvl w:val="0"/>
          <w:numId w:val="2"/>
        </w:numPr>
        <w:bidi/>
        <w:spacing w:after="70" w:before="0" w:line="300"/>
      </w:pPr>
      <w:r>
        <w:rPr>
          <w:rFonts w:ascii="Arial" w:cs="Arial" w:eastAsia="Arial" w:hAnsi="Arial"/>
          <w:b/>
          <w:bCs/>
          <w:sz w:val="21"/>
          <w:szCs w:val="21"/>
          <w:rtl/>
        </w:rPr>
        <w:t xml:space="preserve">الاستهلاك.</w:t>
      </w:r>
      <w:r>
        <w:rPr>
          <w:rFonts w:ascii="Arial" w:cs="Arial" w:eastAsia="Arial" w:hAnsi="Arial"/>
          <w:b w:val="false"/>
          <w:bCs w:val="false"/>
          <w:sz w:val="21"/>
          <w:szCs w:val="21"/>
          <w:rtl/>
        </w:rPr>
        <w:t xml:space="preserve"> مهمة الصادر تحوّله إشعارات:</w:t>
      </w:r>
    </w:p>
    <w:p>
      <w:pPr>
        <w:pStyle w:val="ListParagraph"/>
        <w:numPr>
          <w:ilvl w:val="1"/>
          <w:numId w:val="2"/>
        </w:numPr>
        <w:bidi/>
        <w:spacing w:after="70" w:before="0" w:line="300"/>
      </w:pPr>
      <w:r>
        <w:rPr>
          <w:rFonts w:ascii="Arial" w:cs="Arial" w:eastAsia="Arial" w:hAnsi="Arial"/>
          <w:b w:val="false"/>
          <w:bCs w:val="false"/>
          <w:sz w:val="21"/>
          <w:szCs w:val="21"/>
          <w:rtl/>
        </w:rPr>
        <w:t xml:space="preserve">المستلمون من قواعد الحدث ومن الطلب نفسه.</w:t>
      </w:r>
    </w:p>
    <w:p>
      <w:pPr>
        <w:pStyle w:val="ListParagraph"/>
        <w:numPr>
          <w:ilvl w:val="1"/>
          <w:numId w:val="2"/>
        </w:numPr>
        <w:bidi/>
        <w:spacing w:after="70" w:before="0" w:line="300"/>
      </w:pPr>
      <w:r>
        <w:rPr>
          <w:rFonts w:ascii="Arial" w:cs="Arial" w:eastAsia="Arial" w:hAnsi="Arial"/>
          <w:b w:val="false"/>
          <w:bCs w:val="false"/>
          <w:sz w:val="21"/>
          <w:szCs w:val="21"/>
          <w:rtl/>
        </w:rPr>
        <w:t xml:space="preserve">الفعّالون فقط، ضمن نطاق الشركة إن طلبت القاعدة، ودون الفاعل.</w:t>
      </w:r>
    </w:p>
    <w:p>
      <w:pPr>
        <w:pStyle w:val="ListParagraph"/>
        <w:numPr>
          <w:ilvl w:val="1"/>
          <w:numId w:val="2"/>
        </w:numPr>
        <w:bidi/>
        <w:spacing w:after="70" w:before="0" w:line="300"/>
      </w:pPr>
      <w:r>
        <w:rPr>
          <w:rFonts w:ascii="Arial" w:cs="Arial" w:eastAsia="Arial" w:hAnsi="Arial"/>
          <w:b w:val="false"/>
          <w:bCs w:val="false"/>
          <w:sz w:val="21"/>
          <w:szCs w:val="21"/>
          <w:rtl/>
        </w:rPr>
        <w:t xml:space="preserve">إشعار واحد لكل مستخدم ومفتاح.</w:t>
      </w:r>
    </w:p>
    <w:p>
      <w:pPr>
        <w:pStyle w:val="ListParagraph"/>
        <w:numPr>
          <w:ilvl w:val="1"/>
          <w:numId w:val="2"/>
        </w:numPr>
        <w:bidi/>
        <w:spacing w:after="70" w:before="0" w:line="300"/>
      </w:pPr>
      <w:r>
        <w:rPr>
          <w:rFonts w:ascii="Arial" w:cs="Arial" w:eastAsia="Arial" w:hAnsi="Arial"/>
          <w:b w:val="false"/>
          <w:bCs w:val="false"/>
          <w:sz w:val="21"/>
          <w:szCs w:val="21"/>
          <w:rtl/>
        </w:rPr>
        <w:t xml:space="preserve">النص بلغة المستلم، ونص المشترك أولًا إن غيّره.</w:t>
      </w:r>
    </w:p>
    <w:p>
      <w:pPr>
        <w:pStyle w:val="ListParagraph"/>
        <w:numPr>
          <w:ilvl w:val="0"/>
          <w:numId w:val="2"/>
        </w:numPr>
        <w:bidi/>
        <w:spacing w:after="70" w:before="0" w:line="300"/>
      </w:pPr>
      <w:r>
        <w:rPr>
          <w:rFonts w:ascii="Arial" w:cs="Arial" w:eastAsia="Arial" w:hAnsi="Arial"/>
          <w:b/>
          <w:bCs/>
          <w:sz w:val="21"/>
          <w:szCs w:val="21"/>
          <w:rtl/>
        </w:rPr>
        <w:t xml:space="preserve">حدث بلا مستهلك.</w:t>
      </w:r>
      <w:r>
        <w:rPr>
          <w:rFonts w:ascii="Arial" w:cs="Arial" w:eastAsia="Arial" w:hAnsi="Arial"/>
          <w:b w:val="false"/>
          <w:bCs w:val="false"/>
          <w:sz w:val="21"/>
          <w:szCs w:val="21"/>
          <w:rtl/>
        </w:rPr>
        <w:t xml:space="preserve"> الأحداث المعروفة بلا مستهلك في S1 مذكورة بأسمائها. وأي اسم آخر يفشل ثم يصبح DEAD، فيُرى ولا يضيع بصمت (S1-GAP-3).</w:t>
      </w:r>
    </w:p>
    <w:p>
      <w:pPr>
        <w:pStyle w:val="ListParagraph"/>
        <w:numPr>
          <w:ilvl w:val="0"/>
          <w:numId w:val="2"/>
        </w:numPr>
        <w:bidi/>
        <w:spacing w:after="70" w:before="0" w:line="300"/>
      </w:pPr>
      <w:r>
        <w:rPr>
          <w:rFonts w:ascii="Arial" w:cs="Arial" w:eastAsia="Arial" w:hAnsi="Arial"/>
          <w:b/>
          <w:bCs/>
          <w:sz w:val="21"/>
          <w:szCs w:val="21"/>
          <w:rtl/>
        </w:rPr>
        <w:t xml:space="preserve">البريد.</w:t>
      </w:r>
      <w:r>
        <w:rPr>
          <w:rFonts w:ascii="Arial" w:cs="Arial" w:eastAsia="Arial" w:hAnsi="Arial"/>
          <w:b w:val="false"/>
          <w:bCs w:val="false"/>
          <w:sz w:val="21"/>
          <w:szCs w:val="21"/>
          <w:rtl/>
        </w:rPr>
        <w:t xml:space="preserve"> مهمة JOB-NTF-DISPATCH ترسله بقالب البريد، وتعيد المحاولة بعد 1 و5 و30 دقيقة وساعتين و12 ساعة. بعد خمس محاولات يُبلَّغ مدير الحساب.</w:t>
      </w:r>
    </w:p>
    <w:p>
      <w:pPr>
        <w:pStyle w:val="ListParagraph"/>
        <w:numPr>
          <w:ilvl w:val="0"/>
          <w:numId w:val="2"/>
        </w:numPr>
        <w:bidi/>
        <w:spacing w:after="70" w:before="0" w:line="300"/>
      </w:pPr>
      <w:r>
        <w:rPr>
          <w:rFonts w:ascii="Arial" w:cs="Arial" w:eastAsia="Arial" w:hAnsi="Arial"/>
          <w:b/>
          <w:bCs/>
          <w:sz w:val="21"/>
          <w:szCs w:val="21"/>
          <w:rtl/>
        </w:rPr>
        <w:t xml:space="preserve">تنبيهات الانتهاء (JOB-NTF-EXPIRY).</w:t>
      </w:r>
      <w:r>
        <w:rPr>
          <w:rFonts w:ascii="Arial" w:cs="Arial" w:eastAsia="Arial" w:hAnsi="Arial"/>
          <w:b w:val="false"/>
          <w:bCs w:val="false"/>
          <w:sz w:val="21"/>
          <w:szCs w:val="21"/>
          <w:rtl/>
        </w:rPr>
        <w:t xml:space="preserve"> يومية:</w:t>
      </w:r>
    </w:p>
    <w:p>
      <w:pPr>
        <w:pStyle w:val="ListParagraph"/>
        <w:numPr>
          <w:ilvl w:val="1"/>
          <w:numId w:val="2"/>
        </w:numPr>
        <w:bidi/>
        <w:spacing w:after="70" w:before="0" w:line="300"/>
      </w:pPr>
      <w:r>
        <w:rPr>
          <w:rFonts w:ascii="Arial" w:cs="Arial" w:eastAsia="Arial" w:hAnsi="Arial"/>
          <w:b w:val="false"/>
          <w:bCs w:val="false"/>
          <w:sz w:val="21"/>
          <w:szCs w:val="21"/>
          <w:rtl/>
        </w:rPr>
        <w:t xml:space="preserve">تُرسل أقرب عتبة عُبرت مرة واحدة. والعتبات الأبعد تُسجَّل فلا تأتي بعدها.</w:t>
      </w:r>
    </w:p>
    <w:p>
      <w:pPr>
        <w:pStyle w:val="ListParagraph"/>
        <w:numPr>
          <w:ilvl w:val="1"/>
          <w:numId w:val="2"/>
        </w:numPr>
        <w:bidi/>
        <w:spacing w:after="70" w:before="0" w:line="300"/>
      </w:pPr>
      <w:r>
        <w:rPr>
          <w:rFonts w:ascii="Arial" w:cs="Arial" w:eastAsia="Arial" w:hAnsi="Arial"/>
          <w:b w:val="false"/>
          <w:bCs w:val="false"/>
          <w:sz w:val="21"/>
          <w:szCs w:val="21"/>
          <w:rtl/>
        </w:rPr>
        <w:t xml:space="preserve">في يوم الانتهاء «منتهٍ»، ثم تذكير دوري.</w:t>
      </w:r>
    </w:p>
    <w:p>
      <w:pPr>
        <w:pStyle w:val="ListParagraph"/>
        <w:numPr>
          <w:ilvl w:val="1"/>
          <w:numId w:val="2"/>
        </w:numPr>
        <w:bidi/>
        <w:spacing w:after="70" w:before="0" w:line="300"/>
      </w:pPr>
      <w:r>
        <w:rPr>
          <w:rFonts w:ascii="Arial" w:cs="Arial" w:eastAsia="Arial" w:hAnsi="Arial"/>
          <w:b w:val="false"/>
          <w:bCs w:val="false"/>
          <w:sz w:val="21"/>
          <w:szCs w:val="21"/>
          <w:rtl/>
        </w:rPr>
        <w:t xml:space="preserve">التجديد بتاريخ جديد يعيد العتبات.</w:t>
      </w:r>
    </w:p>
    <w:p>
      <w:pPr>
        <w:pStyle w:val="ListParagraph"/>
        <w:numPr>
          <w:ilvl w:val="1"/>
          <w:numId w:val="2"/>
        </w:numPr>
        <w:bidi/>
        <w:spacing w:after="70" w:before="0" w:line="300"/>
      </w:pPr>
      <w:r>
        <w:rPr>
          <w:rFonts w:ascii="Arial" w:cs="Arial" w:eastAsia="Arial" w:hAnsi="Arial"/>
          <w:b w:val="false"/>
          <w:bCs w:val="false"/>
          <w:sz w:val="21"/>
          <w:szCs w:val="21"/>
          <w:rtl/>
        </w:rPr>
        <w:t xml:space="preserve">في S1: مستندات الشركة ووثائق الهوية، ولا يظهر رقم الوثيقة في الرسالة.</w:t>
      </w:r>
    </w:p>
    <w:p>
      <w:pPr>
        <w:pStyle w:val="ListParagraph"/>
        <w:numPr>
          <w:ilvl w:val="0"/>
          <w:numId w:val="2"/>
        </w:numPr>
        <w:bidi/>
        <w:spacing w:after="70" w:before="0" w:line="300"/>
      </w:pPr>
      <w:r>
        <w:rPr>
          <w:rFonts w:ascii="Arial" w:cs="Arial" w:eastAsia="Arial" w:hAnsi="Arial"/>
          <w:b/>
          <w:bCs/>
          <w:sz w:val="21"/>
          <w:szCs w:val="21"/>
          <w:rtl/>
        </w:rPr>
        <w:t xml:space="preserve">الأحداث الأمنية.</w:t>
      </w:r>
    </w:p>
    <w:p>
      <w:pPr>
        <w:pStyle w:val="ListParagraph"/>
        <w:numPr>
          <w:ilvl w:val="1"/>
          <w:numId w:val="2"/>
        </w:numPr>
        <w:bidi/>
        <w:spacing w:after="70" w:before="0" w:line="300"/>
      </w:pPr>
      <w:r>
        <w:rPr>
          <w:rFonts w:ascii="Arial" w:cs="Arial" w:eastAsia="Arial" w:hAnsi="Arial"/>
          <w:b w:val="false"/>
          <w:bCs w:val="false"/>
          <w:sz w:val="21"/>
          <w:szCs w:val="21"/>
          <w:rtl/>
        </w:rPr>
        <w:t xml:space="preserve">قفل الحساب يُكتب في القاعدة نفسها مع القفل (S1-GAP-9).</w:t>
      </w:r>
    </w:p>
    <w:p>
      <w:pPr>
        <w:pStyle w:val="ListParagraph"/>
        <w:numPr>
          <w:ilvl w:val="1"/>
          <w:numId w:val="2"/>
        </w:numPr>
        <w:bidi/>
        <w:spacing w:after="70" w:before="0" w:line="300"/>
      </w:pPr>
      <w:r>
        <w:rPr>
          <w:rFonts w:ascii="Arial" w:cs="Arial" w:eastAsia="Arial" w:hAnsi="Arial"/>
          <w:b w:val="false"/>
          <w:bCs w:val="false"/>
          <w:sz w:val="21"/>
          <w:szCs w:val="21"/>
          <w:rtl/>
        </w:rPr>
        <w:t xml:space="preserve">وفي التطبيق: إسناد صلاحية حساسة أو سحبها، وإعادة تعيين MFA، ووصول الدعم، والكشف الحادي والعشرون خلال ساعة.</w:t>
      </w:r>
    </w:p>
    <w:p>
      <w:pPr>
        <w:pStyle w:val="ListParagraph"/>
        <w:numPr>
          <w:ilvl w:val="0"/>
          <w:numId w:val="2"/>
        </w:numPr>
        <w:bidi/>
        <w:spacing w:after="70" w:before="0" w:line="300"/>
      </w:pPr>
      <w:r>
        <w:rPr>
          <w:rFonts w:ascii="Arial" w:cs="Arial" w:eastAsia="Arial" w:hAnsi="Arial"/>
          <w:b/>
          <w:bCs/>
          <w:sz w:val="21"/>
          <w:szCs w:val="21"/>
          <w:rtl/>
        </w:rPr>
        <w:t xml:space="preserve">علاقة بلا مدير علاقة.</w:t>
      </w:r>
      <w:r>
        <w:rPr>
          <w:rFonts w:ascii="Arial" w:cs="Arial" w:eastAsia="Arial" w:hAnsi="Arial"/>
          <w:b w:val="false"/>
          <w:bCs w:val="false"/>
          <w:sz w:val="21"/>
          <w:szCs w:val="21"/>
          <w:rtl/>
        </w:rPr>
        <w:t xml:space="preserve"> يُبلَّغ TM وFO للشركة.</w:t>
      </w:r>
    </w:p>
    <w:p>
      <w:pPr>
        <w:pStyle w:val="ListParagraph"/>
        <w:numPr>
          <w:ilvl w:val="0"/>
          <w:numId w:val="2"/>
        </w:numPr>
        <w:bidi/>
        <w:spacing w:after="70" w:before="0" w:line="300"/>
      </w:pPr>
      <w:r>
        <w:rPr>
          <w:rFonts w:ascii="Arial" w:cs="Arial" w:eastAsia="Arial" w:hAnsi="Arial"/>
          <w:b/>
          <w:bCs/>
          <w:sz w:val="21"/>
          <w:szCs w:val="21"/>
          <w:rtl/>
        </w:rPr>
        <w:t xml:space="preserve">الجرس والتفضيلات.</w:t>
      </w:r>
    </w:p>
    <w:p>
      <w:pPr>
        <w:pStyle w:val="ListParagraph"/>
        <w:numPr>
          <w:ilvl w:val="1"/>
          <w:numId w:val="2"/>
        </w:numPr>
        <w:bidi/>
        <w:spacing w:after="70" w:before="0" w:line="300"/>
      </w:pPr>
      <w:r>
        <w:rPr>
          <w:rFonts w:ascii="Arial" w:cs="Arial" w:eastAsia="Arial" w:hAnsi="Arial"/>
          <w:b w:val="false"/>
          <w:bCs w:val="false"/>
          <w:sz w:val="21"/>
          <w:szCs w:val="21"/>
          <w:rtl/>
        </w:rPr>
        <w:t xml:space="preserve">عدّاد غير المقروء، وتعليم مقروء، وتعليم الكل.</w:t>
      </w:r>
    </w:p>
    <w:p>
      <w:pPr>
        <w:pStyle w:val="ListParagraph"/>
        <w:numPr>
          <w:ilvl w:val="1"/>
          <w:numId w:val="2"/>
        </w:numPr>
        <w:bidi/>
        <w:spacing w:after="70" w:before="0" w:line="300"/>
      </w:pPr>
      <w:r>
        <w:rPr>
          <w:rFonts w:ascii="Arial" w:cs="Arial" w:eastAsia="Arial" w:hAnsi="Arial"/>
          <w:b w:val="false"/>
          <w:bCs w:val="false"/>
          <w:sz w:val="21"/>
          <w:szCs w:val="21"/>
          <w:rtl/>
        </w:rPr>
        <w:t xml:space="preserve">التفضيل لكل مجموعة وقناة: فوري أو متوقف. الإلزامي يبقى داخل التطبيق.</w:t>
      </w:r>
    </w:p>
    <w:p>
      <w:pPr>
        <w:pStyle w:val="ListParagraph"/>
        <w:numPr>
          <w:ilvl w:val="1"/>
          <w:numId w:val="2"/>
        </w:numPr>
        <w:bidi/>
        <w:spacing w:after="70" w:before="0" w:line="300"/>
      </w:pPr>
      <w:r>
        <w:rPr>
          <w:rFonts w:ascii="Arial" w:cs="Arial" w:eastAsia="Arial" w:hAnsi="Arial"/>
          <w:b w:val="false"/>
          <w:bCs w:val="false"/>
          <w:sz w:val="21"/>
          <w:szCs w:val="21"/>
          <w:rtl/>
        </w:rPr>
        <w:t xml:space="preserve">الملخصات في شريحة لاحقة.</w:t>
      </w:r>
    </w:p>
    <w:p>
      <w:pPr>
        <w:pStyle w:val="ListParagraph"/>
        <w:numPr>
          <w:ilvl w:val="0"/>
          <w:numId w:val="2"/>
        </w:numPr>
        <w:bidi/>
        <w:spacing w:after="70" w:before="0" w:line="300"/>
      </w:pPr>
      <w:r>
        <w:rPr>
          <w:rFonts w:ascii="Arial" w:cs="Arial" w:eastAsia="Arial" w:hAnsi="Arial"/>
          <w:b/>
          <w:bCs/>
          <w:sz w:val="21"/>
          <w:szCs w:val="21"/>
          <w:rtl/>
        </w:rPr>
        <w:t xml:space="preserve">إعدادات المدير.</w:t>
      </w:r>
    </w:p>
    <w:p>
      <w:pPr>
        <w:pStyle w:val="ListParagraph"/>
        <w:numPr>
          <w:ilvl w:val="1"/>
          <w:numId w:val="2"/>
        </w:numPr>
        <w:bidi/>
        <w:spacing w:after="70" w:before="0" w:line="300"/>
      </w:pPr>
      <w:r>
        <w:rPr>
          <w:rFonts w:ascii="Arial" w:cs="Arial" w:eastAsia="Arial" w:hAnsi="Arial"/>
          <w:b w:val="false"/>
          <w:bCs w:val="false"/>
          <w:sz w:val="21"/>
          <w:szCs w:val="21"/>
          <w:rtl/>
        </w:rPr>
        <w:t xml:space="preserve">إضافة مستلم أو إيقافه. المستلم الإلزامي يبقى.</w:t>
      </w:r>
    </w:p>
    <w:p>
      <w:pPr>
        <w:pStyle w:val="ListParagraph"/>
        <w:numPr>
          <w:ilvl w:val="1"/>
          <w:numId w:val="2"/>
        </w:numPr>
        <w:bidi/>
        <w:spacing w:after="70" w:before="0" w:line="300"/>
      </w:pPr>
      <w:r>
        <w:rPr>
          <w:rFonts w:ascii="Arial" w:cs="Arial" w:eastAsia="Arial" w:hAnsi="Arial"/>
          <w:b w:val="false"/>
          <w:bCs w:val="false"/>
          <w:sz w:val="21"/>
          <w:szCs w:val="21"/>
          <w:rtl/>
        </w:rPr>
        <w:t xml:space="preserve">تغيير النص بالعناصر النائبة المسموحة فقط، والعودة إلى الافتراضي.</w:t>
      </w:r>
    </w:p>
    <w:p>
      <w:pPr>
        <w:pStyle w:val="ListParagraph"/>
        <w:numPr>
          <w:ilvl w:val="1"/>
          <w:numId w:val="2"/>
        </w:numPr>
        <w:bidi/>
        <w:spacing w:after="70" w:before="0" w:line="300"/>
      </w:pPr>
      <w:r>
        <w:rPr>
          <w:rFonts w:ascii="Arial" w:cs="Arial" w:eastAsia="Arial" w:hAnsi="Arial"/>
          <w:b w:val="false"/>
          <w:bCs w:val="false"/>
          <w:sz w:val="21"/>
          <w:szCs w:val="21"/>
          <w:rtl/>
        </w:rPr>
        <w:t xml:space="preserve">سجل التسليم وإخفاقاته.</w:t>
      </w:r>
    </w:p>
    <w:p>
      <w:pPr>
        <w:pStyle w:val="ListParagraph"/>
        <w:numPr>
          <w:ilvl w:val="0"/>
          <w:numId w:val="2"/>
        </w:numPr>
        <w:bidi/>
        <w:spacing w:after="70" w:before="0" w:line="300"/>
      </w:pPr>
      <w:r>
        <w:rPr>
          <w:rFonts w:ascii="Arial" w:cs="Arial" w:eastAsia="Arial" w:hAnsi="Arial"/>
          <w:b/>
          <w:bCs/>
          <w:sz w:val="21"/>
          <w:szCs w:val="21"/>
          <w:rtl/>
        </w:rPr>
        <w:t xml:space="preserve">حزمة NTF.BASE الإصدار 2.</w:t>
      </w:r>
      <w:r>
        <w:rPr>
          <w:rFonts w:ascii="Arial" w:cs="Arial" w:eastAsia="Arial" w:hAnsi="Arial"/>
          <w:b w:val="false"/>
          <w:bCs w:val="false"/>
          <w:sz w:val="21"/>
          <w:szCs w:val="21"/>
          <w:rtl/>
        </w:rPr>
        <w:t xml:space="preserve"> تحفظ صفوف الإصدار 1 كلها، وتضيف 13 حدثًا لـ S1 بقواعدها ونصوصها بالعربية والإنجليزية: 15 حدثًا، و24 قاعدة، و60 قالبًا.</w:t>
      </w:r>
    </w:p>
    <w:p>
      <w:pPr>
        <w:bidi/>
        <w:spacing w:after="60" w:before="0"/>
      </w:pPr>
    </w:p>
    <w:p>
      <w:pPr>
        <w:pStyle w:val="Heading1"/>
        <w:bidi/>
      </w:pPr>
      <w:bookmarkStart w:name="_sec9" w:id="9"/>
      <w:r>
        <w:rPr>
          <w:rFonts w:ascii="Arial" w:cs="Arial" w:eastAsia="Arial" w:hAnsi="Arial"/>
          <w:b/>
          <w:bCs/>
          <w:color w:val="1F3A5F"/>
          <w:sz w:val="32"/>
          <w:szCs w:val="32"/>
          <w:rtl/>
        </w:rPr>
        <w:t xml:space="preserve">4. الافتراضات المأخوذة</w:t>
      </w:r>
      <w:bookmarkEnd w:id="9"/>
    </w:p>
    <w:p>
      <w:pPr>
        <w:bidi/>
        <w:spacing w:after="110" w:before="0" w:line="312"/>
      </w:pPr>
      <w:r>
        <w:rPr>
          <w:rFonts w:ascii="Arial" w:cs="Arial" w:eastAsia="Arial" w:hAnsi="Arial"/>
          <w:b w:val="false"/>
          <w:bCs w:val="false"/>
          <w:sz w:val="21"/>
          <w:szCs w:val="21"/>
          <w:rtl/>
        </w:rPr>
        <w:t xml:space="preserve">اعتُمدت افتراضات الموجز في البناء. تبقى حتى يؤكدها المالك أو يغيّرها، وتغييرها لاحقًا تعديل لا إعادة بناء.</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035"/>
        <w:gridCol w:w="5829"/>
      </w:tblGrid>
      <w:tr>
        <w:trPr>
          <w:cantSplit/>
          <w:tblHeader/>
        </w:trPr>
        <w:tc>
          <w:tcPr>
            <w:tcW w:type="dxa" w:w="40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58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w:t>
            </w:r>
          </w:p>
        </w:tc>
      </w:tr>
      <w:tr>
        <w:trPr>
          <w:cantSplit/>
        </w:trPr>
        <w:tc>
          <w:tcPr>
            <w:tcW w:type="dxa" w:w="4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OQ-1 فاحص البرمجيات الخبيثة</w:t>
            </w:r>
          </w:p>
        </w:tc>
        <w:tc>
          <w:tcPr>
            <w:tcW w:type="dxa" w:w="5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ClamAV في الإنتاج، ونسخة اختبار لا تعرف إلا ملف EICAR</w:t>
            </w:r>
          </w:p>
        </w:tc>
      </w:tr>
      <w:tr>
        <w:trPr>
          <w:cantSplit/>
        </w:trPr>
        <w:tc>
          <w:tcPr>
            <w:tcW w:type="dxa" w:w="4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OQ-2 رمز الطرف</w:t>
            </w:r>
          </w:p>
        </w:tc>
        <w:tc>
          <w:tcPr>
            <w:tcW w:type="dxa" w:w="58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‎P{seq:000000}‎</w:t>
            </w:r>
            <w:r>
              <w:rPr>
                <w:rFonts w:ascii="Arial" w:cs="Arial" w:eastAsia="Arial" w:hAnsi="Arial"/>
                <w:b w:val="false"/>
                <w:bCs w:val="false"/>
                <w:sz w:val="18"/>
                <w:szCs w:val="18"/>
                <w:rtl/>
              </w:rPr>
              <w:t xml:space="preserve"> لكل مشترك، والفجوات مسموحة</w:t>
            </w:r>
          </w:p>
        </w:tc>
      </w:tr>
      <w:tr>
        <w:trPr>
          <w:cantSplit/>
        </w:trPr>
        <w:tc>
          <w:tcPr>
            <w:tcW w:type="dxa" w:w="4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OQ-3 دقة قاعدة الانتهاء</w:t>
            </w:r>
          </w:p>
        </w:tc>
        <w:tc>
          <w:tcPr>
            <w:tcW w:type="dxa" w:w="5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لكل نوع عام: مستندات الشركة، ووثائق الهوية</w:t>
            </w:r>
          </w:p>
        </w:tc>
      </w:tr>
      <w:tr>
        <w:trPr>
          <w:cantSplit/>
        </w:trPr>
        <w:tc>
          <w:tcPr>
            <w:tcW w:type="dxa" w:w="4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OQ-4 البحث برقم الهوية</w:t>
            </w:r>
          </w:p>
        </w:tc>
        <w:tc>
          <w:tcPr>
            <w:tcW w:type="dxa" w:w="58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بالنوع والدولة، والدولة افتراضيًا دولة المشترك</w:t>
            </w:r>
          </w:p>
        </w:tc>
      </w:tr>
      <w:tr>
        <w:trPr>
          <w:cantSplit/>
        </w:trPr>
        <w:tc>
          <w:tcPr>
            <w:tcW w:type="dxa" w:w="4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OQ-6 الجهة المرآة</w:t>
            </w:r>
          </w:p>
        </w:tc>
        <w:tc>
          <w:tcPr>
            <w:tcW w:type="dxa" w:w="5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تُزامَن الأسماء فقط، والسجل التجاري يبقى على الشركة</w:t>
            </w:r>
          </w:p>
        </w:tc>
      </w:tr>
      <w:tr>
        <w:trPr>
          <w:cantSplit/>
        </w:trPr>
        <w:tc>
          <w:tcPr>
            <w:tcW w:type="dxa" w:w="4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OQ-7 الصور المصغّرة</w:t>
            </w:r>
          </w:p>
        </w:tc>
        <w:tc>
          <w:tcPr>
            <w:tcW w:type="dxa" w:w="58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تُخزَّن</w:t>
            </w:r>
          </w:p>
        </w:tc>
      </w:tr>
      <w:tr>
        <w:trPr>
          <w:cantSplit/>
        </w:trPr>
        <w:tc>
          <w:tcPr>
            <w:tcW w:type="dxa" w:w="4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OQ-8 فئات التدقيق</w:t>
            </w:r>
          </w:p>
        </w:tc>
        <w:tc>
          <w:tcPr>
            <w:tcW w:type="dxa" w:w="5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الشركات والأطراف والبنوك والحسابات: الخزينة. الكتالوجات وقواعد الإشعار: الإعدادات. الكشف والصور: الوصول إلى الهوية</w:t>
            </w:r>
          </w:p>
        </w:tc>
      </w:tr>
      <w:tr>
        <w:trPr>
          <w:cantSplit/>
        </w:trPr>
        <w:tc>
          <w:tcPr>
            <w:tcW w:type="dxa" w:w="4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S1-GAP-12 المنشئ</w:t>
            </w:r>
          </w:p>
        </w:tc>
        <w:tc>
          <w:tcPr>
            <w:tcW w:type="dxa" w:w="58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يضعه التطبيق في كل كتابة</w:t>
            </w:r>
          </w:p>
        </w:tc>
      </w:tr>
      <w:tr>
        <w:trPr>
          <w:cantSplit/>
        </w:trPr>
        <w:tc>
          <w:tcPr>
            <w:tcW w:type="dxa" w:w="4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S1-GAP-15 كشف رقم الحساب</w:t>
            </w:r>
          </w:p>
        </w:tc>
        <w:tc>
          <w:tcPr>
            <w:tcW w:type="dxa" w:w="5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حدث تدقيق، دون قيمة جديدة في سجل الوصول الحساس</w:t>
            </w:r>
          </w:p>
        </w:tc>
      </w:tr>
      <w:tr>
        <w:trPr>
          <w:cantSplit/>
        </w:trPr>
        <w:tc>
          <w:tcPr>
            <w:tcW w:type="dxa" w:w="4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الملخصات</w:t>
            </w:r>
          </w:p>
        </w:tc>
        <w:tc>
          <w:tcPr>
            <w:tcW w:type="dxa" w:w="58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ليست في S1: التفضيل فوري أو متوقف</w:t>
            </w:r>
          </w:p>
        </w:tc>
      </w:tr>
    </w:tbl>
    <w:p>
      <w:pPr>
        <w:bidi/>
        <w:spacing w:after="120" w:before="0"/>
      </w:pPr>
    </w:p>
    <w:p>
      <w:pPr>
        <w:pStyle w:val="Heading1"/>
        <w:bidi/>
      </w:pPr>
      <w:bookmarkStart w:name="_sec10" w:id="10"/>
      <w:r>
        <w:rPr>
          <w:rFonts w:ascii="Arial" w:cs="Arial" w:eastAsia="Arial" w:hAnsi="Arial"/>
          <w:b/>
          <w:bCs/>
          <w:color w:val="1F3A5F"/>
          <w:sz w:val="32"/>
          <w:szCs w:val="32"/>
          <w:rtl/>
        </w:rPr>
        <w:t xml:space="preserve">5. ثغرة وُجدت في الطريق</w:t>
      </w:r>
      <w:bookmarkEnd w:id="10"/>
    </w:p>
    <w:p>
      <w:pPr>
        <w:pStyle w:val="ListParagraph"/>
        <w:numPr>
          <w:ilvl w:val="0"/>
          <w:numId w:val="2"/>
        </w:numPr>
        <w:bidi/>
        <w:spacing w:after="70" w:before="0" w:line="300"/>
      </w:pPr>
      <w:r>
        <w:rPr>
          <w:rFonts w:ascii="Arial" w:cs="Arial" w:eastAsia="Arial" w:hAnsi="Arial"/>
          <w:b/>
          <w:bCs/>
          <w:sz w:val="21"/>
          <w:szCs w:val="21"/>
          <w:rtl/>
        </w:rPr>
        <w:t xml:space="preserve">عدّاد المشغّلات.</w:t>
      </w:r>
      <w:r>
        <w:rPr>
          <w:rFonts w:ascii="Arial" w:cs="Arial" w:eastAsia="Arial" w:hAnsi="Arial"/>
          <w:b w:val="false"/>
          <w:bCs w:val="false"/>
          <w:sz w:val="21"/>
          <w:szCs w:val="21"/>
          <w:rtl/>
        </w:rPr>
        <w:t xml:space="preserve"> فحص النشر </w:t>
      </w:r>
      <w:r>
        <w:rPr>
          <w:rFonts w:ascii="Courier New" w:cs="Courier New" w:eastAsia="Courier New" w:hAnsi="Courier New"/>
          <w:b w:val="false"/>
          <w:bCs w:val="false"/>
          <w:color w:val="1F2937"/>
          <w:sz w:val="18"/>
          <w:szCs w:val="18"/>
          <w:shd w:fill="F1F3F5" w:color="auto" w:val="clear"/>
          <w:rtl/>
        </w:rPr>
        <w:t xml:space="preserve">‎check_deployed.py‎</w:t>
      </w:r>
      <w:r>
        <w:rPr>
          <w:rFonts w:ascii="Arial" w:cs="Arial" w:eastAsia="Arial" w:hAnsi="Arial"/>
          <w:b w:val="false"/>
          <w:bCs w:val="false"/>
          <w:sz w:val="21"/>
          <w:szCs w:val="21"/>
          <w:rtl/>
        </w:rPr>
        <w:t xml:space="preserve"> لم يكن يعدّ مشغّلات الكتالوجات التي يبنيها 060 في حلقة منذ S1-A. فكان ينتظر 122 مشغّلًا والمنشور 140.</w:t>
      </w:r>
    </w:p>
    <w:p>
      <w:pPr>
        <w:pStyle w:val="ListParagraph"/>
        <w:numPr>
          <w:ilvl w:val="0"/>
          <w:numId w:val="2"/>
        </w:numPr>
        <w:bidi/>
        <w:spacing w:after="70" w:before="0" w:line="300"/>
      </w:pPr>
      <w:r>
        <w:rPr>
          <w:rFonts w:ascii="Arial" w:cs="Arial" w:eastAsia="Arial" w:hAnsi="Arial"/>
          <w:b/>
          <w:bCs/>
          <w:sz w:val="21"/>
          <w:szCs w:val="21"/>
          <w:rtl/>
        </w:rPr>
        <w:t xml:space="preserve">الإصلاح.</w:t>
      </w:r>
      <w:r>
        <w:rPr>
          <w:rFonts w:ascii="Arial" w:cs="Arial" w:eastAsia="Arial" w:hAnsi="Arial"/>
          <w:b w:val="false"/>
          <w:bCs w:val="false"/>
          <w:sz w:val="21"/>
          <w:szCs w:val="21"/>
          <w:rtl/>
        </w:rPr>
        <w:t xml:space="preserve"> صارت العائلة </w:t>
      </w:r>
      <w:r>
        <w:rPr>
          <w:rFonts w:ascii="Courier New" w:cs="Courier New" w:eastAsia="Courier New" w:hAnsi="Courier New"/>
          <w:b w:val="false"/>
          <w:bCs w:val="false"/>
          <w:color w:val="1F2937"/>
          <w:sz w:val="18"/>
          <w:szCs w:val="18"/>
          <w:shd w:fill="F1F3F5" w:color="auto" w:val="clear"/>
          <w:rtl/>
        </w:rPr>
        <w:t xml:space="preserve">‎_SeedRows‎</w:t>
      </w:r>
      <w:r>
        <w:rPr>
          <w:rFonts w:ascii="Arial" w:cs="Arial" w:eastAsia="Arial" w:hAnsi="Arial"/>
          <w:b w:val="false"/>
          <w:bCs w:val="false"/>
          <w:sz w:val="21"/>
          <w:szCs w:val="21"/>
          <w:rtl/>
        </w:rPr>
        <w:t xml:space="preserve"> تُعدّ كعائلتي 044 و054.</w:t>
      </w:r>
    </w:p>
    <w:p>
      <w:pPr>
        <w:bidi/>
        <w:spacing w:after="60" w:before="0"/>
      </w:pPr>
    </w:p>
    <w:p>
      <w:pPr>
        <w:pStyle w:val="Heading1"/>
        <w:bidi/>
      </w:pPr>
      <w:bookmarkStart w:name="_sec11" w:id="11"/>
      <w:r>
        <w:rPr>
          <w:rFonts w:ascii="Arial" w:cs="Arial" w:eastAsia="Arial" w:hAnsi="Arial"/>
          <w:b/>
          <w:bCs/>
          <w:color w:val="1F3A5F"/>
          <w:sz w:val="32"/>
          <w:szCs w:val="32"/>
          <w:rtl/>
        </w:rPr>
        <w:t xml:space="preserve">6. الاختبار</w:t>
      </w:r>
      <w:bookmarkEnd w:id="1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932"/>
        <w:gridCol w:w="4932"/>
      </w:tblGrid>
      <w:tr>
        <w:trPr>
          <w:cantSplit/>
          <w:tblHeader/>
        </w:trPr>
        <w:tc>
          <w:tcPr>
            <w:tcW w:type="dxa" w:w="49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المقياس</w:t>
            </w:r>
          </w:p>
        </w:tc>
        <w:tc>
          <w:tcPr>
            <w:tcW w:type="dxa" w:w="49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العدد</w:t>
            </w:r>
          </w:p>
        </w:tc>
      </w:tr>
      <w:tr>
        <w:trPr>
          <w:cantSplit/>
        </w:trPr>
        <w:tc>
          <w:tcPr>
            <w:tcW w:type="dxa" w:w="4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اختبارات الوحدة</w:t>
            </w:r>
          </w:p>
        </w:tc>
        <w:tc>
          <w:tcPr>
            <w:tcW w:type="dxa" w:w="4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r>
      <w:tr>
        <w:trPr>
          <w:cantSplit/>
        </w:trPr>
        <w:tc>
          <w:tcPr>
            <w:tcW w:type="dxa" w:w="4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اختبارات التكامل على القاعدة</w:t>
            </w:r>
          </w:p>
        </w:tc>
        <w:tc>
          <w:tcPr>
            <w:tcW w:type="dxa" w:w="4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r>
      <w:tr>
        <w:trPr>
          <w:cantSplit/>
        </w:trPr>
        <w:tc>
          <w:tcPr>
            <w:tcW w:type="dxa" w:w="4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المتصفح</w:t>
            </w:r>
          </w:p>
        </w:tc>
        <w:tc>
          <w:tcPr>
            <w:tcW w:type="dxa" w:w="4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مسار S0، ثم شركة وبنك بالمعالج</w:t>
            </w:r>
          </w:p>
        </w:tc>
      </w:tr>
      <w:tr>
        <w:trPr>
          <w:cantSplit/>
        </w:trPr>
        <w:tc>
          <w:tcPr>
            <w:tcW w:type="dxa" w:w="4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حالات CI القاعدة</w:t>
            </w:r>
          </w:p>
        </w:tc>
        <w:tc>
          <w:tcPr>
            <w:tcW w:type="dxa" w:w="4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 تمر، ومنها T34 الذي صار يتحقق من حدث القفل</w:t>
            </w:r>
          </w:p>
        </w:tc>
      </w:tr>
    </w:tbl>
    <w:p>
      <w:pPr>
        <w:bidi/>
        <w:spacing w:after="120" w:before="0"/>
      </w:pPr>
    </w:p>
    <w:p>
      <w:pPr>
        <w:pStyle w:val="ListParagraph"/>
        <w:numPr>
          <w:ilvl w:val="0"/>
          <w:numId w:val="2"/>
        </w:numPr>
        <w:bidi/>
        <w:spacing w:after="70" w:before="0" w:line="300"/>
      </w:pPr>
      <w:r>
        <w:rPr>
          <w:rFonts w:ascii="Arial" w:cs="Arial" w:eastAsia="Arial" w:hAnsi="Arial"/>
          <w:b/>
          <w:bCs/>
          <w:sz w:val="21"/>
          <w:szCs w:val="21"/>
          <w:rtl/>
        </w:rPr>
        <w:t xml:space="preserve">AC-INS-1.</w:t>
      </w:r>
      <w:r>
        <w:rPr>
          <w:rFonts w:ascii="Arial" w:cs="Arial" w:eastAsia="Arial" w:hAnsi="Arial"/>
          <w:b w:val="false"/>
          <w:bCs w:val="false"/>
          <w:sz w:val="21"/>
          <w:szCs w:val="21"/>
          <w:rtl/>
        </w:rPr>
        <w:t xml:space="preserve"> اختبار تكامل يمر بالمعالج كاملًا: المراجعة بتحذير «5 منتجات بلا جهة افتراضية»، ثم 1 منشأة و3 علاقات و8 منتجات و3 صفوف تغطية. والقنوات من SVC-02، والربط المباشر مرفوض، والرمز المكرر لا يُنشئ شيئًا. واختبار المتصفح يمر بالمعالج من الشاشة.</w:t>
      </w:r>
    </w:p>
    <w:p>
      <w:pPr>
        <w:pStyle w:val="ListParagraph"/>
        <w:numPr>
          <w:ilvl w:val="0"/>
          <w:numId w:val="2"/>
        </w:numPr>
        <w:bidi/>
        <w:spacing w:after="70" w:before="0" w:line="300"/>
      </w:pPr>
      <w:r>
        <w:rPr>
          <w:rFonts w:ascii="Arial" w:cs="Arial" w:eastAsia="Arial" w:hAnsi="Arial"/>
          <w:b/>
          <w:bCs/>
          <w:sz w:val="21"/>
          <w:szCs w:val="21"/>
          <w:rtl/>
        </w:rPr>
        <w:t xml:space="preserve">AC-ORG-6.</w:t>
      </w:r>
      <w:r>
        <w:rPr>
          <w:rFonts w:ascii="Arial" w:cs="Arial" w:eastAsia="Arial" w:hAnsi="Arial"/>
          <w:b w:val="false"/>
          <w:bCs w:val="false"/>
          <w:sz w:val="21"/>
          <w:szCs w:val="21"/>
          <w:rtl/>
        </w:rPr>
        <w:t xml:space="preserve"> اختبار تكامل: السجل التجاري من تبويب الشركة، وشهادة الزكاة من السجل، ونوع جديد في الكتالوج يُستعمل فورًا. والسجل «ينتهي قريبًا» بـ 25 يومًا. ومهمة التنبيه مرتين في اليوم تعطي تنبيهًا واحدًا بعتبة 30. والتجديد يعيد العتبات.</w:t>
      </w:r>
    </w:p>
    <w:p>
      <w:pPr>
        <w:pStyle w:val="ListParagraph"/>
        <w:numPr>
          <w:ilvl w:val="0"/>
          <w:numId w:val="2"/>
        </w:numPr>
        <w:bidi/>
        <w:spacing w:after="70" w:before="0" w:line="300"/>
      </w:pPr>
      <w:r>
        <w:rPr>
          <w:rFonts w:ascii="Arial" w:cs="Arial" w:eastAsia="Arial" w:hAnsi="Arial"/>
          <w:b/>
          <w:bCs/>
          <w:sz w:val="21"/>
          <w:szCs w:val="21"/>
          <w:rtl/>
        </w:rPr>
        <w:t xml:space="preserve">AC-INS-2 وAC-INS-3 وAC-ACC-1 وAC-CAT-2 وAC-CAT-3.</w:t>
      </w:r>
      <w:r>
        <w:rPr>
          <w:rFonts w:ascii="Arial" w:cs="Arial" w:eastAsia="Arial" w:hAnsi="Arial"/>
          <w:b w:val="false"/>
          <w:bCs w:val="false"/>
          <w:sz w:val="21"/>
          <w:szCs w:val="21"/>
          <w:rtl/>
        </w:rPr>
        <w:t xml:space="preserve"> اختبارات تكامل.</w:t>
      </w:r>
    </w:p>
    <w:p>
      <w:pPr>
        <w:pStyle w:val="ListParagraph"/>
        <w:numPr>
          <w:ilvl w:val="0"/>
          <w:numId w:val="2"/>
        </w:numPr>
        <w:bidi/>
        <w:spacing w:after="70" w:before="0" w:line="300"/>
      </w:pPr>
      <w:r>
        <w:rPr>
          <w:rFonts w:ascii="Arial" w:cs="Arial" w:eastAsia="Arial" w:hAnsi="Arial"/>
          <w:b/>
          <w:bCs/>
          <w:sz w:val="21"/>
          <w:szCs w:val="21"/>
          <w:rtl/>
        </w:rPr>
        <w:t xml:space="preserve">الإشعارات.</w:t>
      </w:r>
      <w:r>
        <w:rPr>
          <w:rFonts w:ascii="Arial" w:cs="Arial" w:eastAsia="Arial" w:hAnsi="Arial"/>
          <w:b w:val="false"/>
          <w:bCs w:val="false"/>
          <w:sz w:val="21"/>
          <w:szCs w:val="21"/>
          <w:rtl/>
        </w:rPr>
        <w:t xml:space="preserve"> اختبارات تكامل للعتبات، والتفضيلات، ونص المشترك، وقفل الحساب، والصلاحية الحساسة، والعلاقة بلا مدير، والحدث بلا مستهلك.</w:t>
      </w:r>
    </w:p>
    <w:p>
      <w:pPr>
        <w:bidi/>
        <w:spacing w:after="60" w:before="0"/>
      </w:pPr>
    </w:p>
    <w:p>
      <w:pPr>
        <w:pStyle w:val="Heading1"/>
        <w:bidi/>
      </w:pPr>
      <w:bookmarkStart w:name="_sec12" w:id="12"/>
      <w:r>
        <w:rPr>
          <w:rFonts w:ascii="Arial" w:cs="Arial" w:eastAsia="Arial" w:hAnsi="Arial"/>
          <w:b/>
          <w:bCs/>
          <w:color w:val="1F3A5F"/>
          <w:sz w:val="32"/>
          <w:szCs w:val="32"/>
          <w:rtl/>
        </w:rPr>
        <w:t xml:space="preserve">7. ما بقي خارج S1</w:t>
      </w:r>
      <w:bookmarkEnd w:id="12"/>
    </w:p>
    <w:p>
      <w:pPr>
        <w:pStyle w:val="ListParagraph"/>
        <w:numPr>
          <w:ilvl w:val="0"/>
          <w:numId w:val="2"/>
        </w:numPr>
        <w:bidi/>
        <w:spacing w:after="70" w:before="0" w:line="300"/>
      </w:pPr>
      <w:r>
        <w:rPr>
          <w:rFonts w:ascii="Arial" w:cs="Arial" w:eastAsia="Arial" w:hAnsi="Arial"/>
          <w:b/>
          <w:bCs/>
          <w:sz w:val="21"/>
          <w:szCs w:val="21"/>
          <w:rtl/>
        </w:rPr>
        <w:t xml:space="preserve">مع التسهيلات (S2).</w:t>
      </w:r>
      <w:r>
        <w:rPr>
          <w:rFonts w:ascii="Arial" w:cs="Arial" w:eastAsia="Arial" w:hAnsi="Arial"/>
          <w:b w:val="false"/>
          <w:bCs w:val="false"/>
          <w:sz w:val="21"/>
          <w:szCs w:val="21"/>
          <w:rtl/>
        </w:rPr>
        <w:t xml:space="preserve"> شرط إغلاق العلاقة بتسهيل نشط (BR-INS-011)، وربط الحسابات بالتسهيلات.</w:t>
      </w:r>
    </w:p>
    <w:p>
      <w:pPr>
        <w:pStyle w:val="ListParagraph"/>
        <w:numPr>
          <w:ilvl w:val="0"/>
          <w:numId w:val="2"/>
        </w:numPr>
        <w:bidi/>
        <w:spacing w:after="70" w:before="0" w:line="300"/>
      </w:pPr>
      <w:r>
        <w:rPr>
          <w:rFonts w:ascii="Arial" w:cs="Arial" w:eastAsia="Arial" w:hAnsi="Arial"/>
          <w:b/>
          <w:bCs/>
          <w:sz w:val="21"/>
          <w:szCs w:val="21"/>
          <w:rtl/>
        </w:rPr>
        <w:t xml:space="preserve">مع المفوّضين (S1-ب).</w:t>
      </w:r>
      <w:r>
        <w:rPr>
          <w:rFonts w:ascii="Arial" w:cs="Arial" w:eastAsia="Arial" w:hAnsi="Arial"/>
          <w:b w:val="false"/>
          <w:bCs w:val="false"/>
          <w:sz w:val="21"/>
          <w:szCs w:val="21"/>
          <w:rtl/>
        </w:rPr>
        <w:t xml:space="preserve"> قواعد التوقيع والمفوّضون وصورة نموذج التوقيع (OQ-10).</w:t>
      </w:r>
    </w:p>
    <w:p>
      <w:pPr>
        <w:pStyle w:val="ListParagraph"/>
        <w:numPr>
          <w:ilvl w:val="0"/>
          <w:numId w:val="2"/>
        </w:numPr>
        <w:bidi/>
        <w:spacing w:after="70" w:before="0" w:line="300"/>
      </w:pPr>
      <w:r>
        <w:rPr>
          <w:rFonts w:ascii="Arial" w:cs="Arial" w:eastAsia="Arial" w:hAnsi="Arial"/>
          <w:b/>
          <w:bCs/>
          <w:sz w:val="21"/>
          <w:szCs w:val="21"/>
          <w:rtl/>
        </w:rPr>
        <w:t xml:space="preserve">الإشعارات لاحقًا.</w:t>
      </w:r>
      <w:r>
        <w:rPr>
          <w:rFonts w:ascii="Arial" w:cs="Arial" w:eastAsia="Arial" w:hAnsi="Arial"/>
          <w:b w:val="false"/>
          <w:bCs w:val="false"/>
          <w:sz w:val="21"/>
          <w:szCs w:val="21"/>
          <w:rtl/>
        </w:rPr>
        <w:t xml:space="preserve"> الملخصات، وتذكير الإجراءات المطلوبة، وأرشفة الإشعارات القديمة. مهامها في الكتالوج.</w:t>
      </w:r>
    </w:p>
    <w:p>
      <w:pPr>
        <w:pStyle w:val="ListParagraph"/>
        <w:numPr>
          <w:ilvl w:val="0"/>
          <w:numId w:val="2"/>
        </w:numPr>
        <w:bidi/>
        <w:spacing w:after="70" w:before="0" w:line="300"/>
      </w:pPr>
      <w:r>
        <w:rPr>
          <w:rFonts w:ascii="Arial" w:cs="Arial" w:eastAsia="Arial" w:hAnsi="Arial"/>
          <w:b/>
          <w:bCs/>
          <w:sz w:val="21"/>
          <w:szCs w:val="21"/>
          <w:rtl/>
        </w:rPr>
        <w:t xml:space="preserve">أحداث بلا مُطلِق في S1.</w:t>
      </w:r>
      <w:r>
        <w:rPr>
          <w:rFonts w:ascii="Arial" w:cs="Arial" w:eastAsia="Arial" w:hAnsi="Arial"/>
          <w:b w:val="false"/>
          <w:bCs w:val="false"/>
          <w:sz w:val="21"/>
          <w:szCs w:val="21"/>
          <w:rtl/>
        </w:rPr>
        <w:t xml:space="preserve"> PLT.QUOTA وPLT.INTEGRITY_FAIL مبذورتان، ويطلقهما ما يخصهما من المنصة لاحقًا.</w:t>
      </w:r>
    </w:p>
    <w:p>
      <w:pPr>
        <w:pStyle w:val="ListParagraph"/>
        <w:numPr>
          <w:ilvl w:val="0"/>
          <w:numId w:val="2"/>
        </w:numPr>
        <w:bidi/>
        <w:spacing w:after="70" w:before="0" w:line="300"/>
      </w:pPr>
      <w:r>
        <w:rPr>
          <w:rFonts w:ascii="Arial" w:cs="Arial" w:eastAsia="Arial" w:hAnsi="Arial"/>
          <w:b/>
          <w:bCs/>
          <w:sz w:val="21"/>
          <w:szCs w:val="21"/>
          <w:rtl/>
        </w:rPr>
        <w:t xml:space="preserve">قرارات خارج البناء.</w:t>
      </w:r>
      <w:r>
        <w:rPr>
          <w:rFonts w:ascii="Arial" w:cs="Arial" w:eastAsia="Arial" w:hAnsi="Arial"/>
          <w:b w:val="false"/>
          <w:bCs w:val="false"/>
          <w:sz w:val="21"/>
          <w:szCs w:val="21"/>
          <w:rtl/>
        </w:rPr>
        <w:t xml:space="preserve"> تأكيد الافتراضات في القسم 4. ومراجعة الخزينة لنصوص الحزم والرسائل.</w:t>
      </w:r>
    </w:p>
    <w:p>
      <w:pPr>
        <w:bidi/>
        <w:spacing w:after="6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المرحلة الثانية: بناء S1 · BankFas · 2026-10-22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المرحلة الثانية: بناء التطبيق — الشريحة S1</dc:title>
  <dc:creator>Claude</dc:creator>
  <dc:description>BankFas database design document</dc:description>
  <cp:lastModifiedBy>Un-named</cp:lastModifiedBy>
  <cp:revision>1</cp:revision>
  <dcterms:created xsi:type="dcterms:W3CDTF">2026-10-22T01:51:18.158Z</dcterms:created>
  <dcterms:modified xsi:type="dcterms:W3CDTF">2026-10-22T01:51:18.158Z</dcterms:modified>
</cp:coreProperties>
</file>

<file path=docProps/custom.xml><?xml version="1.0" encoding="utf-8"?>
<Properties xmlns="http://schemas.openxmlformats.org/officeDocument/2006/custom-properties" xmlns:vt="http://schemas.openxmlformats.org/officeDocument/2006/docPropsVTypes"/>
</file>