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198 tables · 20 schemas · 768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198 tables in 20 schemas; 768 foreign keys; 518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198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73 diagrams cover 198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18</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031730" cy="617529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031730" cy="617529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enforced by the application (FR-PLT-027, BR-PLT-011)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UnlinkedBy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KeyPurpose, 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083300" cy="7354809"/>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6083300" cy="7354809"/>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cfg.JobDefinition</w:t>
            </w:r>
          </w:p>
        </w:tc>
        <w:tc>
          <w:tcPr>
            <w:tcW w:type="dxa" w:w="6690"/>
            <w:shd w:val="clear" w:color="auto" w:fill="E8EEF6"/>
          </w:tcPr>
          <w:p>
            <w:pPr>
              <w:spacing w:after="0" w:before="0"/>
            </w:pPr>
            <w:r/>
            <w:r>
              <w:rPr>
                <w:rFonts w:ascii="Arial" w:hAnsi="Arial"/>
                <w:b w:val="0"/>
                <w:sz w:val="15"/>
              </w:rPr>
              <w:t>Background job catalogue: the only JobKey values a job connection may bind with (FR-PLT-044)</w:t>
            </w:r>
          </w:p>
        </w:tc>
        <w:tc>
          <w:tcPr>
            <w:tcW w:type="dxa" w:w="2948"/>
            <w:shd w:val="clear" w:color="auto" w:fill="E8EEF6"/>
          </w:tcPr>
          <w:p>
            <w:pPr>
              <w:spacing w:after="0" w:before="0"/>
            </w:pPr>
            <w:r/>
            <w:r>
              <w:rPr>
                <w:rFonts w:ascii="Arial" w:hAnsi="Arial"/>
                <w:b w:val="0"/>
                <w:sz w:val="15"/>
              </w:rPr>
              <w:t>JobDefinitionId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5004507"/>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5004507"/>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31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32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44  Obligations, covenants and reporting (part 1 of 3)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043930" cy="8018392"/>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043930" cy="8018392"/>
                    </a:xfrm>
                    <a:prstGeom prst="rect"/>
                  </pic:spPr>
                </pic:pic>
              </a:graphicData>
            </a:graphic>
          </wp:inline>
        </w:drawing>
      </w:r>
    </w:p>
    <w:p>
      <w:pPr>
        <w:spacing w:after="120"/>
        <w:jc w:val="center"/>
      </w:pPr>
      <w:r>
        <w:rPr>
          <w:rFonts w:ascii="Arial" w:hAnsi="Arial"/>
          <w:b w:val="0"/>
          <w:i/>
          <w:color w:val="6B7280"/>
          <w:sz w:val="16"/>
        </w:rPr>
        <w:t>Figure 45  Obligations, covenants and reporting (part 2 of 3)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46  Obligations, covenants and reporting (part 3 of 3)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6660047"/>
            <wp:docPr id="47" name="Picture 47"/>
            <wp:cNvGraphicFramePr>
              <a:graphicFrameLocks noChangeAspect="1"/>
            </wp:cNvGraphicFramePr>
            <a:graphic>
              <a:graphicData uri="http://schemas.openxmlformats.org/drawingml/2006/picture">
                <pic:pic>
                  <pic:nvPicPr>
                    <pic:cNvPr id="0" name="m5_financials_1.png"/>
                    <pic:cNvPicPr/>
                  </pic:nvPicPr>
                  <pic:blipFill>
                    <a:blip r:embed="rId57"/>
                    <a:stretch>
                      <a:fillRect/>
                    </a:stretch>
                  </pic:blipFill>
                  <pic:spPr>
                    <a:xfrm>
                      <a:off x="0" y="0"/>
                      <a:ext cx="5908040" cy="6660047"/>
                    </a:xfrm>
                    <a:prstGeom prst="rect"/>
                  </pic:spPr>
                </pic:pic>
              </a:graphicData>
            </a:graphic>
          </wp:inline>
        </w:drawing>
      </w:r>
    </w:p>
    <w:p>
      <w:pPr>
        <w:spacing w:after="120"/>
        <w:jc w:val="center"/>
      </w:pPr>
      <w:r>
        <w:rPr>
          <w:rFonts w:ascii="Arial" w:hAnsi="Arial"/>
          <w:b w:val="0"/>
          <w:i/>
          <w:color w:val="6B7280"/>
          <w:sz w:val="16"/>
        </w:rPr>
        <w:t>Figure 47  Financial statements and balances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4024519"/>
            <wp:docPr id="48" name="Picture 48"/>
            <wp:cNvGraphicFramePr>
              <a:graphicFrameLocks noChangeAspect="1"/>
            </wp:cNvGraphicFramePr>
            <a:graphic>
              <a:graphicData uri="http://schemas.openxmlformats.org/drawingml/2006/picture">
                <pic:pic>
                  <pic:nvPicPr>
                    <pic:cNvPr id="0" name="m5_financials_2.png"/>
                    <pic:cNvPicPr/>
                  </pic:nvPicPr>
                  <pic:blipFill>
                    <a:blip r:embed="rId58"/>
                    <a:stretch>
                      <a:fillRect/>
                    </a:stretch>
                  </pic:blipFill>
                  <pic:spPr>
                    <a:xfrm>
                      <a:off x="0" y="0"/>
                      <a:ext cx="6015990" cy="4024519"/>
                    </a:xfrm>
                    <a:prstGeom prst="rect"/>
                  </pic:spPr>
                </pic:pic>
              </a:graphicData>
            </a:graphic>
          </wp:inline>
        </w:drawing>
      </w:r>
    </w:p>
    <w:p>
      <w:pPr>
        <w:spacing w:after="120"/>
        <w:jc w:val="center"/>
      </w:pPr>
      <w:r>
        <w:rPr>
          <w:rFonts w:ascii="Arial" w:hAnsi="Arial"/>
          <w:b w:val="0"/>
          <w:i/>
          <w:color w:val="6B7280"/>
          <w:sz w:val="16"/>
        </w:rPr>
        <w:t>Figure 48  Financial statements and balances (part 2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48730" cy="4868606"/>
            <wp:docPr id="49" name="Picture 49"/>
            <wp:cNvGraphicFramePr>
              <a:graphicFrameLocks noChangeAspect="1"/>
            </wp:cNvGraphicFramePr>
            <a:graphic>
              <a:graphicData uri="http://schemas.openxmlformats.org/drawingml/2006/picture">
                <pic:pic>
                  <pic:nvPicPr>
                    <pic:cNvPr id="0" name="m5_financials_3.png"/>
                    <pic:cNvPicPr/>
                  </pic:nvPicPr>
                  <pic:blipFill>
                    <a:blip r:embed="rId59"/>
                    <a:stretch>
                      <a:fillRect/>
                    </a:stretch>
                  </pic:blipFill>
                  <pic:spPr>
                    <a:xfrm>
                      <a:off x="0" y="0"/>
                      <a:ext cx="6348730" cy="4868606"/>
                    </a:xfrm>
                    <a:prstGeom prst="rect"/>
                  </pic:spPr>
                </pic:pic>
              </a:graphicData>
            </a:graphic>
          </wp:inline>
        </w:drawing>
      </w:r>
    </w:p>
    <w:p>
      <w:pPr>
        <w:spacing w:after="120"/>
        <w:jc w:val="center"/>
      </w:pPr>
      <w:r>
        <w:rPr>
          <w:rFonts w:ascii="Arial" w:hAnsi="Arial"/>
          <w:b w:val="0"/>
          <w:i/>
          <w:color w:val="6B7280"/>
          <w:sz w:val="16"/>
        </w:rPr>
        <w:t>Figure 49  Financial statements and balances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0" name="Picture 50"/>
            <wp:cNvGraphicFramePr>
              <a:graphicFrameLocks noChangeAspect="1"/>
            </wp:cNvGraphicFramePr>
            <a:graphic>
              <a:graphicData uri="http://schemas.openxmlformats.org/drawingml/2006/picture">
                <pic:pic>
                  <pic:nvPicPr>
                    <pic:cNvPr id="0" name="m6_wf_templates_1.png"/>
                    <pic:cNvPicPr/>
                  </pic:nvPicPr>
                  <pic:blipFill>
                    <a:blip r:embed="rId60"/>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50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1" name="Picture 51"/>
            <wp:cNvGraphicFramePr>
              <a:graphicFrameLocks noChangeAspect="1"/>
            </wp:cNvGraphicFramePr>
            <a:graphic>
              <a:graphicData uri="http://schemas.openxmlformats.org/drawingml/2006/picture">
                <pic:pic>
                  <pic:nvPicPr>
                    <pic:cNvPr id="0" name="m6_wf_templates_2.png"/>
                    <pic:cNvPicPr/>
                  </pic:nvPicPr>
                  <pic:blipFill>
                    <a:blip r:embed="rId61"/>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51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2" name="Picture 52"/>
            <wp:cNvGraphicFramePr>
              <a:graphicFrameLocks noChangeAspect="1"/>
            </wp:cNvGraphicFramePr>
            <a:graphic>
              <a:graphicData uri="http://schemas.openxmlformats.org/drawingml/2006/picture">
                <pic:pic>
                  <pic:nvPicPr>
                    <pic:cNvPr id="0" name="m6_wf_templates_3.png"/>
                    <pic:cNvPicPr/>
                  </pic:nvPicPr>
                  <pic:blipFill>
                    <a:blip r:embed="rId62"/>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52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3" name="Picture 53"/>
            <wp:cNvGraphicFramePr>
              <a:graphicFrameLocks noChangeAspect="1"/>
            </wp:cNvGraphicFramePr>
            <a:graphic>
              <a:graphicData uri="http://schemas.openxmlformats.org/drawingml/2006/picture">
                <pic:pic>
                  <pic:nvPicPr>
                    <pic:cNvPr id="0" name="m6_wf_templates_4.png"/>
                    <pic:cNvPicPr/>
                  </pic:nvPicPr>
                  <pic:blipFill>
                    <a:blip r:embed="rId63"/>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53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54" name="Picture 54"/>
            <wp:cNvGraphicFramePr>
              <a:graphicFrameLocks noChangeAspect="1"/>
            </wp:cNvGraphicFramePr>
            <a:graphic>
              <a:graphicData uri="http://schemas.openxmlformats.org/drawingml/2006/picture">
                <pic:pic>
                  <pic:nvPicPr>
                    <pic:cNvPr id="0" name="m6_requests_1.png"/>
                    <pic:cNvPicPr/>
                  </pic:nvPicPr>
                  <pic:blipFill>
                    <a:blip r:embed="rId64"/>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54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55" name="Picture 55"/>
            <wp:cNvGraphicFramePr>
              <a:graphicFrameLocks noChangeAspect="1"/>
            </wp:cNvGraphicFramePr>
            <a:graphic>
              <a:graphicData uri="http://schemas.openxmlformats.org/drawingml/2006/picture">
                <pic:pic>
                  <pic:nvPicPr>
                    <pic:cNvPr id="0" name="m6_requests_2.png"/>
                    <pic:cNvPicPr/>
                  </pic:nvPicPr>
                  <pic:blipFill>
                    <a:blip r:embed="rId65"/>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55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56" name="Picture 56"/>
            <wp:cNvGraphicFramePr>
              <a:graphicFrameLocks noChangeAspect="1"/>
            </wp:cNvGraphicFramePr>
            <a:graphic>
              <a:graphicData uri="http://schemas.openxmlformats.org/drawingml/2006/picture">
                <pic:pic>
                  <pic:nvPicPr>
                    <pic:cNvPr id="0" name="m6_requests_3.png"/>
                    <pic:cNvPicPr/>
                  </pic:nvPicPr>
                  <pic:blipFill>
                    <a:blip r:embed="rId66"/>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56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57" name="Picture 57"/>
            <wp:cNvGraphicFramePr>
              <a:graphicFrameLocks noChangeAspect="1"/>
            </wp:cNvGraphicFramePr>
            <a:graphic>
              <a:graphicData uri="http://schemas.openxmlformats.org/drawingml/2006/picture">
                <pic:pic>
                  <pic:nvPicPr>
                    <pic:cNvPr id="0" name="m6_requests_4.png"/>
                    <pic:cNvPicPr/>
                  </pic:nvPicPr>
                  <pic:blipFill>
                    <a:blip r:embed="rId67"/>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57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58" name="Picture 58"/>
            <wp:cNvGraphicFramePr>
              <a:graphicFrameLocks noChangeAspect="1"/>
            </wp:cNvGraphicFramePr>
            <a:graphic>
              <a:graphicData uri="http://schemas.openxmlformats.org/drawingml/2006/picture">
                <pic:pic>
                  <pic:nvPicPr>
                    <pic:cNvPr id="0" name="m6_requests_5.png"/>
                    <pic:cNvPicPr/>
                  </pic:nvPicPr>
                  <pic:blipFill>
                    <a:blip r:embed="rId68"/>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58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59" name="Picture 59"/>
            <wp:cNvGraphicFramePr>
              <a:graphicFrameLocks noChangeAspect="1"/>
            </wp:cNvGraphicFramePr>
            <a:graphic>
              <a:graphicData uri="http://schemas.openxmlformats.org/drawingml/2006/picture">
                <pic:pic>
                  <pic:nvPicPr>
                    <pic:cNvPr id="0" name="m6_requests_6.png"/>
                    <pic:cNvPicPr/>
                  </pic:nvPicPr>
                  <pic:blipFill>
                    <a:blip r:embed="rId69"/>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59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0" name="Picture 60"/>
            <wp:cNvGraphicFramePr>
              <a:graphicFrameLocks noChangeAspect="1"/>
            </wp:cNvGraphicFramePr>
            <a:graphic>
              <a:graphicData uri="http://schemas.openxmlformats.org/drawingml/2006/picture">
                <pic:pic>
                  <pic:nvPicPr>
                    <pic:cNvPr id="0" name="m6_notifications.png"/>
                    <pic:cNvPicPr/>
                  </pic:nvPicPr>
                  <pic:blipFill>
                    <a:blip r:embed="rId70"/>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60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1" name="Picture 61"/>
            <wp:cNvGraphicFramePr>
              <a:graphicFrameLocks noChangeAspect="1"/>
            </wp:cNvGraphicFramePr>
            <a:graphic>
              <a:graphicData uri="http://schemas.openxmlformats.org/drawingml/2006/picture">
                <pic:pic>
                  <pic:nvPicPr>
                    <pic:cNvPr id="0" name="m7_8_lc_terms_1.png"/>
                    <pic:cNvPicPr/>
                  </pic:nvPicPr>
                  <pic:blipFill>
                    <a:blip r:embed="rId71"/>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61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2" name="Picture 62"/>
            <wp:cNvGraphicFramePr>
              <a:graphicFrameLocks noChangeAspect="1"/>
            </wp:cNvGraphicFramePr>
            <a:graphic>
              <a:graphicData uri="http://schemas.openxmlformats.org/drawingml/2006/picture">
                <pic:pic>
                  <pic:nvPicPr>
                    <pic:cNvPr id="0" name="m7_8_lc_terms_2.png"/>
                    <pic:cNvPicPr/>
                  </pic:nvPicPr>
                  <pic:blipFill>
                    <a:blip r:embed="rId72"/>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62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3" name="Picture 63"/>
            <wp:cNvGraphicFramePr>
              <a:graphicFrameLocks noChangeAspect="1"/>
            </wp:cNvGraphicFramePr>
            <a:graphic>
              <a:graphicData uri="http://schemas.openxmlformats.org/drawingml/2006/picture">
                <pic:pic>
                  <pic:nvPicPr>
                    <pic:cNvPr id="0" name="m7_8_lc_terms_3.png"/>
                    <pic:cNvPicPr/>
                  </pic:nvPicPr>
                  <pic:blipFill>
                    <a:blip r:embed="rId73"/>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63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64" name="Picture 64"/>
            <wp:cNvGraphicFramePr>
              <a:graphicFrameLocks noChangeAspect="1"/>
            </wp:cNvGraphicFramePr>
            <a:graphic>
              <a:graphicData uri="http://schemas.openxmlformats.org/drawingml/2006/picture">
                <pic:pic>
                  <pic:nvPicPr>
                    <pic:cNvPr id="0" name="m7_8_lc_terms_4.png"/>
                    <pic:cNvPicPr/>
                  </pic:nvPicPr>
                  <pic:blipFill>
                    <a:blip r:embed="rId74"/>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64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65" name="Picture 65"/>
            <wp:cNvGraphicFramePr>
              <a:graphicFrameLocks noChangeAspect="1"/>
            </wp:cNvGraphicFramePr>
            <a:graphic>
              <a:graphicData uri="http://schemas.openxmlformats.org/drawingml/2006/picture">
                <pic:pic>
                  <pic:nvPicPr>
                    <pic:cNvPr id="0" name="m7_8_lc_terms_5.png"/>
                    <pic:cNvPicPr/>
                  </pic:nvPicPr>
                  <pic:blipFill>
                    <a:blip r:embed="rId75"/>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65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66" name="Picture 66"/>
            <wp:cNvGraphicFramePr>
              <a:graphicFrameLocks noChangeAspect="1"/>
            </wp:cNvGraphicFramePr>
            <a:graphic>
              <a:graphicData uri="http://schemas.openxmlformats.org/drawingml/2006/picture">
                <pic:pic>
                  <pic:nvPicPr>
                    <pic:cNvPr id="0" name="m7_8_lc_ops_1.png"/>
                    <pic:cNvPicPr/>
                  </pic:nvPicPr>
                  <pic:blipFill>
                    <a:blip r:embed="rId76"/>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66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67" name="Picture 67"/>
            <wp:cNvGraphicFramePr>
              <a:graphicFrameLocks noChangeAspect="1"/>
            </wp:cNvGraphicFramePr>
            <a:graphic>
              <a:graphicData uri="http://schemas.openxmlformats.org/drawingml/2006/picture">
                <pic:pic>
                  <pic:nvPicPr>
                    <pic:cNvPr id="0" name="m7_8_lc_ops_2.png"/>
                    <pic:cNvPicPr/>
                  </pic:nvPicPr>
                  <pic:blipFill>
                    <a:blip r:embed="rId77"/>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67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68" name="Picture 68"/>
            <wp:cNvGraphicFramePr>
              <a:graphicFrameLocks noChangeAspect="1"/>
            </wp:cNvGraphicFramePr>
            <a:graphic>
              <a:graphicData uri="http://schemas.openxmlformats.org/drawingml/2006/picture">
                <pic:pic>
                  <pic:nvPicPr>
                    <pic:cNvPr id="0" name="m7_8_lc_ops_3.png"/>
                    <pic:cNvPicPr/>
                  </pic:nvPicPr>
                  <pic:blipFill>
                    <a:blip r:embed="rId78"/>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68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69" name="Picture 69"/>
            <wp:cNvGraphicFramePr>
              <a:graphicFrameLocks noChangeAspect="1"/>
            </wp:cNvGraphicFramePr>
            <a:graphic>
              <a:graphicData uri="http://schemas.openxmlformats.org/drawingml/2006/picture">
                <pic:pic>
                  <pic:nvPicPr>
                    <pic:cNvPr id="0" name="m7_8_lc_ops_4.png"/>
                    <pic:cNvPicPr/>
                  </pic:nvPicPr>
                  <pic:blipFill>
                    <a:blip r:embed="rId79"/>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69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0" name="Picture 70"/>
            <wp:cNvGraphicFramePr>
              <a:graphicFrameLocks noChangeAspect="1"/>
            </wp:cNvGraphicFramePr>
            <a:graphic>
              <a:graphicData uri="http://schemas.openxmlformats.org/drawingml/2006/picture">
                <pic:pic>
                  <pic:nvPicPr>
                    <pic:cNvPr id="0" name="m7_8_lc_ops_5.png"/>
                    <pic:cNvPicPr/>
                  </pic:nvPicPr>
                  <pic:blipFill>
                    <a:blip r:embed="rId80"/>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70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1" name="Picture 71"/>
            <wp:cNvGraphicFramePr>
              <a:graphicFrameLocks noChangeAspect="1"/>
            </wp:cNvGraphicFramePr>
            <a:graphic>
              <a:graphicData uri="http://schemas.openxmlformats.org/drawingml/2006/picture">
                <pic:pic>
                  <pic:nvPicPr>
                    <pic:cNvPr id="0" name="m7_8_lc_ops_6.png"/>
                    <pic:cNvPicPr/>
                  </pic:nvPicPr>
                  <pic:blipFill>
                    <a:blip r:embed="rId81"/>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71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2" name="Picture 72"/>
            <wp:cNvGraphicFramePr>
              <a:graphicFrameLocks noChangeAspect="1"/>
            </wp:cNvGraphicFramePr>
            <a:graphic>
              <a:graphicData uri="http://schemas.openxmlformats.org/drawingml/2006/picture">
                <pic:pic>
                  <pic:nvPicPr>
                    <pic:cNvPr id="0" name="m7_8_lc_ops_7.png"/>
                    <pic:cNvPicPr/>
                  </pic:nvPicPr>
                  <pic:blipFill>
                    <a:blip r:embed="rId82"/>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72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3" name="Picture 73"/>
            <wp:cNvGraphicFramePr>
              <a:graphicFrameLocks noChangeAspect="1"/>
            </wp:cNvGraphicFramePr>
            <a:graphic>
              <a:graphicData uri="http://schemas.openxmlformats.org/drawingml/2006/picture">
                <pic:pic>
                  <pic:nvPicPr>
                    <pic:cNvPr id="0" name="m7_8_lc_ops_8.png"/>
                    <pic:cNvPicPr/>
                  </pic:nvPicPr>
                  <pic:blipFill>
                    <a:blip r:embed="rId83"/>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73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74" name="Picture 74"/>
            <wp:cNvGraphicFramePr>
              <a:graphicFrameLocks noChangeAspect="1"/>
            </wp:cNvGraphicFramePr>
            <a:graphic>
              <a:graphicData uri="http://schemas.openxmlformats.org/drawingml/2006/picture">
                <pic:pic>
                  <pic:nvPicPr>
                    <pic:cNvPr id="0" name="m7_8_lc_ops_9.png"/>
                    <pic:cNvPicPr/>
                  </pic:nvPicPr>
                  <pic:blipFill>
                    <a:blip r:embed="rId84"/>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74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Owner decision 2026-10-12 (DQ-B09-2): add owner, needed-by and review-date columns to section 14 of each specification and to tools/gen_indexes.py; resolve the critical questions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Still open: R6, tp_app may delete sec.LoginAttempt rows and logins write no aud.AuditLog row (DQ-F03-10, not decided).</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The procedures write outbox events but no audit rows, so onboarding, status changes, support and job bindings and operator logins are audited only if the application writes them (FR-PLT-022). Operator roles cannot be changed. The ISO seed sets the dial code and weekend for the six GCC states only; the other dial codes need an ITU source, and the GCC weekends are proposals to verify (Q-CAT-12). A job bound in SUSPENDED or CLOSED cannot write (DQ-F04-8).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ISO country and currency lists (DQ-B05-5) and the 138 permission codes (DQ-F07-1, DQ-F09-1) are now seeded (docs/adr/0005-document-numbering-and-reference-seeds.md).</w:t>
            </w:r>
          </w:p>
        </w:tc>
        <w:tc>
          <w:tcPr>
            <w:tcW w:type="dxa" w:w="2721"/>
          </w:tcPr>
          <w:p>
            <w:pPr>
              <w:spacing w:after="0" w:before="0"/>
            </w:pPr>
            <w:r/>
            <w:r>
              <w:rPr>
                <w:rFonts w:ascii="Arial" w:hAnsi="Arial"/>
                <w:b w:val="0"/>
                <w:sz w:val="15"/>
              </w:rPr>
              <w:t>Give the worker and support connections their own logins and secrets (DOC-S08); write the audit rows in the application with the chain; add the other dial codes from an ITU source; add the write procedures jobs need in read-only states; lift the closing guard when FR-PLT-039 ships.</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198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cfg.JobDefinition</w:t>
            </w:r>
          </w:p>
        </w:tc>
        <w:tc>
          <w:tcPr>
            <w:tcW w:type="dxa" w:w="10205"/>
            <w:shd w:val="clear" w:color="auto" w:fill="E8EEF6"/>
          </w:tcPr>
          <w:p>
            <w:pPr>
              <w:spacing w:after="0" w:before="0"/>
            </w:pPr>
            <w:r/>
            <w:r>
              <w:rPr>
                <w:rFonts w:ascii="Arial" w:hAnsi="Arial"/>
                <w:b w:val="0"/>
                <w:sz w:val="15"/>
              </w:rPr>
              <w:t>Background job catalogue: the only JobKey values a job connection may bind with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cfg.JobRun</w:t>
            </w:r>
          </w:p>
        </w:tc>
        <w:tc>
          <w:tcPr>
            <w:tcW w:type="dxa" w:w="10205"/>
          </w:tcPr>
          <w:p>
            <w:pPr>
              <w:spacing w:after="0" w:before="0"/>
            </w:pPr>
            <w:r/>
            <w:r>
              <w:rPr>
                <w:rFonts w:ascii="Arial" w:hAnsi="Arial"/>
                <w:b w:val="0"/>
                <w:sz w:val="15"/>
              </w:rPr>
              <w:t>Background job run log: last run, duration and result, visible to the account administrator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cfg.NonWorkingDay</w:t>
            </w:r>
          </w:p>
        </w:tc>
        <w:tc>
          <w:tcPr>
            <w:tcW w:type="dxa" w:w="10205"/>
            <w:shd w:val="clear" w:color="auto" w:fill="E8EEF6"/>
          </w:tcPr>
          <w:p>
            <w:pPr>
              <w:spacing w:after="0" w:before="0"/>
            </w:pPr>
            <w:r/>
            <w:r>
              <w:rPr>
                <w:rFonts w:ascii="Arial" w:hAnsi="Arial"/>
                <w:b w:val="0"/>
                <w:sz w:val="15"/>
              </w:rPr>
              <w:t>Non-working day; NULL TenantId = platform holiday, read-only (FR-PLT-035, BR-PLT-014)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cfg.NumberIssue</w:t>
            </w:r>
          </w:p>
        </w:tc>
        <w:tc>
          <w:tcPr>
            <w:tcW w:type="dxa" w:w="10205"/>
          </w:tcPr>
          <w:p>
            <w:pPr>
              <w:spacing w:after="0" w:before="0"/>
            </w:pPr>
            <w:r/>
            <w:r>
              <w:rPr>
                <w:rFonts w:ascii="Arial" w:hAnsi="Arial"/>
                <w:b w:val="0"/>
                <w:sz w:val="15"/>
              </w:rPr>
              <w:t>Issued document numbers; a cancelled number is never reused (FR-PLT-026, BR-PLT-010)</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cfg.NumberSequence</w:t>
            </w:r>
          </w:p>
        </w:tc>
        <w:tc>
          <w:tcPr>
            <w:tcW w:type="dxa" w:w="10205"/>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cfg.NumberSequenceDefinition</w:t>
            </w:r>
          </w:p>
        </w:tc>
        <w:tc>
          <w:tcPr>
            <w:tcW w:type="dxa" w:w="10205"/>
          </w:tcPr>
          <w:p>
            <w:pPr>
              <w:spacing w:after="0" w:before="0"/>
            </w:pPr>
            <w:r/>
            <w:r>
              <w:rPr>
                <w:rFonts w:ascii="Arial" w:hAnsi="Arial"/>
                <w:b w:val="0"/>
                <w:sz w:val="15"/>
              </w:rPr>
              <w:t>Numbering-type definition with a tag-based format, for example {seq:000}-{erp}-{yy} (FR-PLT-026)</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cfg.OutboxEvent</w:t>
            </w:r>
          </w:p>
        </w:tc>
        <w:tc>
          <w:tcPr>
            <w:tcW w:type="dxa" w:w="10205"/>
            <w:shd w:val="clear" w:color="auto" w:fill="E8EEF6"/>
          </w:tcPr>
          <w:p>
            <w:pPr>
              <w:spacing w:after="0" w:before="0"/>
            </w:pPr>
            <w:r/>
            <w:r>
              <w:rPr>
                <w:rFonts w:ascii="Arial" w:hAnsi="Arial"/>
                <w:b w:val="0"/>
                <w:sz w:val="15"/>
              </w:rPr>
              <w:t>Outbound queue with at-least-once delivery; the payload carries identifiers without restricted data (FR-PLT-042)</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cfg.SeedRun</w:t>
            </w:r>
          </w:p>
        </w:tc>
        <w:tc>
          <w:tcPr>
            <w:tcW w:type="dxa" w:w="10205"/>
          </w:tcPr>
          <w:p>
            <w:pPr>
              <w:spacing w:after="0" w:before="0"/>
            </w:pPr>
            <w:r/>
            <w:r>
              <w:rPr>
                <w:rFonts w:ascii="Arial" w:hAnsi="Arial"/>
                <w:b w:val="0"/>
                <w:sz w:val="15"/>
              </w:rPr>
              <w:t>Numbered seed-run log per package; re-running a seed adds nothing (FR-PLT-008)</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cfg.SettingDefinition</w:t>
            </w:r>
          </w:p>
        </w:tc>
        <w:tc>
          <w:tcPr>
            <w:tcW w:type="dxa" w:w="10205"/>
            <w:shd w:val="clear" w:color="auto" w:fill="E8EEF6"/>
          </w:tcPr>
          <w:p>
            <w:pPr>
              <w:spacing w:after="0" w:before="0"/>
            </w:pPr>
            <w:r/>
            <w:r>
              <w:rPr>
                <w:rFonts w:ascii="Arial" w:hAnsi="Arial"/>
                <w:b w:val="0"/>
                <w:sz w:val="15"/>
              </w:rPr>
              <w:t>Setting-key definition with platform minimum and maximum bounds (BR-PLT-018,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cfg.TenantSetting</w:t>
            </w:r>
          </w:p>
        </w:tc>
        <w:tc>
          <w:tcPr>
            <w:tcW w:type="dxa" w:w="10205"/>
          </w:tcPr>
          <w:p>
            <w:pPr>
              <w:spacing w:after="0" w:before="0"/>
            </w:pPr>
            <w:r/>
            <w:r>
              <w:rPr>
                <w:rFonts w:ascii="Arial" w:hAnsi="Arial"/>
                <w:b w:val="0"/>
                <w:sz w:val="15"/>
              </w:rPr>
              <w:t>Tenant settings: security policies, timeouts, thresholds, and work start and end times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cmp.TermType</w:t>
            </w:r>
          </w:p>
        </w:tc>
        <w:tc>
          <w:tcPr>
            <w:tcW w:type="dxa" w:w="10205"/>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cmp.TermValue</w:t>
            </w:r>
          </w:p>
        </w:tc>
        <w:tc>
          <w:tcPr>
            <w:tcW w:type="dxa" w:w="10205"/>
          </w:tcPr>
          <w:p>
            <w:pPr>
              <w:spacing w:after="0" w:before="0"/>
            </w:pPr>
            <w:r/>
            <w:r>
              <w:rPr>
                <w:rFonts w:ascii="Arial" w:hAnsi="Arial"/>
                <w:b w:val="0"/>
                <w:sz w:val="15"/>
              </w:rPr>
              <w:t>Term value in a facility, with its scope and source (FR-CMP-002..006, BR-CMP-001..006, V-CMP-01)</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col.Collateral</w:t>
            </w:r>
          </w:p>
        </w:tc>
        <w:tc>
          <w:tcPr>
            <w:tcW w:type="dxa" w:w="10205"/>
            <w:shd w:val="clear" w:color="auto" w:fill="E8EEF6"/>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col.CollateralLink</w:t>
            </w:r>
          </w:p>
        </w:tc>
        <w:tc>
          <w:tcPr>
            <w:tcW w:type="dxa" w:w="10205"/>
          </w:tcPr>
          <w:p>
            <w:pPr>
              <w:spacing w:after="0" w:before="0"/>
            </w:pPr>
            <w:r/>
            <w:r>
              <w:rPr>
                <w:rFonts w:ascii="Arial" w:hAnsi="Arial"/>
                <w:b w:val="0"/>
                <w:sz w:val="15"/>
              </w:rPr>
              <w:t>Link between collateral and a facility or limit; one collateral can serve several facilities (FR-COL-002, BR-COL-005)</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col.Guarantee</w:t>
            </w:r>
          </w:p>
        </w:tc>
        <w:tc>
          <w:tcPr>
            <w:tcW w:type="dxa" w:w="10205"/>
            <w:shd w:val="clear" w:color="auto" w:fill="E8EEF6"/>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col.InsurancePolicyAssignment</w:t>
            </w:r>
          </w:p>
        </w:tc>
        <w:tc>
          <w:tcPr>
            <w:tcW w:type="dxa" w:w="10205"/>
          </w:tcPr>
          <w:p>
            <w:pPr>
              <w:spacing w:after="0" w:before="0"/>
            </w:pPr>
            <w:r/>
            <w:r>
              <w:rPr>
                <w:rFonts w:ascii="Arial" w:hAnsi="Arial"/>
                <w:b w:val="0"/>
                <w:sz w:val="15"/>
              </w:rPr>
              <w:t>Insurance policy assignment; the uniqueness key (CollateralId, PolicyNo) allows the policy to be renewed (FR-COL-006, BR-COL-003)</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col.PromissoryNote</w:t>
            </w:r>
          </w:p>
        </w:tc>
        <w:tc>
          <w:tcPr>
            <w:tcW w:type="dxa" w:w="10205"/>
            <w:shd w:val="clear" w:color="auto" w:fill="E8EEF6"/>
          </w:tcPr>
          <w:p>
            <w:pPr>
              <w:spacing w:after="0" w:before="0"/>
            </w:pPr>
            <w:r/>
            <w:r>
              <w:rPr>
                <w:rFonts w:ascii="Arial" w:hAnsi="Arial"/>
                <w:b w:val="0"/>
                <w:sz w:val="15"/>
              </w:rPr>
              <w:t>Promissory note, 1:1; its own amount may exceed the limit (FR-COL-005, BR-COL-002); NextRenewalDue and PNRatio are derived</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col.PromissoryNoteSigner</w:t>
            </w:r>
          </w:p>
        </w:tc>
        <w:tc>
          <w:tcPr>
            <w:tcW w:type="dxa" w:w="10205"/>
          </w:tcPr>
          <w:p>
            <w:pPr>
              <w:spacing w:after="0" w:before="0"/>
            </w:pPr>
            <w:r/>
            <w:r>
              <w:rPr>
                <w:rFonts w:ascii="Arial" w:hAnsi="Arial"/>
                <w:b w:val="0"/>
                <w:sz w:val="15"/>
              </w:rPr>
              <w:t>Signers of the promissory note (SignerPartyIds)</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col.ValuationSchedule</w:t>
            </w:r>
          </w:p>
        </w:tc>
        <w:tc>
          <w:tcPr>
            <w:tcW w:type="dxa" w:w="10205"/>
            <w:shd w:val="clear" w:color="auto" w:fill="E8EEF6"/>
          </w:tcPr>
          <w:p>
            <w:pPr>
              <w:spacing w:after="0" w:before="0"/>
            </w:pPr>
            <w:r/>
            <w:r>
              <w:rPr>
                <w:rFonts w:ascii="Arial" w:hAnsi="Arial"/>
                <w:b w:val="0"/>
                <w:sz w:val="15"/>
              </w:rPr>
              <w:t>Property valuation schedule (FR-COL-008, BR-COL-004), for example three valuers in the first year, then one valuer per year</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doc.Document</w:t>
            </w:r>
          </w:p>
        </w:tc>
        <w:tc>
          <w:tcPr>
            <w:tcW w:type="dxa" w:w="10205"/>
          </w:tcPr>
          <w:p>
            <w:pPr>
              <w:spacing w:after="0" w:before="0"/>
            </w:pPr>
            <w:r/>
            <w:r>
              <w:rPr>
                <w:rFonts w:ascii="Arial" w:hAnsi="Arial"/>
                <w:b w:val="0"/>
                <w:sz w:val="15"/>
              </w:rPr>
              <w:t>Logical document: document data and status; the file itself is in doc.DocumentVersion (FR-PLT-027/028, BR-PLT-011)</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doc.DocumentLink</w:t>
            </w:r>
          </w:p>
        </w:tc>
        <w:tc>
          <w:tcPr>
            <w:tcW w:type="dxa" w:w="10205"/>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doc.DocumentVersion</w:t>
            </w:r>
          </w:p>
        </w:tc>
        <w:tc>
          <w:tcPr>
            <w:tcW w:type="dxa" w:w="10205"/>
          </w:tcPr>
          <w:p>
            <w:pPr>
              <w:spacing w:after="0" w:before="0"/>
            </w:pPr>
            <w:r/>
            <w:r>
              <w:rPr>
                <w:rFonts w:ascii="Arial" w:hAnsi="Arial"/>
                <w:b w:val="0"/>
                <w:sz w:val="15"/>
              </w:rPr>
              <w:t>Immutable file version; a change creates a new version, enforced by the application (FR-PLT-027, BR-PLT-011)</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fac.Facility</w:t>
            </w:r>
          </w:p>
        </w:tc>
        <w:tc>
          <w:tcPr>
            <w:tcW w:type="dxa" w:w="10205"/>
            <w:shd w:val="clear" w:color="auto" w:fill="E8EEF6"/>
          </w:tcPr>
          <w:p>
            <w:pPr>
              <w:spacing w:after="0" w:before="0"/>
            </w:pPr>
            <w:r/>
            <w:r>
              <w:rPr>
                <w:rFonts w:ascii="Arial" w:hAnsi="Arial"/>
                <w:b w:val="0"/>
                <w:sz w:val="15"/>
              </w:rPr>
              <w:t>Facility agreement package: root of the aggregate (FR-FAC-001..008, BR-FAC-001/005/006)</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fac.FacilityDocument</w:t>
            </w:r>
          </w:p>
        </w:tc>
        <w:tc>
          <w:tcPr>
            <w:tcW w:type="dxa" w:w="10205"/>
          </w:tcPr>
          <w:p>
            <w:pPr>
              <w:spacing w:after="0" w:before="0"/>
            </w:pPr>
            <w:r/>
            <w:r>
              <w:rPr>
                <w:rFonts w:ascii="Arial" w:hAnsi="Arial"/>
                <w:b w:val="0"/>
                <w:sz w:val="15"/>
              </w:rPr>
              <w:t>Document within the package, with precedence (FR-FAC-004, BR-FAC-008, V-FAC-03); its type comes from doc.Document.DocumentTypeId</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w:t>
            </w:r>
          </w:p>
        </w:tc>
        <w:tc>
          <w:tcPr>
            <w:tcW w:type="dxa" w:w="10205"/>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fin.BankFlowEntry</w:t>
            </w:r>
          </w:p>
        </w:tc>
        <w:tc>
          <w:tcPr>
            <w:tcW w:type="dxa" w:w="10205"/>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fin.FinancialStatement</w:t>
            </w:r>
          </w:p>
        </w:tc>
        <w:tc>
          <w:tcPr>
            <w:tcW w:type="dxa" w:w="10205"/>
          </w:tcPr>
          <w:p>
            <w:pPr>
              <w:spacing w:after="0" w:before="0"/>
            </w:pPr>
            <w:r/>
            <w:r>
              <w:rPr>
                <w:rFonts w:ascii="Arial" w:hAnsi="Arial"/>
                <w:b w:val="0"/>
                <w:sz w:val="15"/>
              </w:rPr>
              <w:t>Financial statement header; highly confidential (FR-FIN-002/005/006, BR-FIN-001..004, section 8)</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fin.LineCatalogItem</w:t>
            </w:r>
          </w:p>
        </w:tc>
        <w:tc>
          <w:tcPr>
            <w:tcW w:type="dxa" w:w="10205"/>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fin.LineCatalogItemAlias</w:t>
            </w:r>
          </w:p>
        </w:tc>
        <w:tc>
          <w:tcPr>
            <w:tcW w:type="dxa" w:w="10205"/>
          </w:tcPr>
          <w:p>
            <w:pPr>
              <w:spacing w:after="0" w:before="0"/>
            </w:pPr>
            <w:r/>
            <w:r>
              <w:rPr>
                <w:rFonts w:ascii="Arial" w:hAnsi="Arial"/>
                <w:b w:val="0"/>
                <w:sz w:val="15"/>
              </w:rPr>
              <w:t>Alternative names (aliases) for a line item, used for paste and matching</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fin.MeasureFormula</w:t>
            </w:r>
          </w:p>
        </w:tc>
        <w:tc>
          <w:tcPr>
            <w:tcW w:type="dxa" w:w="10205"/>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fin.StatementLine</w:t>
            </w:r>
          </w:p>
        </w:tc>
        <w:tc>
          <w:tcPr>
            <w:tcW w:type="dxa" w:w="10205"/>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ins.Contact</w:t>
            </w:r>
          </w:p>
        </w:tc>
        <w:tc>
          <w:tcPr>
            <w:tcW w:type="dxa" w:w="10205"/>
            <w:shd w:val="clear" w:color="auto" w:fill="E8EEF6"/>
          </w:tcPr>
          <w:p>
            <w:pPr>
              <w:spacing w:after="0" w:before="0"/>
            </w:pPr>
            <w:r/>
            <w:r>
              <w:rPr>
                <w:rFonts w:ascii="Arial" w:hAnsi="Arial"/>
                <w:b w:val="0"/>
                <w:sz w:val="15"/>
              </w:rPr>
              <w:t>Contact at a bank: a lightweight record with no identity; PartyId is optional, for promotion (FR-INS-007/008, BR-INS-005/006/014)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w:t>
            </w:r>
          </w:p>
        </w:tc>
        <w:tc>
          <w:tcPr>
            <w:tcW w:type="dxa" w:w="10205"/>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ins.InstitutionUnit</w:t>
            </w:r>
          </w:p>
        </w:tc>
        <w:tc>
          <w:tcPr>
            <w:tcW w:type="dxa" w:w="10205"/>
            <w:shd w:val="clear" w:color="auto" w:fill="E8EEF6"/>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ins.Relationship</w:t>
            </w:r>
          </w:p>
        </w:tc>
        <w:tc>
          <w:tcPr>
            <w:tcW w:type="dxa" w:w="10205"/>
          </w:tcPr>
          <w:p>
            <w:pPr>
              <w:spacing w:after="0" w:before="0"/>
            </w:pPr>
            <w:r/>
            <w:r>
              <w:rPr>
                <w:rFonts w:ascii="Arial" w:hAnsi="Arial"/>
                <w:b w:val="0"/>
                <w:sz w:val="15"/>
              </w:rPr>
              <w:t>Company–institution relationship (D-4); unique regardless of status (FR-INS-009, BR-INS-007/011)</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ins.RelationshipContact</w:t>
            </w:r>
          </w:p>
        </w:tc>
        <w:tc>
          <w:tcPr>
            <w:tcW w:type="dxa" w:w="10205"/>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ins.RelationshipProduct</w:t>
            </w:r>
          </w:p>
        </w:tc>
        <w:tc>
          <w:tcPr>
            <w:tcW w:type="dxa" w:w="10205"/>
          </w:tcPr>
          <w:p>
            <w:pPr>
              <w:spacing w:after="0" w:before="0"/>
            </w:pPr>
            <w:r/>
            <w:r>
              <w:rPr>
                <w:rFonts w:ascii="Arial" w:hAnsi="Arial"/>
                <w:b w:val="0"/>
                <w:sz w:val="15"/>
              </w:rPr>
              <w:t>Product handled within a relationship, with a default contact and channel (FR-INS-011..013, BR-INS-010)</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lc.Counterparty</w:t>
            </w:r>
          </w:p>
        </w:tc>
        <w:tc>
          <w:tcPr>
            <w:tcW w:type="dxa" w:w="10205"/>
            <w:shd w:val="clear" w:color="auto" w:fill="E8EEF6"/>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lc.LcAmendment</w:t>
            </w:r>
          </w:p>
        </w:tc>
        <w:tc>
          <w:tcPr>
            <w:tcW w:type="dxa" w:w="10205"/>
          </w:tcPr>
          <w:p>
            <w:pPr>
              <w:spacing w:after="0" w:before="0"/>
            </w:pPr>
            <w:r/>
            <w:r>
              <w:rPr>
                <w:rFonts w:ascii="Arial" w:hAnsi="Arial"/>
                <w:b w:val="0"/>
                <w:sz w:val="15"/>
              </w:rPr>
              <w:t>Amendment to an issued or received letter of credit (FR-LCI-018/019, FR-LCE-020, BR-LCI-011/012, BR-LCE-014); statuses in section 8</w:t>
            </w:r>
          </w:p>
        </w:tc>
        <w:tc>
          <w:tcPr>
            <w:tcW w:type="dxa" w:w="1701"/>
          </w:tcPr>
          <w:p>
            <w:pPr>
              <w:spacing w:after="0" w:before="0"/>
            </w:pPr>
            <w:r/>
            <w:r>
              <w:rPr>
                <w:rFonts w:ascii="Arial" w:hAnsi="Arial"/>
                <w:b w:val="0"/>
                <w:sz w:val="15"/>
              </w:rPr>
              <w:t>m7_8_lc_ops_4</w:t>
            </w:r>
          </w:p>
        </w:tc>
      </w:tr>
      <w:tr>
        <w:trPr>
          <w:cantSplit w:val="true"/>
        </w:trPr>
        <w:tc>
          <w:tcPr>
            <w:tcW w:type="dxa" w:w="3515"/>
            <w:shd w:val="clear" w:color="auto" w:fill="E8EEF6"/>
          </w:tcPr>
          <w:p>
            <w:pPr>
              <w:spacing w:after="0" w:before="0"/>
            </w:pPr>
            <w:r/>
            <w:r>
              <w:rPr>
                <w:rFonts w:ascii="Arial" w:hAnsi="Arial"/>
                <w:b w:val="0"/>
                <w:sz w:val="15"/>
              </w:rPr>
              <w:t>lc.LcChargesMatrix</w:t>
            </w:r>
          </w:p>
        </w:tc>
        <w:tc>
          <w:tcPr>
            <w:tcW w:type="dxa" w:w="10205"/>
            <w:shd w:val="clear" w:color="auto" w:fill="E8EEF6"/>
          </w:tcPr>
          <w:p>
            <w:pPr>
              <w:spacing w:after="0" w:before="0"/>
            </w:pPr>
            <w:r/>
            <w:r>
              <w:rPr>
                <w:rFonts w:ascii="Arial" w:hAnsi="Arial"/>
                <w:b w:val="0"/>
                <w:sz w:val="15"/>
              </w:rPr>
              <w:t>Charges per term: one row per category; six complete rows, checked by the application (V-LCT-12) (FR-LCT-020, BR-LCT-014)</w:t>
            </w:r>
          </w:p>
        </w:tc>
        <w:tc>
          <w:tcPr>
            <w:tcW w:type="dxa" w:w="1701"/>
            <w:shd w:val="clear" w:color="auto" w:fill="E8EEF6"/>
          </w:tcPr>
          <w:p>
            <w:pPr>
              <w:spacing w:after="0" w:before="0"/>
            </w:pPr>
            <w:r/>
            <w:r>
              <w:rPr>
                <w:rFonts w:ascii="Arial" w:hAnsi="Arial"/>
                <w:b w:val="0"/>
                <w:sz w:val="15"/>
              </w:rPr>
              <w:t>m7_8_lc_terms_4</w:t>
            </w:r>
          </w:p>
        </w:tc>
      </w:tr>
      <w:tr>
        <w:trPr>
          <w:cantSplit w:val="true"/>
        </w:trPr>
        <w:tc>
          <w:tcPr>
            <w:tcW w:type="dxa" w:w="3515"/>
          </w:tcPr>
          <w:p>
            <w:pPr>
              <w:spacing w:after="0" w:before="0"/>
            </w:pPr>
            <w:r/>
            <w:r>
              <w:rPr>
                <w:rFonts w:ascii="Arial" w:hAnsi="Arial"/>
                <w:b w:val="0"/>
                <w:sz w:val="15"/>
              </w:rPr>
              <w:t>lc.LcDiscrepancy</w:t>
            </w:r>
          </w:p>
        </w:tc>
        <w:tc>
          <w:tcPr>
            <w:tcW w:type="dxa" w:w="10205"/>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tcPr>
          <w:p>
            <w:pPr>
              <w:spacing w:after="0" w:before="0"/>
            </w:pPr>
            <w:r/>
            <w:r>
              <w:rPr>
                <w:rFonts w:ascii="Arial" w:hAnsi="Arial"/>
                <w:b w:val="0"/>
                <w:sz w:val="15"/>
              </w:rPr>
              <w:t>m7_8_lc_ops_6</w:t>
            </w:r>
          </w:p>
        </w:tc>
      </w:tr>
      <w:tr>
        <w:trPr>
          <w:cantSplit w:val="true"/>
        </w:trPr>
        <w:tc>
          <w:tcPr>
            <w:tcW w:type="dxa" w:w="3515"/>
            <w:shd w:val="clear" w:color="auto" w:fill="E8EEF6"/>
          </w:tcPr>
          <w:p>
            <w:pPr>
              <w:spacing w:after="0" w:before="0"/>
            </w:pPr>
            <w:r/>
            <w:r>
              <w:rPr>
                <w:rFonts w:ascii="Arial" w:hAnsi="Arial"/>
                <w:b w:val="0"/>
                <w:sz w:val="15"/>
              </w:rPr>
              <w:t>lc.LcDocumentClause</w:t>
            </w:r>
          </w:p>
        </w:tc>
        <w:tc>
          <w:tcPr>
            <w:tcW w:type="dxa" w:w="10205"/>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lc.LcDocumentClauseUcpRef</w:t>
            </w:r>
          </w:p>
        </w:tc>
        <w:tc>
          <w:tcPr>
            <w:tcW w:type="dxa" w:w="10205"/>
          </w:tcPr>
          <w:p>
            <w:pPr>
              <w:spacing w:after="0" w:before="0"/>
            </w:pPr>
            <w:r/>
            <w:r>
              <w:rPr>
                <w:rFonts w:ascii="Arial" w:hAnsi="Arial"/>
                <w:b w:val="0"/>
                <w:sz w:val="15"/>
              </w:rPr>
              <w:t>UCP 600 reference for a document clause: article and paragraph (UcpRefs in specification)</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lc.LcDrawing</w:t>
            </w:r>
          </w:p>
        </w:tc>
        <w:tc>
          <w:tcPr>
            <w:tcW w:type="dxa" w:w="10205"/>
            <w:shd w:val="clear" w:color="auto" w:fill="E8EEF6"/>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lc.LcDrawingAllocation</w:t>
            </w:r>
          </w:p>
        </w:tc>
        <w:tc>
          <w:tcPr>
            <w:tcW w:type="dxa" w:w="10205"/>
          </w:tcPr>
          <w:p>
            <w:pPr>
              <w:spacing w:after="0" w:before="0"/>
            </w:pPr>
            <w:r/>
            <w:r>
              <w:rPr>
                <w:rFonts w:ascii="Arial" w:hAnsi="Arial"/>
                <w:b w:val="0"/>
                <w:sz w:val="15"/>
              </w:rPr>
              <w:t>Allocation of an export drawing across sales orders (FR-LCE-016/017, BR-LCE-011/013)</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lc.LcExternalRef</w:t>
            </w:r>
          </w:p>
        </w:tc>
        <w:tc>
          <w:tcPr>
            <w:tcW w:type="dxa" w:w="10205"/>
            <w:shd w:val="clear" w:color="auto" w:fill="E8EEF6"/>
          </w:tcPr>
          <w:p>
            <w:pPr>
              <w:spacing w:after="0" w:before="0"/>
            </w:pPr>
            <w:r/>
            <w:r>
              <w:rPr>
                <w:rFonts w:ascii="Arial" w:hAnsi="Arial"/>
                <w:b w:val="0"/>
                <w:sz w:val="15"/>
              </w:rPr>
              <w:t>External reference for a credit (ERP and similar); no uniqueness; search on the normalised value (FR-LCI-013, BR-REQ-006)</w:t>
            </w:r>
          </w:p>
        </w:tc>
        <w:tc>
          <w:tcPr>
            <w:tcW w:type="dxa" w:w="1701"/>
            <w:shd w:val="clear" w:color="auto" w:fill="E8EEF6"/>
          </w:tcPr>
          <w:p>
            <w:pPr>
              <w:spacing w:after="0" w:before="0"/>
            </w:pPr>
            <w:r/>
            <w:r>
              <w:rPr>
                <w:rFonts w:ascii="Arial" w:hAnsi="Arial"/>
                <w:b w:val="0"/>
                <w:sz w:val="15"/>
              </w:rPr>
              <w:t>m7_8_lc_ops_3</w:t>
            </w:r>
          </w:p>
        </w:tc>
      </w:tr>
      <w:tr>
        <w:trPr>
          <w:cantSplit w:val="true"/>
        </w:trPr>
        <w:tc>
          <w:tcPr>
            <w:tcW w:type="dxa" w:w="3515"/>
          </w:tcPr>
          <w:p>
            <w:pPr>
              <w:spacing w:after="0" w:before="0"/>
            </w:pPr>
            <w:r/>
            <w:r>
              <w:rPr>
                <w:rFonts w:ascii="Arial" w:hAnsi="Arial"/>
                <w:b w:val="0"/>
                <w:sz w:val="15"/>
              </w:rPr>
              <w:t>lc.LcFieldDefinition</w:t>
            </w:r>
          </w:p>
        </w:tc>
        <w:tc>
          <w:tcPr>
            <w:tcW w:type="dxa" w:w="10205"/>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lc.LcFieldUcpRef</w:t>
            </w:r>
          </w:p>
        </w:tc>
        <w:tc>
          <w:tcPr>
            <w:tcW w:type="dxa" w:w="10205"/>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lc.LcFormFieldMap</w:t>
            </w:r>
          </w:p>
        </w:tc>
        <w:tc>
          <w:tcPr>
            <w:tcW w:type="dxa" w:w="10205"/>
          </w:tcPr>
          <w:p>
            <w:pPr>
              <w:spacing w:after="0" w:before="0"/>
            </w:pPr>
            <w:r/>
            <w:r>
              <w:rPr>
                <w:rFonts w:ascii="Arial" w:hAnsi="Arial"/>
                <w:b w:val="0"/>
                <w:sz w:val="15"/>
              </w:rPr>
              <w:t>Mapping of a system field to a PDF field or a portal-form item (FR-LCT-027, BR-LCT-020)</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lc.LcFormTemplate</w:t>
            </w:r>
          </w:p>
        </w:tc>
        <w:tc>
          <w:tcPr>
            <w:tcW w:type="dxa" w:w="10205"/>
            <w:shd w:val="clear" w:color="auto" w:fill="E8EEF6"/>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lc.LcSalesOrder</w:t>
            </w:r>
          </w:p>
        </w:tc>
        <w:tc>
          <w:tcPr>
            <w:tcW w:type="dxa" w:w="10205"/>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lc.LcTerms</w:t>
            </w:r>
          </w:p>
        </w:tc>
        <w:tc>
          <w:tcPr>
            <w:tcW w:type="dxa" w:w="10205"/>
            <w:shd w:val="clear" w:color="auto" w:fill="E8EEF6"/>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shd w:val="clear" w:color="auto" w:fill="E8EEF6"/>
          </w:tcPr>
          <w:p>
            <w:pPr>
              <w:spacing w:after="0" w:before="0"/>
            </w:pPr>
            <w:r/>
            <w:r>
              <w:rPr>
                <w:rFonts w:ascii="Arial" w:hAnsi="Arial"/>
                <w:b w:val="0"/>
                <w:sz w:val="15"/>
              </w:rPr>
              <w:t>m7_8_lc_terms_2</w:t>
            </w:r>
          </w:p>
        </w:tc>
      </w:tr>
      <w:tr>
        <w:trPr>
          <w:cantSplit w:val="true"/>
        </w:trPr>
        <w:tc>
          <w:tcPr>
            <w:tcW w:type="dxa" w:w="3515"/>
          </w:tcPr>
          <w:p>
            <w:pPr>
              <w:spacing w:after="0" w:before="0"/>
            </w:pPr>
            <w:r/>
            <w:r>
              <w:rPr>
                <w:rFonts w:ascii="Arial" w:hAnsi="Arial"/>
                <w:b w:val="0"/>
                <w:sz w:val="15"/>
              </w:rPr>
              <w:t>lc.LcTermsComparison</w:t>
            </w:r>
          </w:p>
        </w:tc>
        <w:tc>
          <w:tcPr>
            <w:tcW w:type="dxa" w:w="10205"/>
          </w:tcPr>
          <w:p>
            <w:pPr>
              <w:spacing w:after="0" w:before="0"/>
            </w:pPr>
            <w:r/>
            <w:r>
              <w:rPr>
                <w:rFonts w:ascii="Arial" w:hAnsi="Arial"/>
                <w:b w:val="0"/>
                <w:sz w:val="15"/>
              </w:rPr>
              <w:t>Result of comparing received credit terms with the proforma (FR-LCT-031, FR-LCE-023,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lc.LcTermsComparisonLine</w:t>
            </w:r>
          </w:p>
        </w:tc>
        <w:tc>
          <w:tcPr>
            <w:tcW w:type="dxa" w:w="10205"/>
            <w:shd w:val="clear" w:color="auto" w:fill="E8EEF6"/>
          </w:tcPr>
          <w:p>
            <w:pPr>
              <w:spacing w:after="0" w:before="0"/>
            </w:pPr>
            <w:r/>
            <w:r>
              <w:rPr>
                <w:rFonts w:ascii="Arial" w:hAnsi="Arial"/>
                <w:b w:val="0"/>
                <w:sz w:val="15"/>
              </w:rPr>
              <w:t>One field difference, its verdict and the treasury decision (FR-LCT-031,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lc.LcTermsDocument</w:t>
            </w:r>
          </w:p>
        </w:tc>
        <w:tc>
          <w:tcPr>
            <w:tcW w:type="dxa" w:w="10205"/>
          </w:tcPr>
          <w:p>
            <w:pPr>
              <w:spacing w:after="0" w:before="0"/>
            </w:pPr>
            <w:r/>
            <w:r>
              <w:rPr>
                <w:rFonts w:ascii="Arial" w:hAnsi="Arial"/>
                <w:b w:val="0"/>
                <w:sz w:val="15"/>
              </w:rPr>
              <w:t>Document clause selected in the terms, with its parameters; the rendered text is frozen at lock (FR-LCT-018, BR-LCT-012)</w:t>
            </w:r>
          </w:p>
        </w:tc>
        <w:tc>
          <w:tcPr>
            <w:tcW w:type="dxa" w:w="1701"/>
          </w:tcPr>
          <w:p>
            <w:pPr>
              <w:spacing w:after="0" w:before="0"/>
            </w:pPr>
            <w:r/>
            <w:r>
              <w:rPr>
                <w:rFonts w:ascii="Arial" w:hAnsi="Arial"/>
                <w:b w:val="0"/>
                <w:sz w:val="15"/>
              </w:rPr>
              <w:t>m7_8_lc_terms_3</w:t>
            </w:r>
          </w:p>
        </w:tc>
      </w:tr>
      <w:tr>
        <w:trPr>
          <w:cantSplit w:val="true"/>
        </w:trPr>
        <w:tc>
          <w:tcPr>
            <w:tcW w:type="dxa" w:w="3515"/>
            <w:shd w:val="clear" w:color="auto" w:fill="E8EEF6"/>
          </w:tcPr>
          <w:p>
            <w:pPr>
              <w:spacing w:after="0" w:before="0"/>
            </w:pPr>
            <w:r/>
            <w:r>
              <w:rPr>
                <w:rFonts w:ascii="Arial" w:hAnsi="Arial"/>
                <w:b w:val="0"/>
                <w:sz w:val="15"/>
              </w:rPr>
              <w:t>lc.LetterOfCredit</w:t>
            </w:r>
          </w:p>
        </w:tc>
        <w:tc>
          <w:tcPr>
            <w:tcW w:type="dxa" w:w="10205"/>
            <w:shd w:val="clear" w:color="auto" w:fill="E8EEF6"/>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shd w:val="clear" w:color="auto" w:fill="E8EEF6"/>
          </w:tcPr>
          <w:p>
            <w:pPr>
              <w:spacing w:after="0" w:before="0"/>
            </w:pPr>
            <w:r/>
            <w:r>
              <w:rPr>
                <w:rFonts w:ascii="Arial" w:hAnsi="Arial"/>
                <w:b w:val="0"/>
                <w:sz w:val="15"/>
              </w:rPr>
              <w:t>m7_8_lc_ops_2</w:t>
            </w:r>
          </w:p>
        </w:tc>
      </w:tr>
      <w:tr>
        <w:trPr>
          <w:cantSplit w:val="true"/>
        </w:trPr>
        <w:tc>
          <w:tcPr>
            <w:tcW w:type="dxa" w:w="3515"/>
          </w:tcPr>
          <w:p>
            <w:pPr>
              <w:spacing w:after="0" w:before="0"/>
            </w:pPr>
            <w:r/>
            <w:r>
              <w:rPr>
                <w:rFonts w:ascii="Arial" w:hAnsi="Arial"/>
                <w:b w:val="0"/>
                <w:sz w:val="15"/>
              </w:rPr>
              <w:t>lc.ProformaInvoice</w:t>
            </w:r>
          </w:p>
        </w:tc>
        <w:tc>
          <w:tcPr>
            <w:tcW w:type="dxa" w:w="10205"/>
          </w:tcPr>
          <w:p>
            <w:pPr>
              <w:spacing w:after="0" w:before="0"/>
            </w:pPr>
            <w:r/>
            <w:r>
              <w:rPr>
                <w:rFonts w:ascii="Arial" w:hAnsi="Arial"/>
                <w:b w:val="0"/>
                <w:sz w:val="15"/>
              </w:rPr>
              <w:t>Issued proforma invoice; the application prevents edits after issue; number format {seq:000}-{erp}-{yy} (FR-LCE-005..008, BR-LCE-001..006)</w:t>
            </w:r>
          </w:p>
        </w:tc>
        <w:tc>
          <w:tcPr>
            <w:tcW w:type="dxa" w:w="1701"/>
          </w:tcPr>
          <w:p>
            <w:pPr>
              <w:spacing w:after="0" w:before="0"/>
            </w:pPr>
            <w:r/>
            <w:r>
              <w:rPr>
                <w:rFonts w:ascii="Arial" w:hAnsi="Arial"/>
                <w:b w:val="0"/>
                <w:sz w:val="15"/>
              </w:rPr>
              <w:t>m7_8_lc_ops_7</w:t>
            </w:r>
          </w:p>
        </w:tc>
      </w:tr>
      <w:tr>
        <w:trPr>
          <w:cantSplit w:val="true"/>
        </w:trPr>
        <w:tc>
          <w:tcPr>
            <w:tcW w:type="dxa" w:w="3515"/>
            <w:shd w:val="clear" w:color="auto" w:fill="E8EEF6"/>
          </w:tcPr>
          <w:p>
            <w:pPr>
              <w:spacing w:after="0" w:before="0"/>
            </w:pPr>
            <w:r/>
            <w:r>
              <w:rPr>
                <w:rFonts w:ascii="Arial" w:hAnsi="Arial"/>
                <w:b w:val="0"/>
                <w:sz w:val="15"/>
              </w:rPr>
              <w:t>lc.ProformaLine</w:t>
            </w:r>
          </w:p>
        </w:tc>
        <w:tc>
          <w:tcPr>
            <w:tcW w:type="dxa" w:w="10205"/>
            <w:shd w:val="clear" w:color="auto" w:fill="E8EEF6"/>
          </w:tcPr>
          <w:p>
            <w:pPr>
              <w:spacing w:after="0" w:before="0"/>
            </w:pPr>
            <w:r/>
            <w:r>
              <w:rPr>
                <w:rFonts w:ascii="Arial" w:hAnsi="Arial"/>
                <w:b w:val="0"/>
                <w:sz w:val="15"/>
              </w:rPr>
              <w:t>Line item in the proforma (FR-LCE-003, BR-LCE-001); fixed after issue</w:t>
            </w:r>
          </w:p>
        </w:tc>
        <w:tc>
          <w:tcPr>
            <w:tcW w:type="dxa" w:w="1701"/>
            <w:shd w:val="clear" w:color="auto" w:fill="E8EEF6"/>
          </w:tcPr>
          <w:p>
            <w:pPr>
              <w:spacing w:after="0" w:before="0"/>
            </w:pPr>
            <w:r/>
            <w:r>
              <w:rPr>
                <w:rFonts w:ascii="Arial" w:hAnsi="Arial"/>
                <w:b w:val="0"/>
                <w:sz w:val="15"/>
              </w:rPr>
              <w:t>m7_8_lc_ops_8</w:t>
            </w:r>
          </w:p>
        </w:tc>
      </w:tr>
      <w:tr>
        <w:trPr>
          <w:cantSplit w:val="true"/>
        </w:trPr>
        <w:tc>
          <w:tcPr>
            <w:tcW w:type="dxa" w:w="3515"/>
          </w:tcPr>
          <w:p>
            <w:pPr>
              <w:spacing w:after="0" w:before="0"/>
            </w:pPr>
            <w:r/>
            <w:r>
              <w:rPr>
                <w:rFonts w:ascii="Arial" w:hAnsi="Arial"/>
                <w:b w:val="0"/>
                <w:sz w:val="15"/>
              </w:rPr>
              <w:t>ntf.DigestBatch</w:t>
            </w:r>
          </w:p>
        </w:tc>
        <w:tc>
          <w:tcPr>
            <w:tcW w:type="dxa" w:w="10205"/>
          </w:tcPr>
          <w:p>
            <w:pPr>
              <w:spacing w:after="0" w:before="0"/>
            </w:pPr>
            <w:r/>
            <w:r>
              <w:rPr>
                <w:rFonts w:ascii="Arial" w:hAnsi="Arial"/>
                <w:b w:val="0"/>
                <w:sz w:val="15"/>
              </w:rPr>
              <w:t>Digest batch for a user, channel and period; never sent empty (FR-NTF-014, BR-NTF-004, JOB-NTF-DIGEST)</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w:t>
            </w:r>
          </w:p>
        </w:tc>
        <w:tc>
          <w:tcPr>
            <w:tcW w:type="dxa" w:w="10205"/>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ntf.NotificationDelivery</w:t>
            </w:r>
          </w:p>
        </w:tc>
        <w:tc>
          <w:tcPr>
            <w:tcW w:type="dxa" w:w="10205"/>
          </w:tcPr>
          <w:p>
            <w:pPr>
              <w:spacing w:after="0" w:before="0"/>
            </w:pPr>
            <w:r/>
            <w:r>
              <w:rPr>
                <w:rFonts w:ascii="Arial" w:hAnsi="Arial"/>
                <w:b w:val="0"/>
                <w:sz w:val="15"/>
              </w:rPr>
              <w:t>Delivery of a notification per channel, with status and retries (FR-NTF-019, BR-NTF-009, section 8)</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ntf.NotificationEventType</w:t>
            </w:r>
          </w:p>
        </w:tc>
        <w:tc>
          <w:tcPr>
            <w:tcW w:type="dxa" w:w="10205"/>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ntf.NotificationPreference</w:t>
            </w:r>
          </w:p>
        </w:tc>
        <w:tc>
          <w:tcPr>
            <w:tcW w:type="dxa" w:w="10205"/>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ntf.NotificationRule</w:t>
            </w:r>
          </w:p>
        </w:tc>
        <w:tc>
          <w:tcPr>
            <w:tcW w:type="dxa" w:w="10205"/>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ntf.NotificationTemplate</w:t>
            </w:r>
          </w:p>
        </w:tc>
        <w:tc>
          <w:tcPr>
            <w:tcW w:type="dxa" w:w="10205"/>
          </w:tcPr>
          <w:p>
            <w:pPr>
              <w:spacing w:after="0" w:before="0"/>
            </w:pPr>
            <w:r/>
            <w:r>
              <w:rPr>
                <w:rFonts w:ascii="Arial" w:hAnsi="Arial"/>
                <w:b w:val="0"/>
                <w:sz w:val="15"/>
              </w:rPr>
              <w:t>Message template per (event, channel, language); deleting it reverts to the seed template (FR-NTF-012, FR-NTF-025)</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obl.Covenant</w:t>
            </w:r>
          </w:p>
        </w:tc>
        <w:tc>
          <w:tcPr>
            <w:tcW w:type="dxa" w:w="10205"/>
            <w:shd w:val="clear" w:color="auto" w:fill="E8EEF6"/>
          </w:tcPr>
          <w:p>
            <w:pPr>
              <w:spacing w:after="0" w:before="0"/>
            </w:pPr>
            <w:r/>
            <w:r>
              <w:rPr>
                <w:rFonts w:ascii="Arial" w:hAnsi="Arial"/>
                <w:b w:val="0"/>
                <w:sz w:val="15"/>
              </w:rPr>
              <w:t>Covenant revision with dates; graduated limits are several revisions (FR-OBL-006, BR-OBL-001/005/006, Q-OBL-01)</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obl.CovenantAccount</w:t>
            </w:r>
          </w:p>
        </w:tc>
        <w:tc>
          <w:tcPr>
            <w:tcW w:type="dxa" w:w="10205"/>
          </w:tcPr>
          <w:p>
            <w:pPr>
              <w:spacing w:after="0" w:before="0"/>
            </w:pPr>
            <w:r/>
            <w:r>
              <w:rPr>
                <w:rFonts w:ascii="Arial" w:hAnsi="Arial"/>
                <w:b w:val="0"/>
                <w:sz w:val="15"/>
              </w:rPr>
              <w:t>Accounts covered by a covenant when specific accounts are selected (AccountIds)</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w:t>
            </w:r>
          </w:p>
        </w:tc>
        <w:tc>
          <w:tcPr>
            <w:tcW w:type="dxa" w:w="10205"/>
            <w:shd w:val="clear" w:color="auto" w:fill="E8EEF6"/>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w:t>
            </w:r>
          </w:p>
        </w:tc>
        <w:tc>
          <w:tcPr>
            <w:tcW w:type="dxa" w:w="10205"/>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obl.ObligationBreach</w:t>
            </w:r>
          </w:p>
        </w:tc>
        <w:tc>
          <w:tcPr>
            <w:tcW w:type="dxa" w:w="10205"/>
            <w:shd w:val="clear" w:color="auto" w:fill="E8EEF6"/>
          </w:tcPr>
          <w:p>
            <w:pPr>
              <w:spacing w:after="0" w:before="0"/>
            </w:pPr>
            <w:r/>
            <w:r>
              <w:rPr>
                <w:rFonts w:ascii="Arial" w:hAnsi="Arial"/>
                <w:b w:val="0"/>
                <w:sz w:val="15"/>
              </w:rPr>
              <w:t>Breach record, its remedy and any waiver (FR-OBL-012, BR-OBL-009/011, section 8)</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obl.ObligationCompany</w:t>
            </w:r>
          </w:p>
        </w:tc>
        <w:tc>
          <w:tcPr>
            <w:tcW w:type="dxa" w:w="10205"/>
          </w:tcPr>
          <w:p>
            <w:pPr>
              <w:spacing w:after="0" w:before="0"/>
            </w:pPr>
            <w:r/>
            <w:r>
              <w:rPr>
                <w:rFonts w:ascii="Arial" w:hAnsi="Arial"/>
                <w:b w:val="0"/>
                <w:sz w:val="15"/>
              </w:rPr>
              <w:t>Companies the obligation applies to (AppliesToCompanyIds)</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obl.ReportingInstance</w:t>
            </w:r>
          </w:p>
        </w:tc>
        <w:tc>
          <w:tcPr>
            <w:tcW w:type="dxa" w:w="10205"/>
            <w:shd w:val="clear" w:color="auto" w:fill="E8EEF6"/>
          </w:tcPr>
          <w:p>
            <w:pPr>
              <w:spacing w:after="0" w:before="0"/>
            </w:pPr>
            <w:r/>
            <w:r>
              <w:rPr>
                <w:rFonts w:ascii="Arial" w:hAnsi="Arial"/>
                <w:b w:val="0"/>
                <w:sz w:val="15"/>
              </w:rPr>
              <w:t>Agenda item generated or logged for an event (FR-OBL-003..005, BR-OBL-003, section 8); DUE_SOON and OVERDUE are derived</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obl.ReportingObligation</w:t>
            </w:r>
          </w:p>
        </w:tc>
        <w:tc>
          <w:tcPr>
            <w:tcW w:type="dxa" w:w="10205"/>
          </w:tcPr>
          <w:p>
            <w:pPr>
              <w:spacing w:after="0" w:before="0"/>
            </w:pPr>
            <w:r/>
            <w:r>
              <w:rPr>
                <w:rFonts w:ascii="Arial" w:hAnsi="Arial"/>
                <w:b w:val="0"/>
                <w:sz w:val="15"/>
              </w:rPr>
              <w:t>Reporting or notice-due rule, 1:1 with Obligation (FR-OBL-002/003, BR-OBL-002, V-OBL-01)</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org.AuthorityGrant</w:t>
            </w:r>
          </w:p>
        </w:tc>
        <w:tc>
          <w:tcPr>
            <w:tcW w:type="dxa" w:w="10205"/>
            <w:shd w:val="clear" w:color="auto" w:fill="E8EEF6"/>
          </w:tcPr>
          <w:p>
            <w:pPr>
              <w:spacing w:after="0" w:before="0"/>
            </w:pPr>
            <w:r/>
            <w:r>
              <w:rPr>
                <w:rFonts w:ascii="Arial" w:hAnsi="Arial"/>
                <w:b w:val="0"/>
                <w:sz w:val="15"/>
              </w:rPr>
              <w:t>Authority grant to a company (FR-ORG-023..028, BR-ORG-011..014)</w:t>
            </w:r>
          </w:p>
        </w:tc>
        <w:tc>
          <w:tcPr>
            <w:tcW w:type="dxa" w:w="1701"/>
            <w:shd w:val="clear" w:color="auto" w:fill="E8EEF6"/>
          </w:tcPr>
          <w:p>
            <w:pPr>
              <w:spacing w:after="0" w:before="0"/>
            </w:pPr>
            <w:r/>
            <w:r>
              <w:rPr>
                <w:rFonts w:ascii="Arial" w:hAnsi="Arial"/>
                <w:b w:val="0"/>
                <w:sz w:val="15"/>
              </w:rPr>
              <w:t>m1_company_3</w:t>
            </w:r>
          </w:p>
        </w:tc>
      </w:tr>
      <w:tr>
        <w:trPr>
          <w:cantSplit w:val="true"/>
        </w:trPr>
        <w:tc>
          <w:tcPr>
            <w:tcW w:type="dxa" w:w="3515"/>
          </w:tcPr>
          <w:p>
            <w:pPr>
              <w:spacing w:after="0" w:before="0"/>
            </w:pPr>
            <w:r/>
            <w:r>
              <w:rPr>
                <w:rFonts w:ascii="Arial" w:hAnsi="Arial"/>
                <w:b w:val="0"/>
                <w:sz w:val="15"/>
              </w:rPr>
              <w:t>org.BodyMember</w:t>
            </w:r>
          </w:p>
        </w:tc>
        <w:tc>
          <w:tcPr>
            <w:tcW w:type="dxa" w:w="10205"/>
          </w:tcPr>
          <w:p>
            <w:pPr>
              <w:spacing w:after="0" w:before="0"/>
            </w:pPr>
            <w:r/>
            <w:r>
              <w:rPr>
                <w:rFonts w:ascii="Arial" w:hAnsi="Arial"/>
                <w:b w:val="0"/>
                <w:sz w:val="15"/>
              </w:rPr>
              <w:t>Membership of a governing body (FR-ORG-020, FR-ORG-021, BR-ORG-010)</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org.Company</w:t>
            </w:r>
          </w:p>
        </w:tc>
        <w:tc>
          <w:tcPr>
            <w:tcW w:type="dxa" w:w="10205"/>
            <w:shd w:val="clear" w:color="auto" w:fill="E8EEF6"/>
          </w:tcPr>
          <w:p>
            <w:pPr>
              <w:spacing w:after="0" w:before="0"/>
            </w:pPr>
            <w:r/>
            <w:r>
              <w:rPr>
                <w:rFonts w:ascii="Arial" w:hAnsi="Arial"/>
                <w:b w:val="0"/>
                <w:sz w:val="15"/>
              </w:rPr>
              <w:t>Company: root of the corporate structure (FR-ORG-001..010, BR-ORG-001..004)</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org.CompanyBranch</w:t>
            </w:r>
          </w:p>
        </w:tc>
        <w:tc>
          <w:tcPr>
            <w:tcW w:type="dxa" w:w="10205"/>
          </w:tcPr>
          <w:p>
            <w:pPr>
              <w:spacing w:after="0" w:before="0"/>
            </w:pPr>
            <w:r/>
            <w:r>
              <w:rPr>
                <w:rFonts w:ascii="Arial" w:hAnsi="Arial"/>
                <w:b w:val="0"/>
                <w:sz w:val="15"/>
              </w:rPr>
              <w:t>Branch, warehouse or subsidiary outside the account, held as text (G-3)</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org.CompanyDisclosure</w:t>
            </w:r>
          </w:p>
        </w:tc>
        <w:tc>
          <w:tcPr>
            <w:tcW w:type="dxa" w:w="10205"/>
            <w:shd w:val="clear" w:color="auto" w:fill="E8EEF6"/>
          </w:tcPr>
          <w:p>
            <w:pPr>
              <w:spacing w:after="0" w:before="0"/>
            </w:pPr>
            <w:r/>
            <w:r>
              <w:rPr>
                <w:rFonts w:ascii="Arial" w:hAnsi="Arial"/>
                <w:b w:val="0"/>
                <w:sz w:val="15"/>
              </w:rPr>
              <w:t>Company disclosures (G-5)</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org.CompanyExpectedFlow</w:t>
            </w:r>
          </w:p>
        </w:tc>
        <w:tc>
          <w:tcPr>
            <w:tcW w:type="dxa" w:w="10205"/>
          </w:tcPr>
          <w:p>
            <w:pPr>
              <w:spacing w:after="0" w:before="0"/>
            </w:pPr>
            <w:r/>
            <w:r>
              <w:rPr>
                <w:rFonts w:ascii="Arial" w:hAnsi="Arial"/>
                <w:b w:val="0"/>
                <w:sz w:val="15"/>
              </w:rPr>
              <w:t>Monthly expected cash-flow matrix (CTP): direction x five items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org.CompanyKeyRelation</w:t>
            </w:r>
          </w:p>
        </w:tc>
        <w:tc>
          <w:tcPr>
            <w:tcW w:type="dxa" w:w="10205"/>
            <w:shd w:val="clear" w:color="auto" w:fill="E8EEF6"/>
          </w:tcPr>
          <w:p>
            <w:pPr>
              <w:spacing w:after="0" w:before="0"/>
            </w:pPr>
            <w:r/>
            <w:r>
              <w:rPr>
                <w:rFonts w:ascii="Arial" w:hAnsi="Arial"/>
                <w:b w:val="0"/>
                <w:sz w:val="15"/>
              </w:rPr>
              <w:t>Key relations: auditors, legal counsel, regulators, and major customers and suppliers (G-6)</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org.CompanyKycFinancialProfile</w:t>
            </w:r>
          </w:p>
        </w:tc>
        <w:tc>
          <w:tcPr>
            <w:tcW w:type="dxa" w:w="10205"/>
          </w:tcPr>
          <w:p>
            <w:pPr>
              <w:spacing w:after="0" w:before="0"/>
            </w:pPr>
            <w:r/>
            <w:r>
              <w:rPr>
                <w:rFonts w:ascii="Arial" w:hAnsi="Arial"/>
                <w:b w:val="0"/>
                <w:sz w:val="15"/>
              </w:rPr>
              <w:t>KYC financial profile with an effective date: revenue band and purpose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org.CompanyProfile</w:t>
            </w:r>
          </w:p>
        </w:tc>
        <w:tc>
          <w:tcPr>
            <w:tcW w:type="dxa" w:w="10205"/>
            <w:shd w:val="clear" w:color="auto" w:fill="E8EEF6"/>
          </w:tcPr>
          <w:p>
            <w:pPr>
              <w:spacing w:after="0" w:before="0"/>
            </w:pPr>
            <w:r/>
            <w:r>
              <w:rPr>
                <w:rFonts w:ascii="Arial" w:hAnsi="Arial"/>
                <w:b w:val="0"/>
                <w:sz w:val="15"/>
              </w:rPr>
              <w:t>Company profile, 1:1 (G-1)</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org.CompanyTaxRate</w:t>
            </w:r>
          </w:p>
        </w:tc>
        <w:tc>
          <w:tcPr>
            <w:tcW w:type="dxa" w:w="10205"/>
          </w:tcPr>
          <w:p>
            <w:pPr>
              <w:spacing w:after="0" w:before="0"/>
            </w:pPr>
            <w:r/>
            <w:r>
              <w:rPr>
                <w:rFonts w:ascii="Arial" w:hAnsi="Arial"/>
                <w:b w:val="0"/>
                <w:sz w:val="15"/>
              </w:rPr>
              <w:t>Tax rate with an effective date; NULL CompanyId = tenant default (FR-ORG-007, BR-ORG-005)</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org.CompanyWealthSource</w:t>
            </w:r>
          </w:p>
        </w:tc>
        <w:tc>
          <w:tcPr>
            <w:tcW w:type="dxa" w:w="10205"/>
            <w:shd w:val="clear" w:color="auto" w:fill="E8EEF6"/>
          </w:tcPr>
          <w:p>
            <w:pPr>
              <w:spacing w:after="0" w:before="0"/>
            </w:pPr>
            <w:r/>
            <w:r>
              <w:rPr>
                <w:rFonts w:ascii="Arial" w:hAnsi="Arial"/>
                <w:b w:val="0"/>
                <w:sz w:val="15"/>
              </w:rPr>
              <w:t>Sources of funds and wealth: multiple-value list (G-4)</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org.Department</w:t>
            </w:r>
          </w:p>
        </w:tc>
        <w:tc>
          <w:tcPr>
            <w:tcW w:type="dxa" w:w="10205"/>
          </w:tcPr>
          <w:p>
            <w:pPr>
              <w:spacing w:after="0" w:before="0"/>
            </w:pPr>
            <w:r/>
            <w:r>
              <w:rPr>
                <w:rFonts w:ascii="Arial" w:hAnsi="Arial"/>
                <w:b w:val="0"/>
                <w:sz w:val="15"/>
              </w:rPr>
              <w:t>Department (FR-ORG-014, BR-ORG-016, Q-ORG-09): at tenant level, optionally per company</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org.GoverningBody</w:t>
            </w:r>
          </w:p>
        </w:tc>
        <w:tc>
          <w:tcPr>
            <w:tcW w:type="dxa" w:w="10205"/>
            <w:shd w:val="clear" w:color="auto" w:fill="E8EEF6"/>
          </w:tcPr>
          <w:p>
            <w:pPr>
              <w:spacing w:after="0" w:before="0"/>
            </w:pPr>
            <w:r/>
            <w:r>
              <w:rPr>
                <w:rFonts w:ascii="Arial" w:hAnsi="Arial"/>
                <w:b w:val="0"/>
                <w:sz w:val="15"/>
              </w:rPr>
              <w:t>Governing body (FR-ORG-019, BR-ORG-009)</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org.Shareholding</w:t>
            </w:r>
          </w:p>
        </w:tc>
        <w:tc>
          <w:tcPr>
            <w:tcW w:type="dxa" w:w="10205"/>
          </w:tcPr>
          <w:p>
            <w:pPr>
              <w:spacing w:after="0" w:before="0"/>
            </w:pPr>
            <w:r/>
            <w:r>
              <w:rPr>
                <w:rFonts w:ascii="Arial" w:hAnsi="Arial"/>
                <w:b w:val="0"/>
                <w:sz w:val="15"/>
              </w:rPr>
              <w:t>Ownership interest with an effective date; the owner is a Party, an individual or an entity (FR-ORG-015..018, BR-ORG-006..008, G-7)</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plat.OperatorSession</w:t>
            </w:r>
          </w:p>
        </w:tc>
        <w:tc>
          <w:tcPr>
            <w:tcW w:type="dxa" w:w="10205"/>
            <w:shd w:val="clear" w:color="auto" w:fill="E8EEF6"/>
          </w:tcPr>
          <w:p>
            <w:pPr>
              <w:spacing w:after="0" w:before="0"/>
            </w:pPr>
            <w:r/>
            <w:r>
              <w:rPr>
                <w:rFonts w:ascii="Arial" w:hAnsi="Arial"/>
                <w:b w:val="0"/>
                <w:sz w:val="15"/>
              </w:rPr>
              <w:t>Platform operator sessions: 15-minute idle and 8-hour absolute timeout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plat.OperatorToken</w:t>
            </w:r>
          </w:p>
        </w:tc>
        <w:tc>
          <w:tcPr>
            <w:tcW w:type="dxa" w:w="10205"/>
          </w:tcPr>
          <w:p>
            <w:pPr>
              <w:spacing w:after="0" w:before="0"/>
            </w:pPr>
            <w:r/>
            <w:r>
              <w:rPr>
                <w:rFonts w:ascii="Arial" w:hAnsi="Arial"/>
                <w:b w:val="0"/>
                <w:sz w:val="15"/>
              </w:rPr>
              <w:t>One-time operator set-up links: password and MFA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plat.Plan</w:t>
            </w:r>
          </w:p>
        </w:tc>
        <w:tc>
          <w:tcPr>
            <w:tcW w:type="dxa" w:w="10205"/>
            <w:shd w:val="clear" w:color="auto" w:fill="E8EEF6"/>
          </w:tcPr>
          <w:p>
            <w:pPr>
              <w:spacing w:after="0" w:before="0"/>
            </w:pPr>
            <w:r/>
            <w:r>
              <w:rPr>
                <w:rFonts w:ascii="Arial" w:hAnsi="Arial"/>
                <w:b w:val="0"/>
                <w:sz w:val="15"/>
              </w:rPr>
              <w:t>Subscription plan: a bundle of modules and soft limits (FR-PLT-003/004, Q-PLT-11)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plat.PlanModule</w:t>
            </w:r>
          </w:p>
        </w:tc>
        <w:tc>
          <w:tcPr>
            <w:tcW w:type="dxa" w:w="10205"/>
          </w:tcPr>
          <w:p>
            <w:pPr>
              <w:spacing w:after="0" w:before="0"/>
            </w:pPr>
            <w:r/>
            <w:r>
              <w:rPr>
                <w:rFonts w:ascii="Arial" w:hAnsi="Arial"/>
                <w:b w:val="0"/>
                <w:sz w:val="15"/>
              </w:rPr>
              <w:t>Modules included in a plan (replaces the Plan.IncludedModules JSON column)</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plat.PlatformOperator</w:t>
            </w:r>
          </w:p>
        </w:tc>
        <w:tc>
          <w:tcPr>
            <w:tcW w:type="dxa" w:w="10205"/>
            <w:shd w:val="clear" w:color="auto" w:fill="E8EEF6"/>
          </w:tcPr>
          <w:p>
            <w:pPr>
              <w:spacing w:after="0" w:before="0"/>
            </w:pPr>
            <w:r/>
            <w:r>
              <w:rPr>
                <w:rFonts w:ascii="Arial" w:hAnsi="Arial"/>
                <w:b w:val="0"/>
                <w:sz w:val="15"/>
              </w:rPr>
              <w:t>Platform operator account: not readable by the tenant application (tp_app); identity store separate from AppUser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plat.ReservedSubdomain</w:t>
            </w:r>
          </w:p>
        </w:tc>
        <w:tc>
          <w:tcPr>
            <w:tcW w:type="dxa" w:w="10205"/>
          </w:tcPr>
          <w:p>
            <w:pPr>
              <w:spacing w:after="0" w:before="0"/>
            </w:pPr>
            <w:r/>
            <w:r>
              <w:rPr>
                <w:rFonts w:ascii="Arial" w:hAnsi="Arial"/>
                <w:b w:val="0"/>
                <w:sz w:val="15"/>
              </w:rPr>
              <w:t>Subdomains reserved for the system: www, admin, api, app and others (FR-PLT-046)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ref.UcpArticle</w:t>
            </w:r>
          </w:p>
        </w:tc>
        <w:tc>
          <w:tcPr>
            <w:tcW w:type="dxa" w:w="10205"/>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sec.AppUser</w:t>
            </w:r>
          </w:p>
        </w:tc>
        <w:tc>
          <w:tcPr>
            <w:tcW w:type="dxa" w:w="10205"/>
          </w:tcPr>
          <w:p>
            <w:pPr>
              <w:spacing w:after="0" w:before="0"/>
            </w:pPr>
            <w:r/>
            <w:r>
              <w:rPr>
                <w:rFonts w:ascii="Arial" w:hAnsi="Arial"/>
                <w:b w:val="0"/>
                <w:sz w:val="15"/>
              </w:rPr>
              <w:t>Tenant portal user (FR-PLT-010..016, BR-PLT-004..006)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sec.ExternalIdentity</w:t>
            </w:r>
          </w:p>
        </w:tc>
        <w:tc>
          <w:tcPr>
            <w:tcW w:type="dxa" w:w="10205"/>
            <w:shd w:val="clear" w:color="auto" w:fill="E8EEF6"/>
          </w:tcPr>
          <w:p>
            <w:pPr>
              <w:spacing w:after="0" w:before="0"/>
            </w:pPr>
            <w:r/>
            <w:r>
              <w:rPr>
                <w:rFonts w:ascii="Arial" w:hAnsi="Arial"/>
                <w:b w:val="0"/>
                <w:sz w:val="15"/>
              </w:rPr>
              <w:t>Link between an external OIDC or Entra identity and a user; readiness only (FR-PLT-015, section 11)</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sec.KeyEvent</w:t>
            </w:r>
          </w:p>
        </w:tc>
        <w:tc>
          <w:tcPr>
            <w:tcW w:type="dxa" w:w="10205"/>
          </w:tcPr>
          <w:p>
            <w:pPr>
              <w:spacing w:after="0" w:before="0"/>
            </w:pPr>
            <w:r/>
            <w:r>
              <w:rPr>
                <w:rFonts w:ascii="Arial" w:hAnsi="Arial"/>
                <w:b w:val="0"/>
                <w:sz w:val="15"/>
              </w:rPr>
              <w:t>Key event log: create, rotate and revoke (FR-PLT-037; high severity BR-PLT-009)</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sec.LoginAttempt</w:t>
            </w:r>
          </w:p>
        </w:tc>
        <w:tc>
          <w:tcPr>
            <w:tcW w:type="dxa" w:w="10205"/>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sec.MfaRecoveryCode</w:t>
            </w:r>
          </w:p>
        </w:tc>
        <w:tc>
          <w:tcPr>
            <w:tcW w:type="dxa" w:w="10205"/>
          </w:tcPr>
          <w:p>
            <w:pPr>
              <w:spacing w:after="0" w:before="0"/>
            </w:pPr>
            <w:r/>
            <w:r>
              <w:rPr>
                <w:rFonts w:ascii="Arial" w:hAnsi="Arial"/>
                <w:b w:val="0"/>
                <w:sz w:val="15"/>
              </w:rPr>
              <w:t>Ten single-use recovery codes, stored hashed (FR-PLT-011, BR-PLT-006); replaces the AppUser.RecoveryCodesHash JSON</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sec.Permission</w:t>
            </w:r>
          </w:p>
        </w:tc>
        <w:tc>
          <w:tcPr>
            <w:tcW w:type="dxa" w:w="10205"/>
            <w:shd w:val="clear" w:color="auto" w:fill="E8EEF6"/>
          </w:tcPr>
          <w:p>
            <w:pPr>
              <w:spacing w:after="0" w:before="0"/>
            </w:pPr>
            <w:r/>
            <w:r>
              <w:rPr>
                <w:rFonts w:ascii="Arial" w:hAnsi="Arial"/>
                <w:b w:val="0"/>
                <w:sz w:val="15"/>
              </w:rPr>
              <w:t>Permission catalogue owned by the platform; a tenant cannot add a permission (FR-PLT-017)</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w:t>
            </w:r>
          </w:p>
        </w:tc>
        <w:tc>
          <w:tcPr>
            <w:tcW w:type="dxa" w:w="10205"/>
          </w:tcPr>
          <w:p>
            <w:pPr>
              <w:spacing w:after="0" w:before="0"/>
            </w:pPr>
            <w:r/>
            <w:r>
              <w:rPr>
                <w:rFonts w:ascii="Arial" w:hAnsi="Arial"/>
                <w:b w:val="0"/>
                <w:sz w:val="15"/>
              </w:rPr>
              <w:t>Role defined by the tenant or seeded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sec.RolePermission</w:t>
            </w:r>
          </w:p>
        </w:tc>
        <w:tc>
          <w:tcPr>
            <w:tcW w:type="dxa" w:w="10205"/>
            <w:shd w:val="clear" w:color="auto" w:fill="E8EEF6"/>
          </w:tcPr>
          <w:p>
            <w:pPr>
              <w:spacing w:after="0" w:before="0"/>
            </w:pPr>
            <w:r/>
            <w:r>
              <w:rPr>
                <w:rFonts w:ascii="Arial" w:hAnsi="Arial"/>
                <w:b w:val="0"/>
                <w:sz w:val="15"/>
              </w:rPr>
              <w:t>Role–permission link; PERMISSION_LOCKED is enforced by the service (BR-PLT-019)</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sec.SessionBinding</w:t>
            </w:r>
          </w:p>
        </w:tc>
        <w:tc>
          <w:tcPr>
            <w:tcW w:type="dxa" w:w="10205"/>
          </w:tcPr>
          <w:p>
            <w:pPr>
              <w:spacing w:after="0" w:before="0"/>
            </w:pPr>
            <w:r/>
            <w:r>
              <w:rPr>
                <w:rFonts w:ascii="Arial" w:hAnsi="Arial"/>
                <w:b w:val="0"/>
                <w:sz w:val="15"/>
              </w:rPr>
              <w:t>Connection binding for the row filters (O-16)</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password-reset token (30 minutes) or MFA re-enrolment link (24 hours) (FR-PLT-013, DQ-F03-8)</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m6_requests_2</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Field in a template version; the form UI is generated without code (FR-REQ-002..005, BR-REQ-003/004)</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m6_wf_templates_3</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198</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768</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584</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509</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518</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703</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74</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