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DATABASE DESIGN AND ERD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8138"/>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0.3)</w:t>
            </w:r>
            <w:r>
              <w:rPr>
                <w:rFonts w:ascii="Arial" w:cs="Arial" w:eastAsia="Arial" w:hAnsi="Arial"/>
                <w:b w:val="false"/>
                <w:bCs w:val="false"/>
                <w:sz w:val="18"/>
                <w:szCs w:val="18"/>
                <w:rtl/>
              </w:rPr>
              <w:t xml:space="preserve"> — تصميم قاعدة البيانات مع مخططات ERD مهنية (تدوين Crow's Foot) ومواصفات الجداول والعلاقات، مُولَّدة من النموذج</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2026-10-11</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w:t>
            </w:r>
          </w:p>
        </w:tc>
        <w:tc>
          <w:tcPr>
            <w:tcW w:type="dxa" w:w="8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(194 جدولًا في 20 مخططًا) — الملفات المولَّدة لا تُعدَّل يدويًا</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الدعم</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‎tools/dbgen/erd_mermaid.py‎</w:t>
            </w:r>
            <w:r>
              <w:rPr>
                <w:rFonts w:ascii="Arial" w:cs="Arial" w:eastAsia="Arial" w:hAnsi="Arial"/>
                <w:b w:val="false"/>
                <w:bCs w:val="false"/>
                <w:sz w:val="18"/>
                <w:szCs w:val="18"/>
                <w:rtl/>
              </w:rPr>
              <w:t xml:space="preserve"> (المخططات) · </w:t>
            </w:r>
            <w:r>
              <w:rPr>
                <w:rFonts w:ascii="Courier New" w:cs="Courier New" w:eastAsia="Courier New" w:hAnsi="Courier New"/>
                <w:b w:val="false"/>
                <w:bCs w:val="false"/>
                <w:color w:val="1F2937"/>
                <w:sz w:val="16"/>
                <w:szCs w:val="16"/>
                <w:shd w:fill="F1F3F5" w:color="auto" w:val="clear"/>
                <w:rtl/>
              </w:rPr>
              <w:t xml:space="preserve">‎tools/dbgen/build_erd_doc.py‎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‎tools/dbgen/check_review_fixes.py‎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 0.2)</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4">
        <w:r>
          <w:rPr>
            <w:rFonts w:ascii="Arial" w:cs="Arial" w:eastAsia="Arial" w:hAnsi="Arial"/>
            <w:b/>
            <w:bCs/>
            <w:color w:val="1F3A5F"/>
            <w:sz w:val="20"/>
            <w:szCs w:val="20"/>
            <w:rtl/>
          </w:rPr>
          <w:t xml:space="preserve">8. الفهرسة</w:t>
        </w:r>
      </w:hyperlink>
    </w:p>
    <w:p>
      <w:pPr>
        <w:bidi/>
        <w:spacing w:after="50" w:before="0"/>
        <w:ind w:left="0"/>
      </w:pPr>
      <w:hyperlink w:history="1" w:anchor="_sec25">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0">
        <w:r>
          <w:rPr>
            <w:rFonts w:ascii="Arial" w:cs="Arial" w:eastAsia="Arial" w:hAnsi="Arial"/>
            <w:b/>
            <w:bCs/>
            <w:color w:val="1F3A5F"/>
            <w:sz w:val="20"/>
            <w:szCs w:val="20"/>
            <w:rtl/>
          </w:rPr>
          <w:t xml:space="preserve">10. ERD والمواصفات التفصيلية حسب الوحدة</w:t>
        </w:r>
      </w:hyperlink>
    </w:p>
    <w:p>
      <w:pPr>
        <w:bidi/>
        <w:spacing w:after="50" w:before="0"/>
        <w:ind w:left="0"/>
      </w:pPr>
      <w:hyperlink w:history="1" w:anchor="_sec97">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101">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106">
        <w:r>
          <w:rPr>
            <w:rFonts w:ascii="Arial" w:cs="Arial" w:eastAsia="Arial" w:hAnsi="Arial"/>
            <w:b/>
            <w:bCs/>
            <w:color w:val="1F3A5F"/>
            <w:sz w:val="20"/>
            <w:szCs w:val="20"/>
            <w:rtl/>
          </w:rPr>
          <w:t xml:space="preserve">13. البذور وتهيئة المشترك</w:t>
        </w:r>
      </w:hyperlink>
    </w:p>
    <w:p>
      <w:pPr>
        <w:bidi/>
        <w:spacing w:after="50" w:before="0"/>
        <w:ind w:left="0"/>
      </w:pPr>
      <w:hyperlink w:history="1" w:anchor="_sec107">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108">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109">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110">
        <w:r>
          <w:rPr>
            <w:rFonts w:ascii="Arial" w:cs="Arial" w:eastAsia="Arial" w:hAnsi="Arial"/>
            <w:b/>
            <w:bCs/>
            <w:color w:val="1F3A5F"/>
            <w:sz w:val="20"/>
            <w:szCs w:val="20"/>
            <w:rtl/>
          </w:rPr>
          <w:t xml:space="preserve">17. الخطوة التالية</w:t>
        </w:r>
      </w:hyperlink>
    </w:p>
    <w:p>
      <w:pPr>
        <w:bidi/>
        <w:spacing w:after="50" w:before="0"/>
        <w:ind w:left="0"/>
      </w:pPr>
      <w:hyperlink w:history="1" w:anchor="_sec111">
        <w:r>
          <w:rPr>
            <w:rFonts w:ascii="Arial" w:cs="Arial" w:eastAsia="Arial" w:hAnsi="Arial"/>
            <w:b/>
            <w:bCs/>
            <w:color w:val="1F3A5F"/>
            <w:sz w:val="20"/>
            <w:szCs w:val="20"/>
            <w:rtl/>
          </w:rPr>
          <w:t xml:space="preserve">18. مراجعة التصميم (Design review)</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 0.2)</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4980"/>
        <w:gridCol w:w="3911"/>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39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C-11</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بناء الوثيقة كـ </w:t>
            </w:r>
            <w:r>
              <w:rPr>
                <w:rFonts w:ascii="Arial" w:cs="Arial" w:eastAsia="Arial" w:hAnsi="Arial"/>
                <w:b/>
                <w:bCs/>
                <w:sz w:val="18"/>
                <w:szCs w:val="18"/>
                <w:rtl/>
              </w:rPr>
              <w:t xml:space="preserve">DATABASE DESIGN AND ERD</w:t>
            </w:r>
            <w:r>
              <w:rPr>
                <w:rFonts w:ascii="Arial" w:cs="Arial" w:eastAsia="Arial" w:hAnsi="Arial"/>
                <w:b w:val="false"/>
                <w:bCs w:val="false"/>
                <w:sz w:val="18"/>
                <w:szCs w:val="18"/>
                <w:rtl/>
              </w:rPr>
              <w:t xml:space="preserve">: مخططات Crow's Foot مهنية، ومواصفة لكل جدول ولكل علاقة، مُولَّدة من النموذج بدل الصور البسيطة السابقة</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ERD بمستوى مهني ومواصفات كاملة لكل جدول ومودول وعلاقة</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الإصلاحات الحرجة العشرة من مراجعة التصميم (DR-01 إلى DR-10) على النموذج والـDDL: كتالوجات القيم مملوكة للمشترك بنسخ لكل مشترك (DR-03/05/07)، ومفتاح الغرض في مفاتيح التشفير (DR-02)، والمالك المتعدد بأقواس خارجية (DR-04)، وربط المراجع بالتسهيل والشركة والقالب (DR-06/09/10)، وتصنيف </w:t>
            </w:r>
            <w:r>
              <w:rPr>
                <w:rFonts w:ascii="Courier New" w:cs="Courier New" w:eastAsia="Courier New" w:hAnsi="Courier New"/>
                <w:b w:val="false"/>
                <w:bCs w:val="false"/>
                <w:color w:val="1F2937"/>
                <w:sz w:val="16"/>
                <w:szCs w:val="16"/>
                <w:shd w:fill="F1F3F5" w:color="auto" w:val="clear"/>
                <w:rtl/>
              </w:rPr>
              <w:t xml:space="preserve">‎Collateral.Attributes‎</w:t>
            </w:r>
            <w:r>
              <w:rPr>
                <w:rFonts w:ascii="Arial" w:cs="Arial" w:eastAsia="Arial" w:hAnsi="Arial"/>
                <w:b w:val="false"/>
                <w:bCs w:val="false"/>
                <w:sz w:val="18"/>
                <w:szCs w:val="18"/>
                <w:rtl/>
              </w:rPr>
              <w:t xml:space="preserve"> (DR-08)،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 (DR-01)</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في الجداول المختلطة وبعض المفاتيح الأجنبية لا تُقيَّد بالنطاق (المشترك أو الغرض أو التسهيل أو الشركة)، فيقبل قيد المفتاح قيمة من خارج النطاق (§18)</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أدوات الترحيل (O-2)، ومرساة سلسلة التدقيق (O-13)، وRPO/RTO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سكربتات الترحيل بين الإصدارات؛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5"/>
        <w:gridCol w:w="7319"/>
      </w:tblGrid>
      <w:tr>
        <w:trPr>
          <w:cantSplit/>
          <w:tblHeader/>
        </w:trPr>
        <w:tc>
          <w:tcPr>
            <w:tcW w:type="dxa" w:w="2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3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198</w:t>
            </w:r>
            <w:r>
              <w:rPr>
                <w:rFonts w:ascii="Arial" w:cs="Arial" w:eastAsia="Arial" w:hAnsi="Arial"/>
                <w:b w:val="false"/>
                <w:bCs w:val="false"/>
                <w:sz w:val="18"/>
                <w:szCs w:val="18"/>
                <w:rtl/>
              </w:rPr>
              <w:t xml:space="preserve"> في 20 مخططًا</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3,280 مُعرَّفة في النماذج + الأعمدة الآلية = </w:t>
            </w:r>
            <w:r>
              <w:rPr>
                <w:rFonts w:ascii="Arial" w:cs="Arial" w:eastAsia="Arial" w:hAnsi="Arial"/>
                <w:b/>
                <w:bCs/>
                <w:sz w:val="18"/>
                <w:szCs w:val="18"/>
                <w:rtl/>
              </w:rPr>
              <w:t xml:space="preserve">3,804</w:t>
            </w:r>
            <w:r>
              <w:rPr>
                <w:rFonts w:ascii="Arial" w:cs="Arial" w:eastAsia="Arial" w:hAnsi="Arial"/>
                <w:b w:val="false"/>
                <w:bCs w:val="false"/>
                <w:sz w:val="18"/>
                <w:szCs w:val="18"/>
                <w:rtl/>
              </w:rPr>
              <w:t xml:space="preserve"> في DDL</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763</w:t>
            </w:r>
            <w:r>
              <w:rPr>
                <w:rFonts w:ascii="Arial" w:cs="Arial" w:eastAsia="Arial" w:hAnsi="Arial"/>
                <w:b w:val="false"/>
                <w:bCs w:val="false"/>
                <w:sz w:val="18"/>
                <w:szCs w:val="18"/>
                <w:rtl/>
              </w:rPr>
              <w:t xml:space="preserve"> = 184 لملكية المشترك (</w:t>
            </w:r>
            <w:r>
              <w:rPr>
                <w:rFonts w:ascii="Courier New" w:cs="Courier New" w:eastAsia="Courier New" w:hAnsi="Courier New"/>
                <w:b w:val="false"/>
                <w:bCs w:val="false"/>
                <w:color w:val="1F2937"/>
                <w:sz w:val="16"/>
                <w:szCs w:val="16"/>
                <w:shd w:fill="F1F3F5" w:color="auto" w:val="clear"/>
                <w:rtl/>
              </w:rPr>
              <w:t xml:space="preserve">‎TenantId → plat.Tenant‎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515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+ 64 بسيطة نحو جداول عالمية/مختلطة</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 غير مجمّع (206 مصفّاة · 47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1,158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387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+ 128 فهرسًا فريدًا</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 (جذور التجميعات المعرَّضة عبر API)</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183 (180 مملوكة للمشترك + 3 مختلطة، منها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الـ11 العالمية خارجها)</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يقرأ التطبيق وحدات مشتركه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198 جدولًا؛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(88 مفتاحًا من الـ515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الاتصال بجلسة دخول</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ADR 0002): الاتصال يُربط بالمشترك برمز جلسة صادر عن دخول تحقق من كلمة المرور داخل القاعدة، والمستخدم يؤخذ من الجلسة لا من التطبيق.</w:t>
      </w:r>
    </w:p>
    <w:p>
      <w:pPr>
        <w:bidi/>
        <w:spacing w:after="60" w:before="0"/>
      </w:pPr>
    </w:p>
    <w:p>
      <w:pPr>
        <w:bidi/>
        <w:spacing w:after="110" w:before="0" w:line="312"/>
      </w:pPr>
      <w:r>
        <w:rPr>
          <w:rFonts w:ascii="Arial" w:cs="Arial" w:eastAsia="Arial" w:hAnsi="Arial"/>
          <w:b w:val="false"/>
          <w:bCs w:val="false"/>
          <w:sz w:val="21"/>
          <w:szCs w:val="21"/>
          <w:rtl/>
        </w:rPr>
        <w:t xml:space="preserve">الطبقات الأربع كلها داخل القاعدة. المخاطر داخل المشترك الواحد (O-24، erd_open_items) أُغلقت بـ ADR 0003 عدا ما يذكره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bidi/>
        <w:spacing w:after="110" w:before="0" w:line="312"/>
      </w:pPr>
      <w:r>
        <w:rPr>
          <w:rFonts w:ascii="Arial" w:cs="Arial" w:eastAsia="Arial" w:hAnsi="Arial"/>
          <w:b w:val="false"/>
          <w:bCs w:val="false"/>
          <w:sz w:val="21"/>
          <w:szCs w:val="21"/>
          <w:rtl/>
        </w:rPr>
        <w:t xml:space="preserve">التصميم المعتمد في ADR 0002 (</w:t>
      </w:r>
      <w:r>
        <w:rPr>
          <w:rFonts w:ascii="Courier New" w:cs="Courier New" w:eastAsia="Courier New" w:hAnsi="Courier New"/>
          <w:b w:val="false"/>
          <w:bCs w:val="false"/>
          <w:color w:val="1F2937"/>
          <w:sz w:val="18"/>
          <w:szCs w:val="18"/>
          <w:shd w:fill="F1F3F5" w:color="auto" w:val="clear"/>
          <w:rtl/>
        </w:rPr>
        <w:t xml:space="preserve">‎docs/adr/0002-login-and-session-bound-context.md‎</w:t>
      </w:r>
      <w:r>
        <w:rPr>
          <w:rFonts w:ascii="Arial" w:cs="Arial" w:eastAsia="Arial" w:hAnsi="Arial"/>
          <w:b w:val="false"/>
          <w:bCs w:val="false"/>
          <w:sz w:val="21"/>
          <w:szCs w:val="21"/>
          <w:rtl/>
        </w:rPr>
        <w:t xml:space="preserve">) وADR 0003 (</w:t>
      </w:r>
      <w:r>
        <w:rPr>
          <w:rFonts w:ascii="Courier New" w:cs="Courier New" w:eastAsia="Courier New" w:hAnsi="Courier New"/>
          <w:b w:val="false"/>
          <w:bCs w:val="false"/>
          <w:color w:val="1F2937"/>
          <w:sz w:val="18"/>
          <w:szCs w:val="18"/>
          <w:shd w:fill="F1F3F5" w:color="auto" w:val="clear"/>
          <w:rtl/>
        </w:rPr>
        <w:t xml:space="preserve">‎docs/adr/0003-account-security-in-the-database.md‎</w:t>
      </w:r>
      <w:r>
        <w:rPr>
          <w:rFonts w:ascii="Arial" w:cs="Arial" w:eastAsia="Arial" w:hAnsi="Arial"/>
          <w:b w:val="false"/>
          <w:bCs w:val="false"/>
          <w:sz w:val="21"/>
          <w:szCs w:val="21"/>
          <w:rtl/>
        </w:rPr>
        <w:t xml:space="preserve">)، والمنفّذ في </w:t>
      </w:r>
      <w:r>
        <w:rPr>
          <w:rFonts w:ascii="Courier New" w:cs="Courier New" w:eastAsia="Courier New" w:hAnsi="Courier New"/>
          <w:b w:val="false"/>
          <w:bCs w:val="false"/>
          <w:color w:val="1F2937"/>
          <w:sz w:val="18"/>
          <w:szCs w:val="18"/>
          <w:shd w:fill="F1F3F5" w:color="auto" w:val="clear"/>
          <w:rtl/>
        </w:rPr>
        <w:t xml:space="preserve">‎db/static/030_session_context.sql‎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‎db/static/035_account_security.sql‎</w:t>
      </w:r>
      <w:r>
        <w:rPr>
          <w:rFonts w:ascii="Arial" w:cs="Arial" w:eastAsia="Arial" w:hAnsi="Arial"/>
          <w:b w:val="false"/>
          <w:bCs w:val="false"/>
          <w:sz w:val="21"/>
          <w:szCs w:val="21"/>
          <w:rtl/>
        </w:rPr>
        <w:t xml:space="preserve">؛ يحل O-9 وO-11 (20-database-design) وO-17 وO-18 وO-19 وO-24 (erd_open_items).</w:t>
      </w:r>
    </w:p>
    <w:p>
      <w:pPr>
        <w:pStyle w:val="ListParagraph"/>
        <w:numPr>
          <w:ilvl w:val="0"/>
          <w:numId w:val="3"/>
        </w:numPr>
        <w:bidi/>
        <w:spacing w:after="70" w:before="0" w:line="300"/>
      </w:pPr>
      <w:r>
        <w:rPr>
          <w:rFonts w:ascii="Arial" w:cs="Arial" w:eastAsia="Arial" w:hAnsi="Arial"/>
          <w:b/>
          <w:bCs/>
          <w:sz w:val="21"/>
          <w:szCs w:val="21"/>
          <w:rtl/>
        </w:rPr>
        <w:t xml:space="preserve">الدخول داخل القاعدة: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‎sec.usp_GetPasswordParams‎</w:t>
      </w:r>
      <w:r>
        <w:rPr>
          <w:rFonts w:ascii="Arial" w:cs="Arial" w:eastAsia="Arial" w:hAnsi="Arial"/>
          <w:b w:val="false"/>
          <w:bCs w:val="false"/>
          <w:sz w:val="21"/>
          <w:szCs w:val="21"/>
          <w:rtl/>
        </w:rPr>
        <w:t xml:space="preserve"> يعيد معاملات Argon2id المخزّنة دون التجزئة؛ يحسب التطبيق التجزئة من كلمة المرور؛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يقارنها داخل القاعدة، ويطبّق القفل (BR-PLT-005)، ويسجّل كل محاولة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وينشئ جلسة في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بتجزئة SHA-256 لرمز الجلسة (خمول 30 دقيقة، مطلق 12 ساعة). كل فشل قبل إثبات كلمة المرور يرفع الخطأ نفسه </w:t>
      </w:r>
      <w:r>
        <w:rPr>
          <w:rFonts w:ascii="Courier New" w:cs="Courier New" w:eastAsia="Courier New" w:hAnsi="Courier New"/>
          <w:b w:val="false"/>
          <w:bCs w:val="false"/>
          <w:color w:val="1F2937"/>
          <w:sz w:val="18"/>
          <w:szCs w:val="18"/>
          <w:shd w:fill="F1F3F5" w:color="auto" w:val="clear"/>
          <w:rtl/>
        </w:rPr>
        <w:t xml:space="preserve">‎50005‎</w:t>
      </w:r>
      <w:r>
        <w:rPr>
          <w:rFonts w:ascii="Arial" w:cs="Arial" w:eastAsia="Arial" w:hAnsi="Arial"/>
          <w:b w:val="false"/>
          <w:bCs w:val="false"/>
          <w:sz w:val="21"/>
          <w:szCs w:val="21"/>
          <w:rtl/>
        </w:rPr>
        <w:t xml:space="preserve"> فلا يكشف وجود البريد؛ ومن أثبت كلمة مروره ورفضته حالة المشترك يأخذ </w:t>
      </w:r>
      <w:r>
        <w:rPr>
          <w:rFonts w:ascii="Courier New" w:cs="Courier New" w:eastAsia="Courier New" w:hAnsi="Courier New"/>
          <w:b w:val="false"/>
          <w:bCs w:val="false"/>
          <w:color w:val="1F2937"/>
          <w:sz w:val="18"/>
          <w:szCs w:val="18"/>
          <w:shd w:fill="F1F3F5" w:color="auto" w:val="clear"/>
          <w:rtl/>
        </w:rPr>
        <w:t xml:space="preserve">‎50006‎</w:t>
      </w:r>
      <w:r>
        <w:rPr>
          <w:rFonts w:ascii="Arial" w:cs="Arial" w:eastAsia="Arial" w:hAnsi="Arial"/>
          <w:b w:val="false"/>
          <w:bCs w:val="false"/>
          <w:sz w:val="21"/>
          <w:szCs w:val="21"/>
          <w:rtl/>
        </w:rPr>
        <w:t xml:space="preserve"> (DQ-F03-11). MFA إلزامي لكل مستخدم غير خدمي: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يسجّل نتيجة رمز TOTP وخطوته الزمنية، والخطوة المكررة والرمز الخاطئ يُعدّان في عداد القفل، و</w:t>
      </w:r>
      <w:r>
        <w:rPr>
          <w:rFonts w:ascii="Courier New" w:cs="Courier New" w:eastAsia="Courier New" w:hAnsi="Courier New"/>
          <w:b w:val="false"/>
          <w:bCs w:val="false"/>
          <w:color w:val="1F2937"/>
          <w:sz w:val="18"/>
          <w:szCs w:val="18"/>
          <w:shd w:fill="F1F3F5" w:color="auto" w:val="clear"/>
          <w:rtl/>
        </w:rPr>
        <w:t xml:space="preserve">‎sec.usp_CompleteMfaEnrolment‎</w:t>
      </w:r>
      <w:r>
        <w:rPr>
          <w:rFonts w:ascii="Arial" w:cs="Arial" w:eastAsia="Arial" w:hAnsi="Arial"/>
          <w:b w:val="false"/>
          <w:bCs w:val="false"/>
          <w:sz w:val="21"/>
          <w:szCs w:val="21"/>
          <w:rtl/>
        </w:rPr>
        <w:t xml:space="preserve"> يسجّل أول تسجيل، و</w:t>
      </w:r>
      <w:r>
        <w:rPr>
          <w:rFonts w:ascii="Courier New" w:cs="Courier New" w:eastAsia="Courier New" w:hAnsi="Courier New"/>
          <w:b w:val="false"/>
          <w:bCs w:val="false"/>
          <w:color w:val="1F2937"/>
          <w:sz w:val="18"/>
          <w:szCs w:val="18"/>
          <w:shd w:fill="F1F3F5" w:color="auto" w:val="clear"/>
          <w:rtl/>
        </w:rPr>
        <w:t xml:space="preserve">‎sec.usp_UseRecoveryCode‎</w:t>
      </w:r>
      <w:r>
        <w:rPr>
          <w:rFonts w:ascii="Arial" w:cs="Arial" w:eastAsia="Arial" w:hAnsi="Arial"/>
          <w:b w:val="false"/>
          <w:bCs w:val="false"/>
          <w:sz w:val="21"/>
          <w:szCs w:val="21"/>
          <w:rtl/>
        </w:rPr>
        <w:t xml:space="preserve"> يستهلك رمز الاسترداد داخل القاعدة.</w:t>
      </w:r>
    </w:p>
    <w:p>
      <w:pPr>
        <w:pStyle w:val="ListParagraph"/>
        <w:numPr>
          <w:ilvl w:val="0"/>
          <w:numId w:val="3"/>
        </w:numPr>
        <w:bidi/>
        <w:spacing w:after="70" w:before="0" w:line="300"/>
      </w:pPr>
      <w:r>
        <w:rPr>
          <w:rFonts w:ascii="Arial" w:cs="Arial" w:eastAsia="Arial" w:hAnsi="Arial"/>
          <w:b/>
          <w:bCs/>
          <w:sz w:val="21"/>
          <w:szCs w:val="21"/>
          <w:rtl/>
        </w:rPr>
        <w:t xml:space="preserve">الربط لكل اتصال: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‎sec.usp_SetSessionContext(@TenantId, @SessionToken, @ClientIp, @CorrelationId)‎</w:t>
      </w:r>
      <w:r>
        <w:rPr>
          <w:rFonts w:ascii="Arial" w:cs="Arial" w:eastAsia="Arial" w:hAnsi="Arial"/>
          <w:b w:val="false"/>
          <w:bCs w:val="false"/>
          <w:sz w:val="21"/>
          <w:szCs w:val="21"/>
          <w:rtl/>
        </w:rPr>
        <w:t xml:space="preserve"> يُستدعى عند فتح كل اتصال من المجمّع وقبل أي استعلام. يأخذ المستخدم من الجلسة لا من التطبيق، ويرفض: مدخلات ناقصة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 مشتركًا مجهولًا أو مؤرشفًا أو مغلقًا منذ أكثر من 30 يومًا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 جلسة منتهية أو مستخدمًا غير نشط أو خدميًا أو جلسة بلا MFA أو مستخدمًا لا تقبله حالة المشترك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المعلّق والمغلق لمدير الحساب TA وحده، O-18)، واتصالًا مربوطًا من قبل (</w:t>
      </w:r>
      <w:r>
        <w:rPr>
          <w:rFonts w:ascii="Courier New" w:cs="Courier New" w:eastAsia="Courier New" w:hAnsi="Courier New"/>
          <w:b w:val="false"/>
          <w:bCs w:val="false"/>
          <w:color w:val="1F2937"/>
          <w:sz w:val="18"/>
          <w:szCs w:val="18"/>
          <w:shd w:fill="F1F3F5" w:color="auto" w:val="clear"/>
          <w:rtl/>
        </w:rPr>
        <w:t xml:space="preserve">‎50004‎</w:t>
      </w:r>
      <w:r>
        <w:rPr>
          <w:rFonts w:ascii="Arial" w:cs="Arial" w:eastAsia="Arial" w:hAnsi="Arial"/>
          <w:b w:val="false"/>
          <w:bCs w:val="false"/>
          <w:sz w:val="21"/>
          <w:szCs w:val="21"/>
          <w:rtl/>
        </w:rPr>
        <w:t xml:space="preserve">). ثم يكتب 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ودوال RLS في 010 تشترط تطابق السياق وصف الربط ورمزه.</w:t>
      </w:r>
    </w:p>
    <w:p>
      <w:pPr>
        <w:pStyle w:val="ListParagraph"/>
        <w:numPr>
          <w:ilvl w:val="0"/>
          <w:numId w:val="3"/>
        </w:numPr>
        <w:bidi/>
        <w:spacing w:after="70" w:before="0" w:line="300"/>
      </w:pPr>
      <w:r>
        <w:rPr>
          <w:rFonts w:ascii="Arial" w:cs="Arial" w:eastAsia="Arial" w:hAnsi="Arial"/>
          <w:b/>
          <w:bCs/>
          <w:sz w:val="21"/>
          <w:szCs w:val="21"/>
          <w:rtl/>
        </w:rPr>
        <w:t xml:space="preserve">السحب الفوري:</w:t>
      </w:r>
      <w:r>
        <w:rPr>
          <w:rFonts w:ascii="Arial" w:cs="Arial" w:eastAsia="Arial" w:hAnsi="Arial"/>
          <w:b w:val="false"/>
          <w:bCs w:val="false"/>
          <w:sz w:val="21"/>
          <w:szCs w:val="21"/>
          <w:rtl/>
        </w:rPr>
        <w:t xml:space="preserve"> قوادح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تحذف صف الربط عند تعطيل المستخدم أو حذفه، أو إنهاء الجلسة، أو خروج المشترك من </w:t>
      </w:r>
      <w:r>
        <w:rPr>
          <w:rFonts w:ascii="Courier New" w:cs="Courier New" w:eastAsia="Courier New" w:hAnsi="Courier New"/>
          <w:b w:val="false"/>
          <w:bCs w:val="false"/>
          <w:color w:val="1F2937"/>
          <w:sz w:val="18"/>
          <w:szCs w:val="18"/>
          <w:shd w:fill="F1F3F5" w:color="auto" w:val="clear"/>
          <w:rtl/>
        </w:rPr>
        <w:t xml:space="preserve">‎TRIAL/ACTIVE‎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بلا تسجيل دخول): يتجاوز RLS داخل الإجراءات والقوادح فقط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منحه في 020: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وتعديل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وكامل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وإدراجها وتعديلها، وإدراج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وما تحتاجه إجراءات 035 على </w:t>
      </w:r>
      <w:r>
        <w:rPr>
          <w:rFonts w:ascii="Courier New" w:cs="Courier New" w:eastAsia="Courier New" w:hAnsi="Courier New"/>
          <w:b w:val="false"/>
          <w:bCs w:val="false"/>
          <w:color w:val="1F2937"/>
          <w:sz w:val="18"/>
          <w:szCs w:val="18"/>
          <w:shd w:fill="F1F3F5" w:color="auto" w:val="clear"/>
          <w:rtl/>
        </w:rPr>
        <w:t xml:space="preserve">‎sec.UserToken‎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‎sec.MfaRecoveryCode‎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‎sec.UserPasswordHistory‎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حسابات المستخدمين (035، ADR 0003):</w:t>
      </w:r>
      <w:r>
        <w:rPr>
          <w:rFonts w:ascii="Arial" w:cs="Arial" w:eastAsia="Arial" w:hAnsi="Arial"/>
          <w:b w:val="false"/>
          <w:bCs w:val="false"/>
          <w:sz w:val="21"/>
          <w:szCs w:val="21"/>
          <w:rtl/>
        </w:rPr>
        <w:t xml:space="preserve"> الدعوة وإعادة التعيين وتغيير كلمة المرور بقاعدة السجل، وروابط البريد (دعوة 48 ساعة، إعادة تعيين 30 دقيقة، إعادة تسجيل MFA 24 ساعة) تُخزَّن ببصمة SHA-256 فقط، وفك القفل وتصفير MFA وتغيير حالة المستخدم وإنهاء الجلسة وتمديد الخمول: كلها 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حدود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ولا تجزئات السجل ورموز الاسترداد، ولا ينشئ جلسة ولا يعدّلها، ولا يعدّل أعمدة كلمة المرور وMFA والقفل والحالة، ولا يصدر رابطًا (DENY في 030 و035 بعد المنح المولّدة 007؛ الاختباران T35 وT45). ينشئ مستخدمًا بحالة INVITED فقط بلا بيانات اعتماد (قادح، 50012). ولأن بعض الأعمدة محجوبة يسمّي التطبيق أعمدته: </w:t>
      </w:r>
      <w:r>
        <w:rPr>
          <w:rFonts w:ascii="Courier New" w:cs="Courier New" w:eastAsia="Courier New" w:hAnsi="Courier New"/>
          <w:b w:val="false"/>
          <w:bCs w:val="false"/>
          <w:color w:val="1F2937"/>
          <w:sz w:val="18"/>
          <w:szCs w:val="18"/>
          <w:shd w:fill="F1F3F5" w:color="auto" w:val="clear"/>
          <w:rtl/>
        </w:rPr>
        <w:t xml:space="preserve">‎SELECT *‎</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‎COUNT(*)‎</w:t>
      </w:r>
      <w:r>
        <w:rPr>
          <w:rFonts w:ascii="Arial" w:cs="Arial" w:eastAsia="Arial" w:hAnsi="Arial"/>
          <w:b w:val="false"/>
          <w:bCs w:val="false"/>
          <w:sz w:val="21"/>
          <w:szCs w:val="21"/>
          <w:rtl/>
        </w:rPr>
        <w:t xml:space="preserve"> على هذه الجداول يرفضان بالخطأ 230.</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يجب على التطبيق ألا يستعمل الاتصال، و</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من المجمّع يمسح السياق قبل إعادة الاستعمال.</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مستخدم خدمة لكل مشترك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لا يربط بـ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لأن الربط يتطلب جلسة متحققة بـ MFA لمستخدم غير خدمي، ولا يُقفل بمحاولات خاطئة لأنها لا تُعدّ له؛ وتربط به المهام الخلفية عبر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(037، ADR 0004) لمهمة من القائمة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1"/>
          <w:szCs w:val="21"/>
          <w:rtl/>
        </w:rPr>
        <w:t xml:space="preserve"> وبحالة مشترك تسمح بها، فيقرأ ويكتب بصلاحيات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في مشترك واحد، ولا يستعمل إجراءات المدير (</w:t>
      </w:r>
      <w:r>
        <w:rPr>
          <w:rFonts w:ascii="Courier New" w:cs="Courier New" w:eastAsia="Courier New" w:hAnsi="Courier New"/>
          <w:b w:val="false"/>
          <w:bCs w:val="false"/>
          <w:color w:val="1F2937"/>
          <w:sz w:val="18"/>
          <w:szCs w:val="18"/>
          <w:shd w:fill="F1F3F5" w:color="auto" w:val="clear"/>
          <w:rtl/>
        </w:rPr>
        <w:t xml:space="preserve">‎sec.fn_BoundAsUser‎</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المخاطر المتبقية داخل المشترك الواحد (ADR 0003):</w:t>
      </w:r>
      <w:r>
        <w:rPr>
          <w:rFonts w:ascii="Arial" w:cs="Arial" w:eastAsia="Arial" w:hAnsi="Arial"/>
          <w:b w:val="false"/>
          <w:bCs w:val="false"/>
          <w:sz w:val="21"/>
          <w:szCs w:val="21"/>
          <w:rtl/>
        </w:rPr>
        <w:t xml:space="preserve"> التطبيق يرى رمز الرابط الخام لأنه يرسل البريد، وفحص TOTP في التطبيق لأن المفتاح عنده (مع فحص التكرار وحد الإخفاقات في القاعدة). لا يعبر أي منها حدود المشترك. وأُغلق R6: حذف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لم يعد يمحو الأثر، لأن كل محاولة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(ADR 0007، DQ-F03-10).</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093"/>
        <w:gridCol w:w="2797"/>
        <w:gridCol w:w="2428"/>
        <w:gridCol w:w="984"/>
        <w:gridCol w:w="1578"/>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 ووحدات الاشتراك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والإنشاء والحالة وحسابات المشغّلين بإجراءات فقط (ADR 0004)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 noplat‎</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‎plat.OperatorToken‎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تكتبها إجراءات بعينها فقط (030، 036)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‎cfg.NonWorkingDay‎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جدول مختلط بسياسة خاصة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الجداول العالمية (بما فيها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المحجوبة) وعلى صفوف المنصة في الجداول المختلطة الثلاثة (§3.3)،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(O-12): إنشاء المشترك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1"/>
          <w:szCs w:val="21"/>
          <w:rtl/>
        </w:rPr>
        <w:t xml:space="preserve"> وتغيير حالته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(038، ADR 0004)، ولا يدرج المشترك ولا يعدّل رمزه وحالته مباشرة. المشغّلون يدخلون بإجراءات داخل القاعدة على نمط ADR 0002 (</w:t>
      </w:r>
      <w:r>
        <w:rPr>
          <w:rFonts w:ascii="Courier New" w:cs="Courier New" w:eastAsia="Courier New" w:hAnsi="Courier New"/>
          <w:b w:val="false"/>
          <w:bCs w:val="false"/>
          <w:color w:val="1F2937"/>
          <w:sz w:val="18"/>
          <w:szCs w:val="18"/>
          <w:shd w:fill="F1F3F5" w:color="auto" w:val="clear"/>
          <w:rtl/>
        </w:rPr>
        <w:t xml:space="preserve">‎plat.usp_StartOperatorSession‎</w:t>
      </w:r>
      <w:r>
        <w:rPr>
          <w:rFonts w:ascii="Arial" w:cs="Arial" w:eastAsia="Arial" w:hAnsi="Arial"/>
          <w:b w:val="false"/>
          <w:bCs w:val="false"/>
          <w:sz w:val="21"/>
          <w:szCs w:val="21"/>
          <w:rtl/>
        </w:rPr>
        <w:t xml:space="preserve"> وTOTP إلزامي، 036)، وحساباتهم لا تتغير إلا بإجراءات: تمهيد أول مدير عند النشر، والدعوة، والإعداد، والإعادة، والحالة مع بقاء مديرَين نشطين.</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الإجراء منفّذ (036، ADR 0004):</w:t>
      </w:r>
      <w:r>
        <w:rPr>
          <w:rFonts w:ascii="Arial" w:cs="Arial" w:eastAsia="Arial" w:hAnsi="Arial"/>
          <w:b w:val="false"/>
          <w:bCs w:val="false"/>
          <w:sz w:val="21"/>
          <w:szCs w:val="21"/>
          <w:rtl/>
        </w:rPr>
        <w:t xml:space="preserve"> اتصال الدعم عضو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(ضمن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بلا أعمدة مقيّدة ولا كتابة)، ويربطه </w:t>
      </w:r>
      <w:r>
        <w:rPr>
          <w:rFonts w:ascii="Courier New" w:cs="Courier New" w:eastAsia="Courier New" w:hAnsi="Courier New"/>
          <w:b w:val="false"/>
          <w:bCs w:val="false"/>
          <w:color w:val="1F2937"/>
          <w:sz w:val="18"/>
          <w:szCs w:val="18"/>
          <w:shd w:fill="F1F3F5" w:color="auto" w:val="clear"/>
          <w:rtl/>
        </w:rPr>
        <w:t xml:space="preserve">‎sec.usp_SetSupportContext‎</w:t>
      </w:r>
      <w:r>
        <w:rPr>
          <w:rFonts w:ascii="Arial" w:cs="Arial" w:eastAsia="Arial" w:hAnsi="Arial"/>
          <w:b w:val="false"/>
          <w:bCs w:val="false"/>
          <w:sz w:val="21"/>
          <w:szCs w:val="21"/>
          <w:rtl/>
        </w:rPr>
        <w:t xml:space="preserve"> بمشترك واحد بجلسة مشغّل متحققة بـ MFA ومنحة فعّالة له لا تزيد على 72 ساعة، وفي المشترك المعلّق بمنحة أقدم من التعليق فقط؛ وتسحب القوادح الربط عند إلغاء المنحة أو انتهاء جلسة المشغّل أو تعطيله.</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وفي سجل التدقيق للكتابة فقط: قراءته محصورة في أحداث المنصة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الاختبار T38).</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 وكذلك وحدات الاشتراك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(مملوكة للمنصة ويكتبها مشغّلوها فقط، DR-01) تُقرأ عبر العرض المماثل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بالترشيح نفسه.</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بالمستخدمين والأدوار والصلاحيات ومفتاح تشفيره وشركاته ووحداته. كل خط </w:t>
      </w:r>
      <w:r>
        <w:rPr>
          <w:rFonts w:ascii="Arial" w:cs="Arial" w:eastAsia="Arial" w:hAnsi="Arial"/>
          <w:b/>
          <w:bCs/>
          <w:sz w:val="21"/>
          <w:szCs w:val="21"/>
          <w:rtl/>
        </w:rPr>
        <w:t xml:space="preserve">مفتاح أجنبي فعلي</w:t>
      </w:r>
      <w:r>
        <w:rPr>
          <w:rFonts w:ascii="Arial" w:cs="Arial" w:eastAsia="Arial" w:hAnsi="Arial"/>
          <w:b w:val="false"/>
          <w:bCs w:val="false"/>
          <w:sz w:val="21"/>
          <w:szCs w:val="21"/>
          <w:rtl/>
        </w:rPr>
        <w:t xml:space="preserve"> ويحمل اسم عمود الربط، والجداول مرسومة بمفاتيحها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فقط. عمود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الذي تحمله جداول المشترك كلها وإشارته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لم يُرسم في كل جدول</w:t>
      </w:r>
      <w:r>
        <w:rPr>
          <w:rFonts w:ascii="Arial" w:cs="Arial" w:eastAsia="Arial" w:hAnsi="Arial"/>
          <w:b w:val="false"/>
          <w:bCs w:val="false"/>
          <w:sz w:val="21"/>
          <w:szCs w:val="21"/>
          <w:rtl/>
        </w:rPr>
        <w:t xml:space="preserve"> لتفادي الازدحام، وترد كاملة في جداول المواصفات (§10). الروابط إلى جداول خارج المجموعة لا تُرسم، وتظهر في جدول العلاقات بعمود «مرسوم: لا».</w:t>
      </w:r>
    </w:p>
    <w:p>
      <w:pPr>
        <w:keepNext/>
        <w:bidi/>
        <w:spacing w:after="60" w:before="160"/>
        <w:jc w:val="center"/>
      </w:pPr>
      <w:r>
        <w:drawing>
          <wp:inline distT="0" distB="0" distL="0" distR="0">
            <wp:extent cx="6096000" cy="1362075"/>
            <wp:effectExtent t="0" r="0" b="0" l="0"/>
            <wp:docPr id="1" name="diagrams/erd/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362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48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(161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(36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من يكتب التدقيق (ADR 0007):</w:t>
      </w:r>
      <w:r>
        <w:rPr>
          <w:rFonts w:ascii="Arial" w:cs="Arial" w:eastAsia="Arial" w:hAnsi="Arial"/>
          <w:b w:val="false"/>
          <w:bCs w:val="false"/>
          <w:sz w:val="21"/>
          <w:szCs w:val="21"/>
          <w:rtl/>
        </w:rPr>
        <w:t xml:space="preserve"> إجراءات القاعدة تكتب صفوف أحداثها في معاملة التغيير نفسها عبر الإجراء الداخلي </w:t>
      </w:r>
      <w:r>
        <w:rPr>
          <w:rFonts w:ascii="Courier New" w:cs="Courier New" w:eastAsia="Courier New" w:hAnsi="Courier New"/>
          <w:b w:val="false"/>
          <w:bCs w:val="false"/>
          <w:color w:val="1F2937"/>
          <w:sz w:val="18"/>
          <w:szCs w:val="18"/>
          <w:shd w:fill="F1F3F5" w:color="auto" w:val="clear"/>
          <w:rtl/>
        </w:rPr>
        <w:t xml:space="preserve">‎aud.usp_WriteEvent‎</w:t>
      </w:r>
      <w:r>
        <w:rPr>
          <w:rFonts w:ascii="Arial" w:cs="Arial" w:eastAsia="Arial" w:hAnsi="Arial"/>
          <w:b w:val="false"/>
          <w:bCs w:val="false"/>
          <w:sz w:val="21"/>
          <w:szCs w:val="21"/>
          <w:rtl/>
        </w:rPr>
        <w:t xml:space="preserve"> (029): كل محاولة دخول بقادح على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وتغييرات الحسابات والجلسات (035)، ودخول المشغّلين وحساباتهم وربط الدعم (036)، وربط المهام (037)، والتهيئة وحالة المشترك (038). صفوف المشترك يراها عارض تدقيقه، وصفوف المنصة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للمشغّلين وحدهم، ولا صف يحمل بريدًا أو تجزئة أو رمزًا. ويكتب التطبيق ما يفعله هو: بيانات الخزينة والكشف والتصدير وعرض التدقيق.</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موقع المرساة قرار مفتوح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مسموحًا أو مرفوضًا، مع حدثه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للمشترك نفسه (مرجع إلزامي، DR-12). السبب اختياري يفعّله المشترك (Q-PTY-05).</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2867"/>
        <w:gridCol w:w="1605"/>
        <w:gridCol w:w="2984"/>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 (المرجع + الغرض)</w:t>
            </w:r>
          </w:p>
        </w:tc>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 (المرجع + الغرض)</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الهوية في مخزن خارجي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غرض المفتاح:</w:t>
      </w:r>
      <w:r>
        <w:rPr>
          <w:rFonts w:ascii="Arial" w:cs="Arial" w:eastAsia="Arial" w:hAnsi="Arial"/>
          <w:b w:val="false"/>
          <w:bCs w:val="false"/>
          <w:sz w:val="21"/>
          <w:szCs w:val="21"/>
          <w:rtl/>
        </w:rPr>
        <w:t xml:space="preserve"> بجانب كل مفتاح عمود ثابت للغرض (</w:t>
      </w:r>
      <w:r>
        <w:rPr>
          <w:rFonts w:ascii="Courier New" w:cs="Courier New" w:eastAsia="Courier New" w:hAnsi="Courier New"/>
          <w:b w:val="false"/>
          <w:bCs w:val="false"/>
          <w:color w:val="1F2937"/>
          <w:sz w:val="18"/>
          <w:szCs w:val="18"/>
          <w:shd w:fill="F1F3F5" w:color="auto" w:val="clear"/>
          <w:rtl/>
        </w:rPr>
        <w:t xml:space="preserve">‎EncKeyPurpose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‎HashKeyPurpose = BLIND_INDEX‎</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‎MfaKeyPurpose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‎KeyPurpose = FILE‎</w:t>
      </w:r>
      <w:r>
        <w:rPr>
          <w:rFonts w:ascii="Arial" w:cs="Arial" w:eastAsia="Arial" w:hAnsi="Arial"/>
          <w:b w:val="false"/>
          <w:bCs w:val="false"/>
          <w:sz w:val="21"/>
          <w:szCs w:val="21"/>
          <w:rtl/>
        </w:rPr>
        <w:t xml:space="preserve">)، والمفتاح الأجنبي إليه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الغرض، معرّف المفتاح)‎</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‎sec.TenantKey(TenantId, Purpose, TenantKeyId)‎</w:t>
      </w:r>
      <w:r>
        <w:rPr>
          <w:rFonts w:ascii="Arial" w:cs="Arial" w:eastAsia="Arial" w:hAnsi="Arial"/>
          <w:b w:val="false"/>
          <w:bCs w:val="false"/>
          <w:sz w:val="21"/>
          <w:szCs w:val="21"/>
          <w:rtl/>
        </w:rPr>
        <w:t xml:space="preserve">. لا يمكن بذلك ربط مفتاح فهرسة بعمود تشفير، ولا مفتاح مشترك آخر (DR-02).</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4"/>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4"/>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29 عمودًا موسومة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207"/>
        <w:gridCol w:w="510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5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(763)، والمركّب يمنع العبور بين المشتركين والتجميعات</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متتالي على بيانات الائتمان والتدقيق وKYC</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متتالي واحد فقط في القاعدة: شروط بند ملف الاكتمال مع بندها، والبنود لا تتغير إلا في نسخة مسودة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والنسخة الفعّالة أو المسحوبة لا تعود مسودة (50033). القاعدة R11 ترفض أي حذف متتالي آخر في النموذج (O-13 في erd_open_items، ADR 0006)</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‎041_kyc_profile_versions.sql‎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‎check_grants.py‎</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بلا فجوات</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الطلب والبروفورما يؤخذ داخل معاملة الكتابة نفسها بقفل صف العدّاد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فالتراجع يعيد الرقم والطلب المتزامن ينتظر الالتزام؛ والملغى يبقى «ملغى» بسبب ولا يُعاد؛ وتعريفا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لا يقبلان غير </w:t>
            </w:r>
            <w:r>
              <w:rPr>
                <w:rFonts w:ascii="Courier New" w:cs="Courier New" w:eastAsia="Courier New" w:hAnsi="Courier New"/>
                <w:b w:val="false"/>
                <w:bCs w:val="false"/>
                <w:color w:val="1F2937"/>
                <w:sz w:val="16"/>
                <w:szCs w:val="16"/>
                <w:shd w:fill="F1F3F5" w:color="auto" w:val="clear"/>
                <w:rtl/>
              </w:rPr>
              <w:t xml:space="preserve">‎GAP_FREE‎</w:t>
            </w:r>
            <w:r>
              <w:rPr>
                <w:rFonts w:ascii="Arial" w:cs="Arial" w:eastAsia="Arial" w:hAnsi="Arial"/>
                <w:b w:val="false"/>
                <w:bCs w:val="false"/>
                <w:sz w:val="18"/>
                <w:szCs w:val="18"/>
                <w:rtl/>
              </w:rPr>
              <w:t xml:space="preserve"> (O-12 في erd_open_items، Q-PLT-08)</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(039، ADR 0005)</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1"/>
        <w:bidi/>
      </w:pPr>
      <w:bookmarkStart w:name="_sec24" w:id="24"/>
      <w:r>
        <w:rPr>
          <w:rFonts w:ascii="Arial" w:cs="Arial" w:eastAsia="Arial" w:hAnsi="Arial"/>
          <w:b/>
          <w:bCs/>
          <w:color w:val="1F3A5F"/>
          <w:sz w:val="32"/>
          <w:szCs w:val="32"/>
          <w:rtl/>
        </w:rPr>
        <w:t xml:space="preserve">8. الفهرسة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(196)</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(47)</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مفتاحان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فلا مسارات تعاقب متعددة.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5" w:id="25"/>
      <w:r>
        <w:rPr>
          <w:rFonts w:ascii="Arial" w:cs="Arial" w:eastAsia="Arial" w:hAnsi="Arial"/>
          <w:b/>
          <w:bCs/>
          <w:color w:val="1F3A5F"/>
          <w:sz w:val="32"/>
          <w:szCs w:val="32"/>
          <w:rtl/>
        </w:rPr>
        <w:t xml:space="preserve">9. الأدوار والصلاحيات (على مستوى القاعدة)</w:t>
      </w:r>
      <w:bookmarkEnd w:id="25"/>
    </w:p>
    <w:p>
      <w:pPr>
        <w:pStyle w:val="Heading2"/>
        <w:bidi/>
      </w:pPr>
      <w:bookmarkStart w:name="_sec26" w:id="26"/>
      <w:r>
        <w:rPr>
          <w:rFonts w:ascii="Arial" w:cs="Arial" w:eastAsia="Arial" w:hAnsi="Arial"/>
          <w:b/>
          <w:bCs/>
          <w:color w:val="2B5C8A"/>
          <w:sz w:val="26"/>
          <w:szCs w:val="26"/>
          <w:rtl/>
        </w:rPr>
        <w:t xml:space="preserve">9.1 الأدوار</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3"/>
        <w:gridCol w:w="2249"/>
        <w:gridCol w:w="5712"/>
      </w:tblGrid>
      <w:tr>
        <w:trPr>
          <w:cantSplit/>
          <w:tblHeader/>
        </w:trPr>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‎plat.v_TenantModule‎</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الإجراءات العامة في 030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و035 (خمسة عشر إجراءً، ADR 0003) و039 (</w:t>
            </w: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ADR 0005) و042 (</w:t>
            </w:r>
            <w:r>
              <w:rPr>
                <w:rFonts w:ascii="Courier New" w:cs="Courier New" w:eastAsia="Courier New" w:hAnsi="Courier New"/>
                <w:b w:val="false"/>
                <w:bCs w:val="false"/>
                <w:color w:val="1F2937"/>
                <w:sz w:val="16"/>
                <w:szCs w:val="16"/>
                <w:shd w:fill="F1F3F5" w:color="auto" w:val="clear"/>
                <w:rtl/>
              </w:rPr>
              <w:t xml:space="preserve">‎cfg.usp_RequestDataExport‎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‎cfg.usp_ApproveDataExport‎</w:t>
            </w:r>
            <w:r>
              <w:rPr>
                <w:rFonts w:ascii="Arial" w:cs="Arial" w:eastAsia="Arial" w:hAnsi="Arial"/>
                <w:b w:val="false"/>
                <w:bCs w:val="false"/>
                <w:sz w:val="18"/>
                <w:szCs w:val="18"/>
                <w:rtl/>
              </w:rPr>
              <w:t xml:space="preserve">، ADR 0008) فقط · لا يدرج طلب تصدير ولا يعدّله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042) · لا يكتب العدّادات ولا الأرقام المصدرة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039)، ويربط الرقم بكيانه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المشغّلين والتهيئة وحالة المشترك (036، 038)،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إدراج المشترك والمشغّل وعلى أعمدة الرمز والحالة وبيانات الاعتماد (ADR 0004)</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 (عبر المستخدم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020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فقط؛ تُنفَّذ به إجراءات 030 الأربعة وقوادحها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 ومنح 028 و036 إلى 038 (الإعدادات، المشغّلون وجلساتهم وروابطهم، منح الدعم، قائمة المهام، التهيئة)،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 (FR-PLT-007)</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فقط، فيقرأ مشتركًا واحدًا بمنحة فعّالة (036،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الخلفية (FR-PLT-044)</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‎plat.usp_ListTenantsForJobs‎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 (037، 038)، وإجراءات مهمتي التصدير في 042 (</w:t>
            </w:r>
            <w:r>
              <w:rPr>
                <w:rFonts w:ascii="Courier New" w:cs="Courier New" w:eastAsia="Courier New" w:hAnsi="Courier New"/>
                <w:b w:val="false"/>
                <w:bCs w:val="false"/>
                <w:color w:val="1F2937"/>
                <w:sz w:val="16"/>
                <w:szCs w:val="16"/>
                <w:shd w:fill="F1F3F5" w:color="auto" w:val="clear"/>
                <w:rtl/>
              </w:rPr>
              <w:t xml:space="preserve">‎cfg.usp_StartDataExport‎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‎usp_FinishDataExport‎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‎usp_FailDataExport‎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‎usp_ExpireDataExports‎</w:t>
            </w:r>
            <w:r>
              <w:rPr>
                <w:rFonts w:ascii="Arial" w:cs="Arial" w:eastAsia="Arial" w:hAnsi="Arial"/>
                <w:b w:val="false"/>
                <w:bCs w:val="false"/>
                <w:sz w:val="18"/>
                <w:szCs w:val="18"/>
                <w:rtl/>
              </w:rPr>
              <w:t xml:space="preserve">، ADR 0008)</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(تُحدَّد مع أداة الترحيل O-2)،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4371975"/>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37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7" w:id="27"/>
      <w:r>
        <w:rPr>
          <w:rFonts w:ascii="Arial" w:cs="Arial" w:eastAsia="Arial" w:hAnsi="Arial"/>
          <w:b/>
          <w:bCs/>
          <w:color w:val="2B5C8A"/>
          <w:sz w:val="26"/>
          <w:szCs w:val="26"/>
          <w:rtl/>
        </w:rPr>
        <w:t xml:space="preserve">9.2 من أين تأتي المنح</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733"/>
        <w:gridCol w:w="3131"/>
      </w:tblGrid>
      <w:tr>
        <w:trPr>
          <w:cantSplit/>
          <w:tblHeader/>
        </w:trPr>
        <w:tc>
          <w:tcPr>
            <w:tcW w:type="dxa" w:w="6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29 عمودًا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(204 عبارات </w:t>
            </w:r>
            <w:r>
              <w:rPr>
                <w:rFonts w:ascii="Courier New" w:cs="Courier New" w:eastAsia="Courier New" w:hAnsi="Courier New"/>
                <w:b w:val="false"/>
                <w:bCs w:val="false"/>
                <w:color w:val="1F2937"/>
                <w:sz w:val="16"/>
                <w:szCs w:val="16"/>
                <w:shd w:fill="F1F3F5" w:color="auto" w:val="clear"/>
                <w:rtl/>
              </w:rPr>
              <w:t xml:space="preserve">‎GRANT‎</w:t>
            </w:r>
            <w:r>
              <w:rPr>
                <w:rFonts w:ascii="Arial" w:cs="Arial" w:eastAsia="Arial" w:hAnsi="Arial"/>
                <w:b w:val="false"/>
                <w:bCs w:val="false"/>
                <w:sz w:val="18"/>
                <w:szCs w:val="18"/>
                <w:rtl/>
              </w:rPr>
              <w:t xml:space="preserve">)</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الدخول والربط الأربعة وقوادح السحب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الخاصة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(ADR 0002)</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9.3 التحقق الثابت من الصلاحيات</w:t>
      </w:r>
      <w:bookmarkEnd w:id="2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لا يملك منحًا إلا على الجداول الخمسة التي تحتاجها إجراءات 030.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pStyle w:val="ListParagraph"/>
        <w:numPr>
          <w:ilvl w:val="0"/>
          <w:numId w:val="3"/>
        </w:numPr>
        <w:bidi/>
        <w:spacing w:after="70" w:before="0" w:line="300"/>
      </w:pPr>
      <w:r>
        <w:rPr>
          <w:rFonts w:ascii="Arial" w:cs="Arial" w:eastAsia="Arial" w:hAnsi="Arial"/>
          <w:b/>
          <w:bCs/>
          <w:sz w:val="21"/>
          <w:szCs w:val="21"/>
          <w:rtl/>
        </w:rPr>
        <w:t xml:space="preserve">R11</w:t>
      </w:r>
      <w:r>
        <w:rPr>
          <w:rFonts w:ascii="Arial" w:cs="Arial" w:eastAsia="Arial" w:hAnsi="Arial"/>
          <w:b w:val="false"/>
          <w:bCs w:val="false"/>
          <w:sz w:val="21"/>
          <w:szCs w:val="21"/>
          <w:rtl/>
        </w:rPr>
        <w:t xml:space="preserve"> لا حذف متتالي (</w:t>
      </w:r>
      <w:r>
        <w:rPr>
          <w:rFonts w:ascii="Courier New" w:cs="Courier New" w:eastAsia="Courier New" w:hAnsi="Courier New"/>
          <w:b w:val="false"/>
          <w:bCs w:val="false"/>
          <w:color w:val="1F2937"/>
          <w:sz w:val="18"/>
          <w:szCs w:val="18"/>
          <w:shd w:fill="F1F3F5" w:color="auto" w:val="clear"/>
          <w:rtl/>
        </w:rPr>
        <w:t xml:space="preserve">‎cascade‎</w:t>
      </w:r>
      <w:r>
        <w:rPr>
          <w:rFonts w:ascii="Arial" w:cs="Arial" w:eastAsia="Arial" w:hAnsi="Arial"/>
          <w:b w:val="false"/>
          <w:bCs w:val="false"/>
          <w:sz w:val="21"/>
          <w:szCs w:val="21"/>
          <w:rtl/>
        </w:rPr>
        <w:t xml:space="preserve">) في النموذج إلا على الروابط المسموحة في </w:t>
      </w:r>
      <w:r>
        <w:rPr>
          <w:rFonts w:ascii="Courier New" w:cs="Courier New" w:eastAsia="Courier New" w:hAnsi="Courier New"/>
          <w:b w:val="false"/>
          <w:bCs w:val="false"/>
          <w:color w:val="1F2937"/>
          <w:sz w:val="18"/>
          <w:szCs w:val="18"/>
          <w:shd w:fill="F1F3F5" w:color="auto" w:val="clear"/>
          <w:rtl/>
        </w:rPr>
        <w:t xml:space="preserve">‎CASCADE_ALLOWED‎</w:t>
      </w:r>
      <w:r>
        <w:rPr>
          <w:rFonts w:ascii="Arial" w:cs="Arial" w:eastAsia="Arial" w:hAnsi="Arial"/>
          <w:b w:val="false"/>
          <w:bCs w:val="false"/>
          <w:sz w:val="21"/>
          <w:szCs w:val="21"/>
          <w:rtl/>
        </w:rPr>
        <w:t xml:space="preserve">، وهي اليوم شروط بند ملف الاكتمال وحدها (O-13، ADR 0006).</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29" w:id="29"/>
      <w:r>
        <w:rPr>
          <w:rFonts w:ascii="Arial" w:cs="Arial" w:eastAsia="Arial" w:hAnsi="Arial"/>
          <w:b/>
          <w:bCs/>
          <w:color w:val="2B5C8A"/>
          <w:sz w:val="26"/>
          <w:szCs w:val="26"/>
          <w:rtl/>
        </w:rPr>
        <w:t xml:space="preserve">9.4 قواعد عامة</w:t>
      </w:r>
      <w:bookmarkEnd w:id="29"/>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0" w:id="30"/>
      <w:r>
        <w:rPr>
          <w:rFonts w:ascii="Arial" w:cs="Arial" w:eastAsia="Arial" w:hAnsi="Arial"/>
          <w:b/>
          <w:bCs/>
          <w:color w:val="1F3A5F"/>
          <w:sz w:val="32"/>
          <w:szCs w:val="32"/>
          <w:rtl/>
        </w:rPr>
        <w:t xml:space="preserve">10. ERD والمواصفات التفصيلية حسب الوحدة</w:t>
      </w:r>
      <w:bookmarkEnd w:id="30"/>
    </w:p>
    <w:p>
      <w:pPr>
        <w:bidi/>
        <w:spacing w:after="110" w:before="0" w:line="312"/>
      </w:pPr>
      <w:r>
        <w:rPr>
          <w:rFonts w:ascii="Arial" w:cs="Arial" w:eastAsia="Arial" w:hAnsi="Arial"/>
          <w:b w:val="false"/>
          <w:bCs w:val="false"/>
          <w:sz w:val="21"/>
          <w:szCs w:val="21"/>
          <w:rtl/>
        </w:rPr>
        <w:t xml:space="preserve">كل مخطط في هذا القسم </w:t>
      </w:r>
      <w:r>
        <w:rPr>
          <w:rFonts w:ascii="Arial" w:cs="Arial" w:eastAsia="Arial" w:hAnsi="Arial"/>
          <w:b/>
          <w:bCs/>
          <w:sz w:val="21"/>
          <w:szCs w:val="21"/>
          <w:rtl/>
        </w:rPr>
        <w:t xml:space="preserve">مُولَّد من النموذج نفسه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‎db/model‎</w:t>
      </w:r>
      <w:r>
        <w:rPr>
          <w:rFonts w:ascii="Arial" w:cs="Arial" w:eastAsia="Arial" w:hAnsi="Arial"/>
          <w:b w:val="false"/>
          <w:bCs w:val="false"/>
          <w:sz w:val="21"/>
          <w:szCs w:val="21"/>
          <w:rtl/>
        </w:rPr>
        <w:t xml:space="preserve">)، فلا ينحرف عن قاعدة البيانات. الترتيب: أولًا خريطة المخططات، ثم مخطط كل مجموعة، ثم جدول مواصفات الجداول، ثم جدول علاقات كل مفتاح أجنبي.</w:t>
      </w:r>
    </w:p>
    <w:p>
      <w:pPr>
        <w:pStyle w:val="Heading2"/>
        <w:bidi/>
      </w:pPr>
      <w:bookmarkStart w:name="_sec31" w:id="31"/>
      <w:r>
        <w:rPr>
          <w:rFonts w:ascii="Arial" w:cs="Arial" w:eastAsia="Arial" w:hAnsi="Arial"/>
          <w:b/>
          <w:bCs/>
          <w:color w:val="2B5C8A"/>
          <w:sz w:val="26"/>
          <w:szCs w:val="26"/>
          <w:rtl/>
        </w:rPr>
        <w:t xml:space="preserve">10.1 خريطة المخططات (Schema Map)</w:t>
      </w:r>
      <w:bookmarkEnd w:id="31"/>
    </w:p>
    <w:p>
      <w:pPr>
        <w:keepNext/>
        <w:bidi/>
        <w:spacing w:after="60" w:before="160"/>
        <w:jc w:val="center"/>
      </w:pPr>
      <w:r>
        <w:drawing>
          <wp:inline distT="0" distB="0" distL="0" distR="0">
            <wp:extent cx="6096000" cy="2057400"/>
            <wp:effectExtent t="0" r="0" b="0" l="0"/>
            <wp:docPr id="1" name="diagrams/erd/schema_map.png" descr="خريطة المخططات: المخططات والعلاقات بينها (خمسة مفاتيح أجنبية فأكثر)" title="خريطة المخططات: المخططات والعلاقات بينها (خمسة مفاتيح أجنبية فأكث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057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خريطة المخططات: المخططات والعلاقات بينها (خمسة مفاتيح أجنبية فأكثر)</w:t>
      </w:r>
    </w:p>
    <w:p>
      <w:pPr>
        <w:pStyle w:val="Heading2"/>
        <w:bidi/>
      </w:pPr>
      <w:bookmarkStart w:name="_sec32" w:id="32"/>
      <w:r>
        <w:rPr>
          <w:rFonts w:ascii="Arial" w:cs="Arial" w:eastAsia="Arial" w:hAnsi="Arial"/>
          <w:b/>
          <w:bCs/>
          <w:color w:val="2B5C8A"/>
          <w:sz w:val="26"/>
          <w:szCs w:val="26"/>
          <w:rtl/>
        </w:rPr>
        <w:t xml:space="preserve">10.2 قراءة المخططات</w:t>
      </w:r>
      <w:bookmarkEnd w:id="32"/>
    </w:p>
    <w:p>
      <w:pPr>
        <w:bidi/>
        <w:spacing w:after="110" w:before="0" w:line="312"/>
      </w:pPr>
      <w:r>
        <w:rPr>
          <w:rFonts w:ascii="Arial" w:cs="Arial" w:eastAsia="Arial" w:hAnsi="Arial"/>
          <w:b/>
          <w:bCs/>
          <w:sz w:val="21"/>
          <w:szCs w:val="21"/>
          <w:rtl/>
        </w:rPr>
        <w:t xml:space="preserve">مفتاح الرسم (معيار Crow's Foot):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المفتاح الأساسي ·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مفتاح أجنبي · </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فريد. طرف الأب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 واحد إلزامي، وطرف الابن </w:t>
      </w:r>
      <w:r>
        <w:rPr>
          <w:rFonts w:ascii="Courier New" w:cs="Courier New" w:eastAsia="Courier New" w:hAnsi="Courier New"/>
          <w:b w:val="false"/>
          <w:bCs w:val="false"/>
          <w:color w:val="1F2937"/>
          <w:sz w:val="18"/>
          <w:szCs w:val="18"/>
          <w:shd w:fill="F1F3F5" w:color="auto" w:val="clear"/>
          <w:rtl/>
        </w:rPr>
        <w:t xml:space="preserve">‎}o‎</w:t>
      </w:r>
      <w:r>
        <w:rPr>
          <w:rFonts w:ascii="Arial" w:cs="Arial" w:eastAsia="Arial" w:hAnsi="Arial"/>
          <w:b w:val="false"/>
          <w:bCs w:val="false"/>
          <w:sz w:val="21"/>
          <w:szCs w:val="21"/>
          <w:rtl/>
        </w:rPr>
        <w:t xml:space="preserve"> = صفر أو أكثر؛ الاختياري </w:t>
      </w:r>
      <w:r>
        <w:rPr>
          <w:rFonts w:ascii="Courier New" w:cs="Courier New" w:eastAsia="Courier New" w:hAnsi="Courier New"/>
          <w:b w:val="false"/>
          <w:bCs w:val="false"/>
          <w:color w:val="1F2937"/>
          <w:sz w:val="18"/>
          <w:szCs w:val="18"/>
          <w:shd w:fill="F1F3F5" w:color="auto" w:val="clear"/>
          <w:rtl/>
        </w:rPr>
        <w:t xml:space="preserve">‎|o‎</w:t>
      </w:r>
      <w:r>
        <w:rPr>
          <w:rFonts w:ascii="Arial" w:cs="Arial" w:eastAsia="Arial" w:hAnsi="Arial"/>
          <w:b w:val="false"/>
          <w:bCs w:val="false"/>
          <w:sz w:val="21"/>
          <w:szCs w:val="21"/>
          <w:rtl/>
        </w:rPr>
        <w:t xml:space="preserve"> = واحد أو لا شيء. اسم العلاقة = أعمدة الربط.</w:t>
      </w:r>
    </w:p>
    <w:p>
      <w:pPr>
        <w:bidi/>
        <w:spacing w:after="110" w:before="0" w:line="312"/>
      </w:pPr>
      <w:r>
        <w:rPr>
          <w:rFonts w:ascii="Arial" w:cs="Arial" w:eastAsia="Arial" w:hAnsi="Arial"/>
          <w:b w:val="false"/>
          <w:bCs w:val="false"/>
          <w:sz w:val="21"/>
          <w:szCs w:val="21"/>
          <w:rtl/>
        </w:rPr>
        <w:t xml:space="preserve">الإحاطة: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ولم يُرسم هذا الربط في كل مخطط. العلاقات المرسومة </w:t>
      </w:r>
      <w:r>
        <w:rPr>
          <w:rFonts w:ascii="Arial" w:cs="Arial" w:eastAsia="Arial" w:hAnsi="Arial"/>
          <w:b/>
          <w:bCs/>
          <w:sz w:val="21"/>
          <w:szCs w:val="21"/>
          <w:rtl/>
        </w:rPr>
        <w:t xml:space="preserve">مفاتيح أجنبية فعلية</w:t>
      </w:r>
      <w:r>
        <w:rPr>
          <w:rFonts w:ascii="Arial" w:cs="Arial" w:eastAsia="Arial" w:hAnsi="Arial"/>
          <w:b w:val="false"/>
          <w:bCs w:val="false"/>
          <w:sz w:val="21"/>
          <w:szCs w:val="21"/>
          <w:rtl/>
        </w:rPr>
        <w:t xml:space="preserve">، وكل علاقة مكتوبة في جدول العلاقات بإلزامها ونطاقها وسلوك حذفها. أعمدة الإثبات والتدقيق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‎VerifiedBy‎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‎ConflictId‎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‎CreatedBy‎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‎UpdatedBy‎</w:t>
      </w:r>
      <w:r>
        <w:rPr>
          <w:rFonts w:ascii="Arial" w:cs="Arial" w:eastAsia="Arial" w:hAnsi="Arial"/>
          <w:b w:val="false"/>
          <w:bCs w:val="false"/>
          <w:sz w:val="21"/>
          <w:szCs w:val="21"/>
          <w:rtl/>
        </w:rPr>
        <w:t xml:space="preserve">…) لا تُرسم في المخطط لتقليل الازدحام، وترد كاملة في جداول العلاقات. الجداول خارج المجموعة تظهر بمفتاحها فقط.</w:t>
      </w:r>
    </w:p>
    <w:p>
      <w:pPr>
        <w:pStyle w:val="Heading2"/>
        <w:bidi/>
      </w:pPr>
      <w:bookmarkStart w:name="_sec33" w:id="33"/>
      <w:r>
        <w:rPr>
          <w:rFonts w:ascii="Arial" w:cs="Arial" w:eastAsia="Arial" w:hAnsi="Arial"/>
          <w:b/>
          <w:bCs/>
          <w:color w:val="2B5C8A"/>
          <w:sz w:val="26"/>
          <w:szCs w:val="26"/>
          <w:rtl/>
        </w:rPr>
        <w:t xml:space="preserve">10.3 م0 · المنصة والهوية والتدقيق</w:t>
      </w:r>
      <w:bookmarkEnd w:id="33"/>
    </w:p>
    <w:p>
      <w:pPr>
        <w:pStyle w:val="Heading3"/>
        <w:bidi/>
      </w:pPr>
      <w:bookmarkStart w:name="_sec34" w:id="34"/>
      <w:r>
        <w:rPr>
          <w:rFonts w:ascii="Arial" w:cs="Arial" w:eastAsia="Arial" w:hAnsi="Arial"/>
          <w:b/>
          <w:bCs/>
          <w:color w:val="2B5C8A"/>
          <w:sz w:val="23"/>
          <w:szCs w:val="23"/>
          <w:rtl/>
        </w:rPr>
        <w:t xml:space="preserve">م0 · المشترك والاشتراكات والمشغّلون (1/3)</w:t>
      </w:r>
      <w:bookmarkEnd w:id="34"/>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95500"/>
            <wp:effectExtent t="0" r="0" b="0" l="0"/>
            <wp:docPr id="1" name="diagrams/erd/m0_tenancy_1.png" descr="م0 · المشترك والاشتراكات والمشغّلون (1/3)" title="م0 · المشترك والاشتراكات والمشغّلون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095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287"/>
        <w:gridCol w:w="1944"/>
        <w:gridCol w:w="836"/>
        <w:gridCol w:w="836"/>
        <w:gridCol w:w="836"/>
        <w:gridCol w:w="836"/>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‎plat.OperatorSession‎</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 sessions: 15-minute idle and 8-hour absolute timeout (FR-PLT-006)</w:t>
            </w:r>
          </w:p>
        </w:tc>
        <w:tc>
          <w:tcPr>
            <w:tcW w:type="dxa" w:w="1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OperatorSessionId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One-time operator set-up links: password and MFA (FR-PLT-006)</w:t>
            </w:r>
          </w:p>
        </w:tc>
        <w:tc>
          <w:tcPr>
            <w:tcW w:type="dxa" w:w="1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OperatorTokenId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Subscription plan: a bundle of modules and soft limits (FR-PLT-003/004, Q-PLT-11)</w:t>
            </w:r>
          </w:p>
        </w:tc>
        <w:tc>
          <w:tcPr>
            <w:tcW w:type="dxa" w:w="1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‎plat.PlanModule‎</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Modules included in a plan (replaces the Plan.IncludedModules JSON column)</w:t>
            </w:r>
          </w:p>
        </w:tc>
        <w:tc>
          <w:tcPr>
            <w:tcW w:type="dxa" w:w="1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PlanId, ModuleCode</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53"/>
        <w:gridCol w:w="2201"/>
        <w:gridCol w:w="882"/>
        <w:gridCol w:w="882"/>
        <w:gridCol w:w="882"/>
        <w:gridCol w:w="882"/>
        <w:gridCol w:w="882"/>
      </w:tblGrid>
      <w:tr>
        <w:trPr>
          <w:cantSplit/>
          <w:tblHeader/>
        </w:trPr>
        <w:tc>
          <w:tcPr>
            <w:tcW w:type="dxa" w:w="3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‎plat.OperatorSession.OperatorId‎</w:t>
            </w:r>
          </w:p>
        </w:tc>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‎plat.OperatorToken.OperatorId‎</w:t>
            </w:r>
          </w:p>
        </w:tc>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‎plat.OperatorToken.RequestedBy‎</w:t>
            </w:r>
          </w:p>
        </w:tc>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‎plat.PlanModule.PlanId‎</w:t>
            </w:r>
          </w:p>
        </w:tc>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5" w:id="35"/>
      <w:r>
        <w:rPr>
          <w:rFonts w:ascii="Arial" w:cs="Arial" w:eastAsia="Arial" w:hAnsi="Arial"/>
          <w:b/>
          <w:bCs/>
          <w:color w:val="2B5C8A"/>
          <w:sz w:val="23"/>
          <w:szCs w:val="23"/>
          <w:rtl/>
        </w:rPr>
        <w:t xml:space="preserve">م0 · المشترك والاشتراكات والمشغّلون (2/3)</w:t>
      </w:r>
      <w:bookmarkEnd w:id="35"/>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19300"/>
            <wp:effectExtent t="0" r="0" b="0" l="0"/>
            <wp:docPr id="1" name="diagrams/erd/m0_tenancy_2.png" descr="م0 · المشترك والاشتراكات والمشغّلون (2/3)" title="م0 · المشترك والاشتراكات والمشغّلون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20193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1"/>
        <w:gridCol w:w="2226"/>
        <w:gridCol w:w="2023"/>
        <w:gridCol w:w="821"/>
        <w:gridCol w:w="821"/>
        <w:gridCol w:w="821"/>
        <w:gridCol w:w="821"/>
      </w:tblGrid>
      <w:tr>
        <w:trPr>
          <w:cantSplit/>
          <w:tblHeader/>
        </w:trPr>
        <w:tc>
          <w:tcPr>
            <w:tcW w:type="dxa" w:w="2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2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 account: not readable by the tenant application (tp_app); identity store separate from AppUser (FR-PLT-006)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PlatformOperatorId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22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Subdomains reserved for the system: www, admin, api, app and others (FR-PLT-046)</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ReservedSubdomainId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22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Temporary support access, activated by the tenant's account administrator (FR-PLT-007, BR-PLT-017)</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SupportAccessGrantId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22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 direct access for the tenant application (it reads its row through plat.v_CurrentTenant); isolation root: the tenant (FR-PLT-001/002/046, BR-PLT-001/002)</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3"/>
        <w:gridCol w:w="2101"/>
        <w:gridCol w:w="872"/>
        <w:gridCol w:w="872"/>
        <w:gridCol w:w="872"/>
        <w:gridCol w:w="872"/>
        <w:gridCol w:w="872"/>
      </w:tblGrid>
      <w:tr>
        <w:trPr>
          <w:cantSplit/>
          <w:tblHeader/>
        </w:trPr>
        <w:tc>
          <w:tcPr>
            <w:tcW w:type="dxa" w:w="3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‎plat.SupportAccessGrant.OperatorId‎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‎plat.SupportAccessGrant.GrantedBy‎</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‎plat.SupportAccessGrant.RevokedBy‎</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‎plat.Tenant.PlanId‎</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‎plat.Tenant.HomeCountryId‎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6" w:id="36"/>
      <w:r>
        <w:rPr>
          <w:rFonts w:ascii="Arial" w:cs="Arial" w:eastAsia="Arial" w:hAnsi="Arial"/>
          <w:b/>
          <w:bCs/>
          <w:color w:val="2B5C8A"/>
          <w:sz w:val="23"/>
          <w:szCs w:val="23"/>
          <w:rtl/>
        </w:rPr>
        <w:t xml:space="preserve">م0 · المشترك والاشتراكات والمشغّلون (3/3)</w:t>
      </w:r>
      <w:bookmarkEnd w:id="36"/>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2714625"/>
            <wp:effectExtent t="0" r="0" b="0" l="0"/>
            <wp:docPr id="1" name="diagrams/erd/m0_tenancy_3.png" descr="م0 · المشترك والاشتراكات والمشغّلون (3/3)" title="م0 · المشترك والاشتراكات والمشغّلون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27146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4"/>
        <w:gridCol w:w="2006"/>
        <w:gridCol w:w="1984"/>
        <w:gridCol w:w="865"/>
        <w:gridCol w:w="865"/>
        <w:gridCol w:w="865"/>
        <w:gridCol w:w="865"/>
      </w:tblGrid>
      <w:tr>
        <w:trPr>
          <w:cantSplit/>
          <w:tblHeader/>
        </w:trPr>
        <w:tc>
          <w:tcPr>
            <w:tcW w:type="dxa" w:w="24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Modules enabled per tenant; owned by the platform only: written by platform operators, read by the tenant through a restricted view (DR-01)</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TenantModuleId</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27"/>
        <w:gridCol w:w="2352"/>
        <w:gridCol w:w="897"/>
        <w:gridCol w:w="897"/>
        <w:gridCol w:w="897"/>
        <w:gridCol w:w="897"/>
        <w:gridCol w:w="897"/>
      </w:tblGrid>
      <w:tr>
        <w:trPr>
          <w:cantSplit/>
          <w:tblHeader/>
        </w:trPr>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‎plat.TenantModule.TenantId‎</w:t>
            </w:r>
          </w:p>
        </w:tc>
        <w:tc>
          <w:tcPr>
            <w:tcW w:type="dxa" w:w="2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‎plat.TenantModule.EnabledBy‎</w:t>
            </w:r>
          </w:p>
        </w:tc>
        <w:tc>
          <w:tcPr>
            <w:tcW w:type="dxa" w:w="2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7" w:id="37"/>
      <w:r>
        <w:rPr>
          <w:rFonts w:ascii="Arial" w:cs="Arial" w:eastAsia="Arial" w:hAnsi="Arial"/>
          <w:b/>
          <w:bCs/>
          <w:color w:val="2B5C8A"/>
          <w:sz w:val="23"/>
          <w:szCs w:val="23"/>
          <w:rtl/>
        </w:rPr>
        <w:t xml:space="preserve">م0 · الهوية والصلاحيات (1/2)</w:t>
      </w:r>
      <w:bookmarkEnd w:id="37"/>
    </w:p>
    <w:p>
      <w:pPr>
        <w:bidi/>
        <w:spacing w:after="110" w:before="0" w:line="312"/>
      </w:pPr>
      <w:r>
        <w:rPr>
          <w:rFonts w:ascii="Arial" w:cs="Arial" w:eastAsia="Arial" w:hAnsi="Arial"/>
          <w:b w:val="false"/>
          <w:bCs w:val="false"/>
          <w:i/>
          <w:iCs/>
          <w:sz w:val="21"/>
          <w:szCs w:val="21"/>
          <w:rtl/>
        </w:rPr>
        <w:t xml:space="preserve">Identity &amp; authorisation</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295650"/>
            <wp:effectExtent t="0" r="0" b="0" l="0"/>
            <wp:docPr id="1" name="diagrams/erd/m0_identity_1.png" descr="م0 · الهوية والصلاحيات (1/2)" title="م0 · الهوية والصلاحي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295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الهوية والصلاحيات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5"/>
        <w:gridCol w:w="3153"/>
        <w:gridCol w:w="1350"/>
        <w:gridCol w:w="834"/>
        <w:gridCol w:w="834"/>
        <w:gridCol w:w="834"/>
        <w:gridCol w:w="834"/>
      </w:tblGrid>
      <w:tr>
        <w:trPr>
          <w:cantSplit/>
          <w:tblHeader/>
        </w:trPr>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portal user (FR-PLT-010..016, BR-PLT-004..006)</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defined by the tenant or seeded (FR-PLT-018)</w:t>
            </w:r>
          </w:p>
        </w:tc>
        <w:tc>
          <w:tcPr>
            <w:tcW w:type="dxa" w:w="1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 catalogue owned by the platform; a tenant cannot add a permission (FR-PLT-017)</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Role–permission link; a locked permission goes only to the system roles it names, enforced by sec.TR_RolePermission_Locked (043, BR-PLT-019, DR-16)</w:t>
            </w:r>
          </w:p>
        </w:tc>
        <w:tc>
          <w:tcPr>
            <w:tcW w:type="dxa" w:w="1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RoleId, PermissionId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9"/>
        <w:gridCol w:w="1506"/>
        <w:gridCol w:w="905"/>
        <w:gridCol w:w="905"/>
        <w:gridCol w:w="905"/>
        <w:gridCol w:w="905"/>
        <w:gridCol w:w="1399"/>
      </w:tblGrid>
      <w:tr>
        <w:trPr>
          <w:cantSplit/>
          <w:tblHeader/>
        </w:trPr>
        <w:tc>
          <w:tcPr>
            <w:tcW w:type="dxa" w:w="3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‎sec.AppUser.DepartmentId‎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‎sec.AppUser.LineManagerUserId‎</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‎sec.AppUser.MfaKeyId‎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MfaKeyPurpose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‎sec.RolePermission.RoleId‎</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‎sec.RolePermission.PermissionId‎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‎sec.RolePermission.AssignedBy‎</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8" w:id="38"/>
      <w:r>
        <w:rPr>
          <w:rFonts w:ascii="Arial" w:cs="Arial" w:eastAsia="Arial" w:hAnsi="Arial"/>
          <w:b/>
          <w:bCs/>
          <w:color w:val="2B5C8A"/>
          <w:sz w:val="23"/>
          <w:szCs w:val="23"/>
          <w:rtl/>
        </w:rPr>
        <w:t xml:space="preserve">م0 · الهوية والصلاحيات (2/2)</w:t>
      </w:r>
      <w:bookmarkEnd w:id="38"/>
    </w:p>
    <w:p>
      <w:pPr>
        <w:bidi/>
        <w:spacing w:after="110" w:before="0" w:line="312"/>
      </w:pPr>
      <w:r>
        <w:rPr>
          <w:rFonts w:ascii="Arial" w:cs="Arial" w:eastAsia="Arial" w:hAnsi="Arial"/>
          <w:b w:val="false"/>
          <w:bCs w:val="false"/>
          <w:i/>
          <w:iCs/>
          <w:sz w:val="21"/>
          <w:szCs w:val="21"/>
          <w:rtl/>
        </w:rPr>
        <w:t xml:space="preserve">Identity &amp; authorisation</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914400"/>
            <wp:effectExtent t="0" r="0" b="0" l="0"/>
            <wp:docPr id="1" name="diagrams/erd/m0_identity_2.png" descr="م0 · الهوية والصلاحيات (2/2)" title="م0 · الهوية والصلاحي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914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الهوية والصلاحيات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1924"/>
        <w:gridCol w:w="2164"/>
        <w:gridCol w:w="842"/>
        <w:gridCol w:w="842"/>
        <w:gridCol w:w="842"/>
        <w:gridCol w:w="842"/>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User–role link; permissions are the union of the roles (BR-PLT-007, FR-PLT-018)</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UserId, RoleId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a user can see; ignored when CompanyScopeMode = ALL (FR-PLT-020)</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UserId, CompanyId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‎sec.ExternalIdentity‎</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 between an external OIDC or Entra identity and a user; readiness only (FR-PLT-015, section 11)</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ExternalIdentityId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9"/>
        <w:gridCol w:w="1400"/>
        <w:gridCol w:w="929"/>
        <w:gridCol w:w="929"/>
        <w:gridCol w:w="929"/>
        <w:gridCol w:w="929"/>
        <w:gridCol w:w="929"/>
      </w:tblGrid>
      <w:tr>
        <w:trPr>
          <w:cantSplit/>
          <w:tblHeader/>
        </w:trPr>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‎sec.UserRole.UserId‎</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‎sec.UserRole.RoleId‎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‎sec.UserRole.AssignedBy‎</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‎sec.UserCompanyScope.UserId‎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‎sec.UserCompanyScope.CompanyId‎</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‎sec.ExternalIdentity.UserId‎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 w:id="39"/>
      <w:r>
        <w:rPr>
          <w:rFonts w:ascii="Arial" w:cs="Arial" w:eastAsia="Arial" w:hAnsi="Arial"/>
          <w:b/>
          <w:bCs/>
          <w:color w:val="2B5C8A"/>
          <w:sz w:val="23"/>
          <w:szCs w:val="23"/>
          <w:rtl/>
        </w:rPr>
        <w:t xml:space="preserve">م0 · الجلسات والمفاتيح والمحاولات (1/2)</w:t>
      </w:r>
      <w:bookmarkEnd w:id="39"/>
    </w:p>
    <w:p>
      <w:pPr>
        <w:bidi/>
        <w:spacing w:after="110" w:before="0" w:line="312"/>
      </w:pPr>
      <w:r>
        <w:rPr>
          <w:rFonts w:ascii="Arial" w:cs="Arial" w:eastAsia="Arial" w:hAnsi="Arial"/>
          <w:b w:val="false"/>
          <w:bCs w:val="false"/>
          <w:i/>
          <w:iCs/>
          <w:sz w:val="21"/>
          <w:szCs w:val="21"/>
          <w:rtl/>
        </w:rPr>
        <w:t xml:space="preserve">Sessions, keys &amp; attempts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8175"/>
            <wp:effectExtent t="0" r="0" b="0" l="0"/>
            <wp:docPr id="1" name="diagrams/erd/m0_sessions_1.png" descr="م0 · الجلسات والمفاتيح والمحاولات (1/2)" title="م0 · الجلسات والمفاتيح والمحاول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63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الجلسات والمفاتيح والمحاولات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0"/>
        <w:gridCol w:w="2687"/>
        <w:gridCol w:w="1825"/>
        <w:gridCol w:w="828"/>
        <w:gridCol w:w="828"/>
        <w:gridCol w:w="828"/>
        <w:gridCol w:w="828"/>
      </w:tblGrid>
      <w:tr>
        <w:trPr>
          <w:cantSplit/>
          <w:tblHeader/>
        </w:trPr>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sessions: 30-minute idle timeout and 12-hour absolute timeout (FR-PLT-014)</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UserSessionId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 attempts for rate limiting and lockout windows (BR-PLT-005); written by sec.usp_StartSession. A permanent trace in aud.AuditLog is not written yet (O-24)</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LoginAttemptId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 single-use recovery codes, stored hashed (FR-PLT-011, BR-PLT-006); replaces the AppUser.RecoveryCodesHash JSON</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MfaRecoveryCodeId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Single-use invitation link (48 hours), password-reset token (30 minutes) or MFA re-enrolment link (24 hours) (FR-PLT-013, DQ-F03-8)</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UserTokenId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71"/>
        <w:gridCol w:w="1373"/>
        <w:gridCol w:w="924"/>
        <w:gridCol w:w="924"/>
        <w:gridCol w:w="924"/>
        <w:gridCol w:w="924"/>
        <w:gridCol w:w="924"/>
      </w:tblGrid>
      <w:tr>
        <w:trPr>
          <w:cantSplit/>
          <w:tblHeader/>
        </w:trPr>
        <w:tc>
          <w:tcPr>
            <w:tcW w:type="dxa" w:w="3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‎sec.UserSession.EndedBy‎</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‎sec.MfaRecoveryCode.UserId‎</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‎sec.UserToken.RequestedByUserId‎</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0" w:id="40"/>
      <w:r>
        <w:rPr>
          <w:rFonts w:ascii="Arial" w:cs="Arial" w:eastAsia="Arial" w:hAnsi="Arial"/>
          <w:b/>
          <w:bCs/>
          <w:color w:val="2B5C8A"/>
          <w:sz w:val="23"/>
          <w:szCs w:val="23"/>
          <w:rtl/>
        </w:rPr>
        <w:t xml:space="preserve">م0 · الجلسات والمفاتيح والمحاولات (2/2)</w:t>
      </w:r>
      <w:bookmarkEnd w:id="40"/>
    </w:p>
    <w:p>
      <w:pPr>
        <w:bidi/>
        <w:spacing w:after="110" w:before="0" w:line="312"/>
      </w:pPr>
      <w:r>
        <w:rPr>
          <w:rFonts w:ascii="Arial" w:cs="Arial" w:eastAsia="Arial" w:hAnsi="Arial"/>
          <w:b w:val="false"/>
          <w:bCs w:val="false"/>
          <w:i/>
          <w:iCs/>
          <w:sz w:val="21"/>
          <w:szCs w:val="21"/>
          <w:rtl/>
        </w:rPr>
        <w:t xml:space="preserve">Sessions, keys &amp; attempts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2857500"/>
            <wp:effectExtent t="0" r="0" b="0" l="0"/>
            <wp:docPr id="1" name="diagrams/erd/m0_sessions_2.png" descr="م0 · الجلسات والمفاتيح والمحاولات (2/2)" title="م0 · الجلسات والمفاتيح والمحاول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2857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الجلسات والمفاتيح والمحاولات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75"/>
        <w:gridCol w:w="1404"/>
        <w:gridCol w:w="2437"/>
        <w:gridCol w:w="837"/>
        <w:gridCol w:w="837"/>
        <w:gridCol w:w="837"/>
        <w:gridCol w:w="837"/>
      </w:tblGrid>
      <w:tr>
        <w:trPr>
          <w:cantSplit/>
          <w:tblHeader/>
        </w:trPr>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1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 five passwords, to prevent reuse (BR-PLT-004)</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UserPasswordHistoryId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key register; each key is wrapped by a master key held outside the database (FR-PLT-037, BR-PLT-015)</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TenantKeyId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1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 event log: create, rotate and revoke (FR-PLT-037; high severity BR-PLT-009)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KeyEventId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77"/>
        <w:gridCol w:w="1592"/>
        <w:gridCol w:w="919"/>
        <w:gridCol w:w="919"/>
        <w:gridCol w:w="919"/>
        <w:gridCol w:w="919"/>
        <w:gridCol w:w="919"/>
      </w:tblGrid>
      <w:tr>
        <w:trPr>
          <w:cantSplit/>
          <w:tblHeader/>
        </w:trPr>
        <w:tc>
          <w:tcPr>
            <w:tcW w:type="dxa" w:w="3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‎sec.UserPasswordHistory.UserId‎</w:t>
            </w:r>
          </w:p>
        </w:tc>
        <w:tc>
          <w:tcPr>
            <w:tcW w:type="dxa" w:w="1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‎sec.KeyEvent.TenantKeyId‎</w:t>
            </w:r>
          </w:p>
        </w:tc>
        <w:tc>
          <w:tcPr>
            <w:tcW w:type="dxa" w:w="1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1" w:id="41"/>
      <w:r>
        <w:rPr>
          <w:rFonts w:ascii="Arial" w:cs="Arial" w:eastAsia="Arial" w:hAnsi="Arial"/>
          <w:b/>
          <w:bCs/>
          <w:color w:val="2B5C8A"/>
          <w:sz w:val="23"/>
          <w:szCs w:val="23"/>
          <w:rtl/>
        </w:rPr>
        <w:t xml:space="preserve">م0 · التدقيق والمستندات (1/2)</w:t>
      </w:r>
      <w:bookmarkEnd w:id="41"/>
    </w:p>
    <w:p>
      <w:pPr>
        <w:bidi/>
        <w:spacing w:after="110" w:before="0" w:line="312"/>
      </w:pPr>
      <w:r>
        <w:rPr>
          <w:rFonts w:ascii="Arial" w:cs="Arial" w:eastAsia="Arial" w:hAnsi="Arial"/>
          <w:b w:val="false"/>
          <w:bCs w:val="false"/>
          <w:i/>
          <w:iCs/>
          <w:sz w:val="21"/>
          <w:szCs w:val="21"/>
          <w:rtl/>
        </w:rPr>
        <w:t xml:space="preserve">Audit &amp; documents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609975"/>
            <wp:effectExtent t="0" r="0" b="0" l="0"/>
            <wp:docPr id="1" name="diagrams/erd/m0_audit_docs_1.png" descr="م0 · التدقيق والمستندات (1/2)" title="م0 · التدقيق والمستند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3609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التدقيق والمستندات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5"/>
        <w:gridCol w:w="2040"/>
        <w:gridCol w:w="2147"/>
        <w:gridCol w:w="828"/>
        <w:gridCol w:w="828"/>
        <w:gridCol w:w="828"/>
        <w:gridCol w:w="828"/>
      </w:tblGrid>
      <w:tr>
        <w:trPr>
          <w:cantSplit/>
          <w:tblHeader/>
        </w:trPr>
        <w:tc>
          <w:tcPr>
            <w:tcW w:type="dxa" w:w="2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Append-only audit log; NULL TenantId = platform event, not visible to any tenant; dedicated RLS policy (BR-PLT-001, BR-PLT-009)</w:t>
            </w:r>
          </w:p>
        </w:tc>
        <w:tc>
          <w:tcPr>
            <w:tcW w:type="dxa" w:w="2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Access log for sensitive data: identity reveals, image views, exports and restricted downloads; flags anomalies above 20 per hour (BR-PTY-009)</w:t>
            </w:r>
          </w:p>
        </w:tc>
        <w:tc>
          <w:tcPr>
            <w:tcW w:type="dxa" w:w="2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SensitiveAccessLogId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Logical document: document data and status; the file itself is in doc.DocumentVersion (FR-PLT-027/028, BR-PLT-011)</w:t>
            </w:r>
          </w:p>
        </w:tc>
        <w:tc>
          <w:tcPr>
            <w:tcW w:type="dxa" w:w="2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 document to any entity with a role and a reference page; unlinking is logical (FR-PLT-028)</w:t>
            </w:r>
          </w:p>
        </w:tc>
        <w:tc>
          <w:tcPr>
            <w:tcW w:type="dxa" w:w="2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DocumentLinkId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57"/>
        <w:gridCol w:w="2013"/>
        <w:gridCol w:w="884"/>
        <w:gridCol w:w="884"/>
        <w:gridCol w:w="884"/>
        <w:gridCol w:w="884"/>
        <w:gridCol w:w="958"/>
      </w:tblGrid>
      <w:tr>
        <w:trPr>
          <w:cantSplit/>
          <w:tblHeader/>
        </w:trPr>
        <w:tc>
          <w:tcPr>
            <w:tcW w:type="dxa" w:w="3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‎aud.SensitiveAccessLog.ActorUserId‎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‎aud.SensitiveAccessLog.OperatorId‎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‎aud.SensitiveAccessLog.AuditLogId‎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‎doc.Document.DocumentTypeId‎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‎doc.Document.OwnerCompanyId‎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‎doc.Document.CurrentVersionId‎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DocumentId</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‎doc.Document.SupersededByDocumentId‎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‎doc.Document.DeletedBy‎</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‎doc.DocumentLink.DocumentId‎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‎doc.DocumentLink.UnlinkedBy‎</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2" w:id="42"/>
      <w:r>
        <w:rPr>
          <w:rFonts w:ascii="Arial" w:cs="Arial" w:eastAsia="Arial" w:hAnsi="Arial"/>
          <w:b/>
          <w:bCs/>
          <w:color w:val="2B5C8A"/>
          <w:sz w:val="23"/>
          <w:szCs w:val="23"/>
          <w:rtl/>
        </w:rPr>
        <w:t xml:space="preserve">م0 · التدقيق والمستندات (2/2)</w:t>
      </w:r>
      <w:bookmarkEnd w:id="42"/>
    </w:p>
    <w:p>
      <w:pPr>
        <w:bidi/>
        <w:spacing w:after="110" w:before="0" w:line="312"/>
      </w:pPr>
      <w:r>
        <w:rPr>
          <w:rFonts w:ascii="Arial" w:cs="Arial" w:eastAsia="Arial" w:hAnsi="Arial"/>
          <w:b w:val="false"/>
          <w:bCs w:val="false"/>
          <w:i/>
          <w:iCs/>
          <w:sz w:val="21"/>
          <w:szCs w:val="21"/>
          <w:rtl/>
        </w:rPr>
        <w:t xml:space="preserve">Audit &amp; documents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3190875"/>
            <wp:effectExtent t="0" r="0" b="0" l="0"/>
            <wp:docPr id="1" name="diagrams/erd/m0_audit_docs_2.png" descr="م0 · التدقيق والمستندات (2/2)" title="م0 · التدقيق والمستند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190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التدقيق والمستندات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6"/>
        <w:gridCol w:w="1912"/>
        <w:gridCol w:w="2150"/>
        <w:gridCol w:w="849"/>
        <w:gridCol w:w="849"/>
        <w:gridCol w:w="849"/>
        <w:gridCol w:w="849"/>
      </w:tblGrid>
      <w:tr>
        <w:trPr>
          <w:cantSplit/>
          <w:tblHeader/>
        </w:trPr>
        <w:tc>
          <w:tcPr>
            <w:tcW w:type="dxa" w:w="24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1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Immutable file version; a change creates a new version: the application may update only the scan and integrity columns (043, FR-PLT-027, BR-PLT-011, DR-11)</w:t>
            </w:r>
          </w:p>
        </w:tc>
        <w:tc>
          <w:tcPr>
            <w:tcW w:type="dxa" w:w="21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0"/>
        <w:gridCol w:w="1515"/>
        <w:gridCol w:w="921"/>
        <w:gridCol w:w="921"/>
        <w:gridCol w:w="921"/>
        <w:gridCol w:w="921"/>
        <w:gridCol w:w="1165"/>
      </w:tblGrid>
      <w:tr>
        <w:trPr>
          <w:cantSplit/>
          <w:tblHeader/>
        </w:trPr>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‎doc.DocumentVersion.DocumentId‎</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‎doc.DocumentVersion.KeyId‎</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KeyPurpose</w:t>
            </w:r>
          </w:p>
        </w:tc>
      </w:tr>
    </w:tbl>
    <w:p>
      <w:pPr>
        <w:bidi/>
        <w:spacing w:after="120" w:before="0"/>
      </w:pPr>
    </w:p>
    <w:p>
      <w:pPr>
        <w:pStyle w:val="Heading3"/>
        <w:bidi/>
      </w:pPr>
      <w:bookmarkStart w:name="_sec43" w:id="43"/>
      <w:r>
        <w:rPr>
          <w:rFonts w:ascii="Arial" w:cs="Arial" w:eastAsia="Arial" w:hAnsi="Arial"/>
          <w:b/>
          <w:bCs/>
          <w:color w:val="2B5C8A"/>
          <w:sz w:val="23"/>
          <w:szCs w:val="23"/>
          <w:rtl/>
        </w:rPr>
        <w:t xml:space="preserve">م0 · الإعدادات والمهام الخلفية (1/4)</w:t>
      </w:r>
      <w:bookmarkEnd w:id="43"/>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238375"/>
            <wp:effectExtent t="0" r="0" b="0" l="0"/>
            <wp:docPr id="1" name="diagrams/erd/m0_config_1.png" descr="م0 · الإعدادات والمهام الخلفية (1/4)" title="م0 · الإعدادات والمهام الخلفية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2383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50"/>
        <w:gridCol w:w="1608"/>
        <w:gridCol w:w="2278"/>
        <w:gridCol w:w="857"/>
        <w:gridCol w:w="857"/>
        <w:gridCol w:w="857"/>
        <w:gridCol w:w="857"/>
      </w:tblGrid>
      <w:tr>
        <w:trPr>
          <w:cantSplit/>
          <w:tblHeader/>
        </w:trPr>
        <w:tc>
          <w:tcPr>
            <w:tcW w:type="dxa" w:w="2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data export request (FR-PLT-039, BR-PLT-016)</w:t>
            </w:r>
          </w:p>
        </w:tc>
        <w:tc>
          <w:tcPr>
            <w:tcW w:type="dxa" w:w="2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‎cfg.ExpiryAlertLog‎</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 of sent expiry alerts: one event per (item, threshold), never repeated on the same day (FR-PLT-038)</w:t>
            </w:r>
          </w:p>
        </w:tc>
        <w:tc>
          <w:tcPr>
            <w:tcW w:type="dxa" w:w="2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ExpiryAlertLogId</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 alert rule per item type (FR-PLT-038, BR-PLT-013)</w:t>
            </w:r>
          </w:p>
        </w:tc>
        <w:tc>
          <w:tcPr>
            <w:tcW w:type="dxa" w:w="2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ExpiryAlertRuleId</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‎cfg.JobDefinition‎</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 catalogue: the only JobKey values a job connection may bind with (FR-PLT-044)</w:t>
            </w:r>
          </w:p>
        </w:tc>
        <w:tc>
          <w:tcPr>
            <w:tcW w:type="dxa" w:w="2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JobDefinitionId</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04"/>
        <w:gridCol w:w="1900"/>
        <w:gridCol w:w="872"/>
        <w:gridCol w:w="872"/>
        <w:gridCol w:w="872"/>
        <w:gridCol w:w="872"/>
        <w:gridCol w:w="872"/>
      </w:tblGrid>
      <w:tr>
        <w:trPr>
          <w:cantSplit/>
          <w:tblHeader/>
        </w:trPr>
        <w:tc>
          <w:tcPr>
            <w:tcW w:type="dxa" w:w="36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‎cfg.DataExportJob.RequestedBy‎</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‎cfg.DataExportJob.ApprovedBy‎</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‎cfg.ExpiryAlertLog.ExpiryAlertRuleId‎</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4" w:id="44"/>
      <w:r>
        <w:rPr>
          <w:rFonts w:ascii="Arial" w:cs="Arial" w:eastAsia="Arial" w:hAnsi="Arial"/>
          <w:b/>
          <w:bCs/>
          <w:color w:val="2B5C8A"/>
          <w:sz w:val="23"/>
          <w:szCs w:val="23"/>
          <w:rtl/>
        </w:rPr>
        <w:t xml:space="preserve">م0 · الإعدادات والمهام الخلفية (2/4)</w:t>
      </w:r>
      <w:bookmarkEnd w:id="44"/>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276475"/>
            <wp:effectExtent t="0" r="0" b="0" l="0"/>
            <wp:docPr id="1" name="diagrams/erd/m0_config_2.png" descr="م0 · الإعدادات والمهام الخلفية (2/4)" title="م0 · الإعدادات والمهام الخلفية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2276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(2/4)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38"/>
        <w:gridCol w:w="1824"/>
        <w:gridCol w:w="2166"/>
        <w:gridCol w:w="859"/>
        <w:gridCol w:w="859"/>
        <w:gridCol w:w="859"/>
        <w:gridCol w:w="859"/>
      </w:tblGrid>
      <w:tr>
        <w:trPr>
          <w:cantSplit/>
          <w:tblHeader/>
        </w:trPr>
        <w:tc>
          <w:tcPr>
            <w:tcW w:type="dxa" w:w="2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18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 run log: last run, duration and result, visible to the account administrator (FR-PLT-044)</w:t>
            </w:r>
          </w:p>
        </w:tc>
        <w:tc>
          <w:tcPr>
            <w:tcW w:type="dxa" w:w="2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JobRunId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‎cfg.NonWorkingDay‎</w:t>
            </w:r>
          </w:p>
        </w:tc>
        <w:tc>
          <w:tcPr>
            <w:tcW w:type="dxa" w:w="18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 day; NULL TenantId = platform holiday, read-only (FR-PLT-035, BR-PLT-014)</w:t>
            </w:r>
          </w:p>
        </w:tc>
        <w:tc>
          <w:tcPr>
            <w:tcW w:type="dxa" w:w="2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NonWorkingDayId</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w:t>
            </w:r>
          </w:p>
        </w:tc>
        <w:tc>
          <w:tcPr>
            <w:tcW w:type="dxa" w:w="18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document numbers; a cancelled number is never reused (FR-PLT-026, BR-PLT-010)</w:t>
            </w:r>
          </w:p>
        </w:tc>
        <w:tc>
          <w:tcPr>
            <w:tcW w:type="dxa" w:w="2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NumberIssueId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w:t>
            </w:r>
          </w:p>
        </w:tc>
        <w:tc>
          <w:tcPr>
            <w:tcW w:type="dxa" w:w="18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 per (definition, optional company, period); its row is locked on allocation inside the caller's transaction (BR-PLT-010)</w:t>
            </w:r>
          </w:p>
        </w:tc>
        <w:tc>
          <w:tcPr>
            <w:tcW w:type="dxa" w:w="2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NumberSequenceId</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25"/>
        <w:gridCol w:w="2639"/>
        <w:gridCol w:w="860"/>
        <w:gridCol w:w="860"/>
        <w:gridCol w:w="860"/>
        <w:gridCol w:w="860"/>
        <w:gridCol w:w="860"/>
      </w:tblGrid>
      <w:tr>
        <w:trPr>
          <w:cantSplit/>
          <w:tblHeader/>
        </w:trPr>
        <w:tc>
          <w:tcPr>
            <w:tcW w:type="dxa" w:w="29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6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‎cfg.NonWorkingDay.CountryId‎</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‎cfg.NumberIssue.SequenceId‎</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‎cfg.NumberIssue.VoidedBy‎</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‎cfg.NumberSequence.DefinitionId‎</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‎cfg.NumberSequence.CompanyId‎</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5" w:id="45"/>
      <w:r>
        <w:rPr>
          <w:rFonts w:ascii="Arial" w:cs="Arial" w:eastAsia="Arial" w:hAnsi="Arial"/>
          <w:b/>
          <w:bCs/>
          <w:color w:val="2B5C8A"/>
          <w:sz w:val="23"/>
          <w:szCs w:val="23"/>
          <w:rtl/>
        </w:rPr>
        <w:t xml:space="preserve">م0 · الإعدادات والمهام الخلفية (3/4)</w:t>
      </w:r>
      <w:bookmarkEnd w:id="45"/>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52425"/>
            <wp:effectExtent t="0" r="0" b="0" l="0"/>
            <wp:docPr id="1" name="diagrams/erd/m0_config_3.png" descr="م0 · الإعدادات والمهام الخلفية (3/4)" title="م0 · الإعدادات والمهام الخلفية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524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(3/4)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9"/>
        <w:gridCol w:w="1791"/>
        <w:gridCol w:w="2328"/>
        <w:gridCol w:w="809"/>
        <w:gridCol w:w="809"/>
        <w:gridCol w:w="809"/>
        <w:gridCol w:w="809"/>
      </w:tblGrid>
      <w:tr>
        <w:trPr>
          <w:cantSplit/>
          <w:tblHeader/>
        </w:trPr>
        <w:tc>
          <w:tcPr>
            <w:tcW w:type="dxa" w:w="25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w:t>
            </w:r>
          </w:p>
        </w:tc>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Numbering-type definition with a tag-based format, for example {seq:000}-{erp}-{yy} (FR-PLT-026)</w:t>
            </w:r>
          </w:p>
        </w:tc>
        <w:tc>
          <w:tcPr>
            <w:tcW w:type="dxa" w:w="2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NumberSequenceDefinitionId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Outbound queue with at-least-once delivery; the payload carries identifiers without restricted data; only DELIVERED events may be deleted (043, FR-PLT-042, DR-14)</w:t>
            </w:r>
          </w:p>
        </w:tc>
        <w:tc>
          <w:tcPr>
            <w:tcW w:type="dxa" w:w="2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OutboxEventId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‎cfg.SeedRun‎</w:t>
            </w:r>
          </w:p>
        </w:tc>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Numbered seed-run log per package; re-running a seed adds nothing (FR-PLT-008)</w:t>
            </w:r>
          </w:p>
        </w:tc>
        <w:tc>
          <w:tcPr>
            <w:tcW w:type="dxa" w:w="2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SeedRunId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‎cfg.SettingDefinition‎</w:t>
            </w:r>
          </w:p>
        </w:tc>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Setting-key definition with platform minimum and maximum bounds (BR-PLT-018, FR-PLT-043)</w:t>
            </w:r>
          </w:p>
        </w:tc>
        <w:tc>
          <w:tcPr>
            <w:tcW w:type="dxa" w:w="2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SettingDefinitionId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96"/>
        <w:gridCol w:w="977"/>
        <w:gridCol w:w="1350"/>
        <w:gridCol w:w="1350"/>
        <w:gridCol w:w="1157"/>
        <w:gridCol w:w="977"/>
        <w:gridCol w:w="1157"/>
      </w:tblGrid>
      <w:tr>
        <w:trPr>
          <w:cantSplit/>
          <w:tblHeader/>
        </w:trPr>
        <w:tc>
          <w:tcPr>
            <w:tcW w:type="dxa" w:w="2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6" w:id="46"/>
      <w:r>
        <w:rPr>
          <w:rFonts w:ascii="Arial" w:cs="Arial" w:eastAsia="Arial" w:hAnsi="Arial"/>
          <w:b/>
          <w:bCs/>
          <w:color w:val="2B5C8A"/>
          <w:sz w:val="23"/>
          <w:szCs w:val="23"/>
          <w:rtl/>
        </w:rPr>
        <w:t xml:space="preserve">م0 · الإعدادات والمهام الخلفية (4/4)</w:t>
      </w:r>
      <w:bookmarkEnd w:id="46"/>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1943100"/>
            <wp:effectExtent t="0" r="0" b="0" l="0"/>
            <wp:docPr id="1" name="diagrams/erd/m0_config_4.png" descr="م0 · الإعدادات والمهام الخلفية (4/4)" title="م0 · الإعدادات والمهام الخلفية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1943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(4/4)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71"/>
        <w:gridCol w:w="1741"/>
        <w:gridCol w:w="2176"/>
        <w:gridCol w:w="869"/>
        <w:gridCol w:w="869"/>
        <w:gridCol w:w="869"/>
        <w:gridCol w:w="869"/>
      </w:tblGrid>
      <w:tr>
        <w:trPr>
          <w:cantSplit/>
          <w:tblHeader/>
        </w:trPr>
        <w:tc>
          <w:tcPr>
            <w:tcW w:type="dxa" w:w="24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‎cfg.TenantSetting‎</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settings: security policies, timeouts, thresholds, and work start and end times (FR-PLT-043)</w:t>
            </w:r>
          </w:p>
        </w:tc>
        <w:tc>
          <w:tcPr>
            <w:tcW w:type="dxa" w:w="2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TenantSettingId</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96"/>
        <w:gridCol w:w="977"/>
        <w:gridCol w:w="1350"/>
        <w:gridCol w:w="1350"/>
        <w:gridCol w:w="1157"/>
        <w:gridCol w:w="977"/>
        <w:gridCol w:w="1157"/>
      </w:tblGrid>
      <w:tr>
        <w:trPr>
          <w:cantSplit/>
          <w:tblHeader/>
        </w:trPr>
        <w:tc>
          <w:tcPr>
            <w:tcW w:type="dxa" w:w="2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7" w:id="47"/>
      <w:r>
        <w:rPr>
          <w:rFonts w:ascii="Arial" w:cs="Arial" w:eastAsia="Arial" w:hAnsi="Arial"/>
          <w:b/>
          <w:bCs/>
          <w:color w:val="2B5C8A"/>
          <w:sz w:val="26"/>
          <w:szCs w:val="26"/>
          <w:rtl/>
        </w:rPr>
        <w:t xml:space="preserve">10.4 م1 · الهيكل المؤسسي والأشخاص</w:t>
      </w:r>
      <w:bookmarkEnd w:id="47"/>
    </w:p>
    <w:p>
      <w:pPr>
        <w:pStyle w:val="Heading3"/>
        <w:bidi/>
      </w:pPr>
      <w:bookmarkStart w:name="_sec48" w:id="48"/>
      <w:r>
        <w:rPr>
          <w:rFonts w:ascii="Arial" w:cs="Arial" w:eastAsia="Arial" w:hAnsi="Arial"/>
          <w:b/>
          <w:bCs/>
          <w:color w:val="2B5C8A"/>
          <w:sz w:val="23"/>
          <w:szCs w:val="23"/>
          <w:rtl/>
        </w:rPr>
        <w:t xml:space="preserve">م1 · الشركات والحوكمة (1/2)</w:t>
      </w:r>
      <w:bookmarkEnd w:id="48"/>
    </w:p>
    <w:p>
      <w:pPr>
        <w:bidi/>
        <w:spacing w:after="110" w:before="0" w:line="312"/>
      </w:pPr>
      <w:r>
        <w:rPr>
          <w:rFonts w:ascii="Arial" w:cs="Arial" w:eastAsia="Arial" w:hAnsi="Arial"/>
          <w:b w:val="false"/>
          <w:bCs w:val="false"/>
          <w:i/>
          <w:iCs/>
          <w:sz w:val="21"/>
          <w:szCs w:val="21"/>
          <w:rtl/>
        </w:rPr>
        <w:t xml:space="preserve">Company structure &amp; governance</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524250"/>
            <wp:effectExtent t="0" r="0" b="0" l="0"/>
            <wp:docPr id="1" name="diagrams/erd/m1_company_1.png" descr="م1 · الشركات والحوكمة (1/2)" title="م1 · الشركات والحوكم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5242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الشركات والحوكمة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root of the corporate structure (FR-ORG-001..010, BR-ORG-001..004)</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‎org.CompanyTaxRate‎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 rate with an effective date; NULL CompanyId = tenant default (FR-ORG-007, BR-ORG-005)</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CompanyTaxRateId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(FR-ORG-014, BR-ORG-016, Q-ORG-09): at tenant level, optionally per company</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Ownership interest with an effective date; the owner is a Party, an individual or an entity (FR-ORG-015..018, BR-ORG-006..008, G-7)</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97"/>
        <w:gridCol w:w="1954"/>
        <w:gridCol w:w="897"/>
        <w:gridCol w:w="897"/>
        <w:gridCol w:w="897"/>
        <w:gridCol w:w="897"/>
        <w:gridCol w:w="925"/>
      </w:tblGrid>
      <w:tr>
        <w:trPr>
          <w:cantSplit/>
          <w:tblHeader/>
        </w:trPr>
        <w:tc>
          <w:tcPr>
            <w:tcW w:type="dxa" w:w="33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‎org.Company.PartyId‎</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PartyKind</w:t>
            </w:r>
          </w:p>
        </w:tc>
      </w:tr>
      <w:tr>
        <w:trPr>
          <w:cantSplit/>
        </w:trPr>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‎org.Company.LegalEntityTypeId‎</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‎org.Company.ParentCompanyId‎</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‎org.Company.CountryId‎</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‎org.Company.BaseCurrencyId‎</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‎org.CompanyTaxRate.CompanyId‎</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‎org.Department.CompanyId‎</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‎org.Department.ParentDepartmentId‎</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‎org.Department.HeadUserId‎</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‎org.Shareholding.CompanyId‎</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‎org.Shareholding.HolderPartyId‎</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‎org.Shareholding.CurrencyId‎</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‎org.Shareholding.SourceDocumentId‎</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 w:id="49"/>
      <w:r>
        <w:rPr>
          <w:rFonts w:ascii="Arial" w:cs="Arial" w:eastAsia="Arial" w:hAnsi="Arial"/>
          <w:b/>
          <w:bCs/>
          <w:color w:val="2B5C8A"/>
          <w:sz w:val="23"/>
          <w:szCs w:val="23"/>
          <w:rtl/>
        </w:rPr>
        <w:t xml:space="preserve">م1 · الشركات والحوكمة (2/2)</w:t>
      </w:r>
      <w:bookmarkEnd w:id="49"/>
    </w:p>
    <w:p>
      <w:pPr>
        <w:bidi/>
        <w:spacing w:after="110" w:before="0" w:line="312"/>
      </w:pPr>
      <w:r>
        <w:rPr>
          <w:rFonts w:ascii="Arial" w:cs="Arial" w:eastAsia="Arial" w:hAnsi="Arial"/>
          <w:b w:val="false"/>
          <w:bCs w:val="false"/>
          <w:i/>
          <w:iCs/>
          <w:sz w:val="21"/>
          <w:szCs w:val="21"/>
          <w:rtl/>
        </w:rPr>
        <w:t xml:space="preserve">Company structure &amp; governance</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3228975" cy="8191500"/>
            <wp:effectExtent t="0" r="0" b="0" l="0"/>
            <wp:docPr id="1" name="diagrams/erd/m1_company_2.png" descr="م1 · الشركات والحوكمة (2/2)" title="م1 · الشركات والحوكم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22897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الشركات والحوكمة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 body (FR-ORG-019, BR-ORG-009)</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Membership of a governing body (FR-ORG-020, FR-ORG-021, BR-ORG-010)</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 grant to a company (FR-ORG-023..028, BR-ORG-011..014)</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02"/>
        <w:gridCol w:w="1799"/>
        <w:gridCol w:w="891"/>
        <w:gridCol w:w="891"/>
        <w:gridCol w:w="891"/>
        <w:gridCol w:w="891"/>
        <w:gridCol w:w="899"/>
      </w:tblGrid>
      <w:tr>
        <w:trPr>
          <w:cantSplit/>
          <w:tblHeader/>
        </w:trPr>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‎org.GoverningBody.SourceDocumentId‎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‎org.BodyMember.BodyId‎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‎org.BodyMember.PartyId‎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‎org.BodyMember.PositionId‎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‎org.BodyMember.RepresentedPartyId‎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‎org.BodyMember.AppointmentDocumentId‎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‎org.AuthorityGrant.BodyId‎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‎org.AuthorityGrant.BodyMemberId‎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‎org.AuthorityGrant.PartyId‎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‎org.AuthorityGrant.PowerTypeId‎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‎org.AuthorityGrant.InstitutionId‎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‎org.AuthorityGrant.CeilingCurrencyId‎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‎org.AuthorityGrant.ApprovedBy‎</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‎org.AuthorityGrant.SourceDocumentId‎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‎org.AuthorityGrant.SupersedesGrantId‎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50" w:id="50"/>
      <w:r>
        <w:rPr>
          <w:rFonts w:ascii="Arial" w:cs="Arial" w:eastAsia="Arial" w:hAnsi="Arial"/>
          <w:b/>
          <w:bCs/>
          <w:color w:val="2B5C8A"/>
          <w:sz w:val="23"/>
          <w:szCs w:val="23"/>
          <w:rtl/>
        </w:rPr>
        <w:t xml:space="preserve">م1 · ملف الشركة و KYC (1/2)</w:t>
      </w:r>
      <w:bookmarkEnd w:id="50"/>
    </w:p>
    <w:p>
      <w:pPr>
        <w:bidi/>
        <w:spacing w:after="110" w:before="0" w:line="312"/>
      </w:pPr>
      <w:r>
        <w:rPr>
          <w:rFonts w:ascii="Arial" w:cs="Arial" w:eastAsia="Arial" w:hAnsi="Arial"/>
          <w:b w:val="false"/>
          <w:bCs w:val="false"/>
          <w:i/>
          <w:iCs/>
          <w:sz w:val="21"/>
          <w:szCs w:val="21"/>
          <w:rtl/>
        </w:rPr>
        <w:t xml:space="preserve">Company profile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305050"/>
            <wp:effectExtent t="0" r="0" b="0" l="0"/>
            <wp:docPr id="1" name="diagrams/erd/m1_company_kyc_1.png" descr="م1 · ملف الشركة و KYC (1/2)" title="م1 · ملف الشركة و KY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23050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ملف الشركة و KYC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12"/>
        <w:gridCol w:w="969"/>
        <w:gridCol w:w="2715"/>
        <w:gridCol w:w="817"/>
        <w:gridCol w:w="817"/>
        <w:gridCol w:w="817"/>
        <w:gridCol w:w="817"/>
      </w:tblGrid>
      <w:tr>
        <w:trPr>
          <w:cantSplit/>
          <w:tblHeader/>
        </w:trPr>
        <w:tc>
          <w:tcPr>
            <w:tcW w:type="dxa" w:w="2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profile, 1:1 (G-1)</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CompanyProfileId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Branch, warehouse or subsidiary outside the account, held as text (G-3)</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CompanyBranchId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financial profile with an effective date: revenue band and purpose (G-4)</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CompanyKycFinancialProfileId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Monthly expected cash-flow matrix (CTP): direction x five items (G-4)</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CompanyExpectedFlowId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54"/>
        <w:gridCol w:w="2220"/>
        <w:gridCol w:w="818"/>
        <w:gridCol w:w="818"/>
        <w:gridCol w:w="818"/>
        <w:gridCol w:w="818"/>
        <w:gridCol w:w="818"/>
      </w:tblGrid>
      <w:tr>
        <w:trPr>
          <w:cantSplit/>
          <w:tblHeader/>
        </w:trPr>
        <w:tc>
          <w:tcPr>
            <w:tcW w:type="dxa" w:w="35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‎org.CompanyProfile.HeadquartersCountryId‎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‎org.CompanyProfile.SectorId‎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‎org.CompanyProfile.EmployeeBandId‎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‎org.CompanyBranch.CountryId‎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‎org.CompanyKycFinancialProfile.RevenueBandId‎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‎org.CompanyKycFinancialProfile.AccountCurrencyId‎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‎org.CompanyExpectedFlow.FinancialProfileId‎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‎org.CompanyExpectedFlow.CurrencyId‎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1" w:id="51"/>
      <w:r>
        <w:rPr>
          <w:rFonts w:ascii="Arial" w:cs="Arial" w:eastAsia="Arial" w:hAnsi="Arial"/>
          <w:b/>
          <w:bCs/>
          <w:color w:val="2B5C8A"/>
          <w:sz w:val="23"/>
          <w:szCs w:val="23"/>
          <w:rtl/>
        </w:rPr>
        <w:t xml:space="preserve">م1 · ملف الشركة و KYC (2/2)</w:t>
      </w:r>
      <w:bookmarkEnd w:id="51"/>
    </w:p>
    <w:p>
      <w:pPr>
        <w:bidi/>
        <w:spacing w:after="110" w:before="0" w:line="312"/>
      </w:pPr>
      <w:r>
        <w:rPr>
          <w:rFonts w:ascii="Arial" w:cs="Arial" w:eastAsia="Arial" w:hAnsi="Arial"/>
          <w:b w:val="false"/>
          <w:bCs w:val="false"/>
          <w:i/>
          <w:iCs/>
          <w:sz w:val="21"/>
          <w:szCs w:val="21"/>
          <w:rtl/>
        </w:rPr>
        <w:t xml:space="preserve">Company profile &amp; KYC</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800100"/>
            <wp:effectExtent t="0" r="0" b="0" l="0"/>
            <wp:docPr id="1" name="diagrams/erd/m1_company_kyc_2.png" descr="م1 · ملف الشركة و KYC (2/2)" title="م1 · ملف الشركة و KYC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800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ملف الشركة و KYC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32"/>
        <w:gridCol w:w="1601"/>
        <w:gridCol w:w="2287"/>
        <w:gridCol w:w="836"/>
        <w:gridCol w:w="836"/>
        <w:gridCol w:w="836"/>
        <w:gridCol w:w="836"/>
      </w:tblGrid>
      <w:tr>
        <w:trPr>
          <w:cantSplit/>
          <w:tblHeader/>
        </w:trPr>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w:t>
            </w:r>
          </w:p>
        </w:tc>
        <w:tc>
          <w:tcPr>
            <w:tcW w:type="dxa" w:w="1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Sources of funds and wealth: multiple-value list (G-4)</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FinancialProfileId, WealthSourceId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w:t>
            </w:r>
          </w:p>
        </w:tc>
        <w:tc>
          <w:tcPr>
            <w:tcW w:type="dxa" w:w="1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disclosures (G-5)</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CompanyDisclosureId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‎org.CompanyKeyRelation‎</w:t>
            </w:r>
          </w:p>
        </w:tc>
        <w:tc>
          <w:tcPr>
            <w:tcW w:type="dxa" w:w="1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 relations: auditors, legal counsel, regulators, and major customers and suppliers (G-6)</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CompanyKeyRelationId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7"/>
        <w:gridCol w:w="2382"/>
        <w:gridCol w:w="829"/>
        <w:gridCol w:w="829"/>
        <w:gridCol w:w="829"/>
        <w:gridCol w:w="829"/>
        <w:gridCol w:w="829"/>
      </w:tblGrid>
      <w:tr>
        <w:trPr>
          <w:cantSplit/>
          <w:tblHeader/>
        </w:trPr>
        <w:tc>
          <w:tcPr>
            <w:tcW w:type="dxa" w:w="3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‎org.CompanyWealthSource.FinancialProfileId‎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‎org.CompanyWealthSource.WealthSourceId‎</w:t>
            </w:r>
          </w:p>
        </w:tc>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‎org.CompanyDisclosure.CompanyId‎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‎org.CompanyDisclosure.SourceDocumentId‎</w:t>
            </w:r>
          </w:p>
        </w:tc>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‎org.CompanyKeyRelation.CompanyId‎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2" w:id="52"/>
      <w:r>
        <w:rPr>
          <w:rFonts w:ascii="Arial" w:cs="Arial" w:eastAsia="Arial" w:hAnsi="Arial"/>
          <w:b/>
          <w:bCs/>
          <w:color w:val="2B5C8A"/>
          <w:sz w:val="23"/>
          <w:szCs w:val="23"/>
          <w:rtl/>
        </w:rPr>
        <w:t xml:space="preserve">م1 · الأشخاص والهوية و KYC (1/3)</w:t>
      </w:r>
      <w:bookmarkEnd w:id="52"/>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771650"/>
            <wp:effectExtent t="0" r="0" b="0" l="0"/>
            <wp:docPr id="1" name="diagrams/erd/m1_party_1.png" descr="م1 · الأشخاص والهوية و KYC (1/3)" title="م1 · الأشخاص والهوية و KY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1771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3"/>
        <w:gridCol w:w="1720"/>
        <w:gridCol w:w="2327"/>
        <w:gridCol w:w="821"/>
        <w:gridCol w:w="821"/>
        <w:gridCol w:w="821"/>
        <w:gridCol w:w="821"/>
      </w:tblGrid>
      <w:tr>
        <w:trPr>
          <w:cantSplit/>
          <w:tblHeader/>
        </w:trPr>
        <w:tc>
          <w:tcPr>
            <w:tcW w:type="dxa" w:w="2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Postal address with an exclusive owner arc: exactly one of Party, Institution, Unit or Contact (FR-PTY-011, BR-PTY-015)</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AddressId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 method (phone, e-mail and similar) with an exclusive owner arc, as for addresses (FR-PTY-012, BR-PTY-015)</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ContactMethodId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 field definition (FR-PTY-013, BR-PTY-014)</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CustomFieldDefinitionId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 document; the number is encrypted and images are restricted documents (FR-PTY-004..009, FR-PTY-020..022, BR-PTY-002..008)</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5"/>
        <w:gridCol w:w="1749"/>
        <w:gridCol w:w="869"/>
        <w:gridCol w:w="869"/>
        <w:gridCol w:w="869"/>
        <w:gridCol w:w="869"/>
        <w:gridCol w:w="1224"/>
      </w:tblGrid>
      <w:tr>
        <w:trPr>
          <w:cantSplit/>
          <w:tblHeader/>
        </w:trPr>
        <w:tc>
          <w:tcPr>
            <w:tcW w:type="dxa" w:w="3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‎pty.Address.PartyId‎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‎pty.Address.InstitutionId‎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‎pty.Address.UnitId‎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‎pty.Address.ContactId‎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‎pty.Address.CountryId‎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‎pty.ContactMethod.PartyId‎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‎pty.ContactMethod.InstitutionId‎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‎pty.ContactMethod.UnitId‎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‎pty.ContactMethod.ContactId‎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‎pty.CustomFieldDefinition.InstitutionId‎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‎pty.IdentityDocument.PartyId‎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‎pty.IdentityDocument.IssuingCountryId‎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‎pty.IdentityDocument.EncKeyId‎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‎pty.IdentityDocument.HashKeyId‎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‎pty.IdentityDocument.SupersededById‎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3" w:id="53"/>
      <w:r>
        <w:rPr>
          <w:rFonts w:ascii="Arial" w:cs="Arial" w:eastAsia="Arial" w:hAnsi="Arial"/>
          <w:b/>
          <w:bCs/>
          <w:color w:val="2B5C8A"/>
          <w:sz w:val="23"/>
          <w:szCs w:val="23"/>
          <w:rtl/>
        </w:rPr>
        <w:t xml:space="preserve">م1 · الأشخاص والهوية و KYC (2/3)</w:t>
      </w:r>
      <w:bookmarkEnd w:id="53"/>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924550"/>
            <wp:effectExtent t="0" r="0" b="0" l="0"/>
            <wp:docPr id="1" name="diagrams/erd/m1_party_2.png" descr="م1 · الأشخاص والهوية و KYC (2/3)" title="م1 · الأشخاص والهوية و KYC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5924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2"/>
        <w:gridCol w:w="1825"/>
        <w:gridCol w:w="1825"/>
        <w:gridCol w:w="828"/>
        <w:gridCol w:w="828"/>
        <w:gridCol w:w="828"/>
        <w:gridCol w:w="828"/>
      </w:tblGrid>
      <w:tr>
        <w:trPr>
          <w:cantSplit/>
          <w:tblHeader/>
        </w:trPr>
        <w:tc>
          <w:tcPr>
            <w:tcW w:type="dxa" w:w="29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completeness checklist per bank and role (FR-PTY-023, BR-PTY-012..013, G-8, G-14)</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Completeness item (FR-PTY-023, FR-PTY-024, G-14)</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KycProfileItemId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Conditions for an item to apply, by legal form; no rows = applies to all (G-15)</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KycProfileItemId, LegalEntityTypeId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 or entity; no stored role (FR-PTY-001..003, BR-PTY-001..004, BR-PTY-016..018)</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23"/>
        <w:gridCol w:w="1656"/>
        <w:gridCol w:w="857"/>
        <w:gridCol w:w="857"/>
        <w:gridCol w:w="857"/>
        <w:gridCol w:w="857"/>
        <w:gridCol w:w="857"/>
      </w:tblGrid>
      <w:tr>
        <w:trPr>
          <w:cantSplit/>
          <w:tblHeader/>
        </w:trPr>
        <w:tc>
          <w:tcPr>
            <w:tcW w:type="dxa" w:w="39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‎pty.KycProfile.SourceDocumentId‎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‎pty.KycProfileItem.ProfileId‎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‎pty.KycProfileItemLegalForm.KycProfileItemId‎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CASCADE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‎pty.KycProfileItemLegalForm.LegalEntityTypeId‎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‎pty.Party.CountryId‎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‎pty.Party.BirthCountryId‎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‎pty.Party.EducationLevelId‎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‎pty.Party.MergedIntoPartyId‎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4" w:id="54"/>
      <w:r>
        <w:rPr>
          <w:rFonts w:ascii="Arial" w:cs="Arial" w:eastAsia="Arial" w:hAnsi="Arial"/>
          <w:b/>
          <w:bCs/>
          <w:color w:val="2B5C8A"/>
          <w:sz w:val="23"/>
          <w:szCs w:val="23"/>
          <w:rtl/>
        </w:rPr>
        <w:t xml:space="preserve">م1 · الأشخاص والهوية و KYC (3/3)</w:t>
      </w:r>
      <w:bookmarkEnd w:id="54"/>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209675"/>
            <wp:effectExtent t="0" r="0" b="0" l="0"/>
            <wp:docPr id="1" name="diagrams/erd/m1_party_3.png" descr="م1 · الأشخاص والهوية و KYC (3/3)" title="م1 · الأشخاص والهوية و KYC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1209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1"/>
        <w:gridCol w:w="1835"/>
        <w:gridCol w:w="2202"/>
        <w:gridCol w:w="844"/>
        <w:gridCol w:w="844"/>
        <w:gridCol w:w="844"/>
        <w:gridCol w:w="844"/>
      </w:tblGrid>
      <w:tr>
        <w:trPr>
          <w:cantSplit/>
          <w:tblHeader/>
        </w:trPr>
        <w:tc>
          <w:tcPr>
            <w:tcW w:type="dxa" w:w="2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Dated compliance declarations per person in their capacity: PEP, sanctions, investigations, immunity (G-9)</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PartyComplianceId</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 value for a party (FR-PTY-013, FR-PTY-014)</w:t>
            </w:r>
          </w:p>
        </w:tc>
        <w:tc>
          <w:tcPr>
            <w:tcW w:type="dxa" w:w="2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PartyCustomFieldId</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 identity and FATCA/CRS tax declaration (G-13)</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TaxIdentityId</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61"/>
        <w:gridCol w:w="2134"/>
        <w:gridCol w:w="865"/>
        <w:gridCol w:w="865"/>
        <w:gridCol w:w="865"/>
        <w:gridCol w:w="865"/>
        <w:gridCol w:w="1109"/>
      </w:tblGrid>
      <w:tr>
        <w:trPr>
          <w:cantSplit/>
          <w:tblHeader/>
        </w:trPr>
        <w:tc>
          <w:tcPr>
            <w:tcW w:type="dxa" w:w="31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‎pty.PartyCompliance.PartyId‎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‎pty.PartyCompliance.CompanyId‎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‎pty.PartyCompliance.SourceDocumentId‎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‎pty.PartyCustomField.PartyId‎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‎pty.PartyCustomField.DefinitionId‎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‎pty.PartyCustomField.EncKeyId‎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‎pty.PartyCustomField.CurrencyId‎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‎pty.TaxIdentity.PartyId‎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‎pty.TaxIdentity.CountryId‎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‎pty.TaxIdentity.FatcaClassificationId‎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‎pty.TaxIdentity.CrsClassificationId‎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‎pty.TaxIdentity.SourceDocumentId‎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5" w:id="55"/>
      <w:r>
        <w:rPr>
          <w:rFonts w:ascii="Arial" w:cs="Arial" w:eastAsia="Arial" w:hAnsi="Arial"/>
          <w:b/>
          <w:bCs/>
          <w:color w:val="2B5C8A"/>
          <w:sz w:val="26"/>
          <w:szCs w:val="26"/>
          <w:rtl/>
        </w:rPr>
        <w:t xml:space="preserve">10.5 م2–م3 · الجهات المالية والحسابات</w:t>
      </w:r>
      <w:bookmarkEnd w:id="55"/>
    </w:p>
    <w:p>
      <w:pPr>
        <w:pStyle w:val="Heading3"/>
        <w:bidi/>
      </w:pPr>
      <w:bookmarkStart w:name="_sec56" w:id="56"/>
      <w:r>
        <w:rPr>
          <w:rFonts w:ascii="Arial" w:cs="Arial" w:eastAsia="Arial" w:hAnsi="Arial"/>
          <w:b/>
          <w:bCs/>
          <w:color w:val="2B5C8A"/>
          <w:sz w:val="23"/>
          <w:szCs w:val="23"/>
          <w:rtl/>
        </w:rPr>
        <w:t xml:space="preserve">م2–م3 · الجهات المالية والحسابات والمفوّضون (1/3)</w:t>
      </w:r>
      <w:bookmarkEnd w:id="56"/>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81750"/>
            <wp:effectExtent t="0" r="0" b="0" l="0"/>
            <wp:docPr id="1" name="diagrams/erd/m2_3_institutions_1.png" descr="م2–م3 · الجهات المالية والحسابات والمفوّضون (1/3)" title="م2–م3 · الجهات المالية والحسابات والمفوّضون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6381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9"/>
        <w:gridCol w:w="2246"/>
        <w:gridCol w:w="2009"/>
        <w:gridCol w:w="840"/>
        <w:gridCol w:w="840"/>
        <w:gridCol w:w="840"/>
        <w:gridCol w:w="840"/>
      </w:tblGrid>
      <w:tr>
        <w:trPr>
          <w:cantSplit/>
          <w:tblHeader/>
        </w:trPr>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 at a bank: a lightweight record with no identity; PartyId is optional, for promotion (FR-INS-007/008, BR-INS-005/006/014)</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 (FR-INS-001..004, BR-INS-001..003, BR-INS-012); Locality (local or foreign) is derived (BR-INS-002) and therefore not stored</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 in an institution's structure: division, department or branch; self-referencing tree of up to four levels (FR-INS-005/006, BR-INS-004)</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InstitutionUnitId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Company–institution relationship (D-4); unique regardless of status (FR-INS-009, BR-INS-007/011)</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1"/>
        <w:gridCol w:w="1846"/>
        <w:gridCol w:w="886"/>
        <w:gridCol w:w="886"/>
        <w:gridCol w:w="886"/>
        <w:gridCol w:w="886"/>
        <w:gridCol w:w="1263"/>
      </w:tblGrid>
      <w:tr>
        <w:trPr>
          <w:cantSplit/>
          <w:tblHeader/>
        </w:trPr>
        <w:tc>
          <w:tcPr>
            <w:tcW w:type="dxa" w:w="3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‎ins.Contact.InstitutionId‎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‎ins.Contact.UnitId‎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‎ins.Contact.ReportsToContactId‎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‎ins.Contact.PartyId‎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‎ins.Institution.InstitutionTypeId‎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‎cat.InstitutionType‎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‎ins.Institution.CountryId‎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‎ins.Institution.PartyId‎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‎ins.InstitutionUnit.InstitutionId‎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‎ins.InstitutionUnit.ParentUnitId‎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‎ins.InstitutionUnit.UnitTypeId‎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‎ins.Relationship.CompanyId‎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‎ins.Relationship.InstitutionId‎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7" w:id="57"/>
      <w:r>
        <w:rPr>
          <w:rFonts w:ascii="Arial" w:cs="Arial" w:eastAsia="Arial" w:hAnsi="Arial"/>
          <w:b/>
          <w:bCs/>
          <w:color w:val="2B5C8A"/>
          <w:sz w:val="23"/>
          <w:szCs w:val="23"/>
          <w:rtl/>
        </w:rPr>
        <w:t xml:space="preserve">م2–م3 · الجهات المالية والحسابات والمفوّضون (2/3)</w:t>
      </w:r>
      <w:bookmarkEnd w:id="57"/>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247900"/>
            <wp:effectExtent t="0" r="0" b="0" l="0"/>
            <wp:docPr id="1" name="diagrams/erd/m2_3_institutions_2.png" descr="م2–م3 · الجهات المالية والحسابات والمفوّضون (2/3)" title="م2–م3 · الجهات المالية والحسابات والمفوّضون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22479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73"/>
        <w:gridCol w:w="1825"/>
        <w:gridCol w:w="2254"/>
        <w:gridCol w:w="828"/>
        <w:gridCol w:w="828"/>
        <w:gridCol w:w="828"/>
        <w:gridCol w:w="828"/>
      </w:tblGrid>
      <w:tr>
        <w:trPr>
          <w:cantSplit/>
          <w:tblHeader/>
        </w:trPr>
        <w:tc>
          <w:tcPr>
            <w:tcW w:type="dxa" w:w="2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 coverage (first layer): contact with role, rank and period (FR-INS-010, BR-INS-008/009)</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RelationshipContactId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handled within a relationship, with a default contact and channel (FR-INS-011..013, BR-INS-010)</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Result of checking a signatory's authority against governance rules, and the reviewer's decision (S1-B) (FR-ACC-018, BR-ACC-015)</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AuthorityConflictId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bank account at a financial institution (FR-ACC-001..009, BR-ACC-001..006, BR-ACC-016); account number and IBAN are encrypted, with blind-index uniqueness</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64"/>
        <w:gridCol w:w="1811"/>
        <w:gridCol w:w="859"/>
        <w:gridCol w:w="859"/>
        <w:gridCol w:w="859"/>
        <w:gridCol w:w="859"/>
        <w:gridCol w:w="1153"/>
      </w:tblGrid>
      <w:tr>
        <w:trPr>
          <w:cantSplit/>
          <w:tblHeader/>
        </w:trPr>
        <w:tc>
          <w:tcPr>
            <w:tcW w:type="dxa" w:w="34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‎ins.RelationshipContact.InstitutionId‎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‎ins.RelationshipContact.RelationshipId‎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‎ins.RelationshipContact.ContactId‎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‎ins.RelationshipContact.RoleId‎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‎ins.RelationshipProduct.InstitutionId‎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‎ins.RelationshipProduct.RelationshipId‎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‎ins.RelationshipProduct.ProductId‎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‎ins.RelationshipProduct.DefaultContactId‎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‎acc.AuthorityConflict.SignatoryAuthorityId‎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‎acc.AuthorityConflict.ReviewedBy‎</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‎acc.BankAccount.CompanyId‎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‎acc.BankAccount.InstitutionId‎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‎acc.BankAccount.RelationshipId‎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‎acc.BankAccount.AccountTypeId‎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‎cat.AccountType‎</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‎acc.BankAccount.MasterAccountId‎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 CurrencyId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‎acc.BankAccount.CurrencyId‎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‎acc.BankAccount.EncKeyId‎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‎acc.BankAccount.HashKeyId‎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‎acc.BankAccount.BranchUnitId‎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bl>
    <w:p>
      <w:pPr>
        <w:bidi/>
        <w:spacing w:after="120" w:before="0"/>
      </w:pPr>
    </w:p>
    <w:p>
      <w:pPr>
        <w:pStyle w:val="Heading3"/>
        <w:bidi/>
      </w:pPr>
      <w:bookmarkStart w:name="_sec58" w:id="58"/>
      <w:r>
        <w:rPr>
          <w:rFonts w:ascii="Arial" w:cs="Arial" w:eastAsia="Arial" w:hAnsi="Arial"/>
          <w:b/>
          <w:bCs/>
          <w:color w:val="2B5C8A"/>
          <w:sz w:val="23"/>
          <w:szCs w:val="23"/>
          <w:rtl/>
        </w:rPr>
        <w:t xml:space="preserve">م2–م3 · الجهات المالية والحسابات والمفوّضون (3/3)</w:t>
      </w:r>
      <w:bookmarkEnd w:id="58"/>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5686425" cy="8191500"/>
            <wp:effectExtent t="0" r="0" b="0" l="0"/>
            <wp:docPr id="1" name="diagrams/erd/m2_3_institutions_3.png" descr="م2–م3 · الجهات المالية والحسابات والمفوّضون (3/3)" title="م2–م3 · الجهات المالية والحسابات والمفوّضون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6864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5"/>
        <w:gridCol w:w="1814"/>
        <w:gridCol w:w="1905"/>
        <w:gridCol w:w="810"/>
        <w:gridCol w:w="810"/>
        <w:gridCol w:w="810"/>
        <w:gridCol w:w="810"/>
      </w:tblGrid>
      <w:tr>
        <w:trPr>
          <w:cantSplit/>
          <w:tblHeader/>
        </w:trPr>
        <w:tc>
          <w:tcPr>
            <w:tcW w:type="dxa" w:w="2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w:t>
            </w:r>
          </w:p>
        </w:tc>
        <w:tc>
          <w:tcPr>
            <w:tcW w:type="dxa" w:w="1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linked to a facility for a specific purpose (S2) (FR-ACC-010, BR-ACC-007); populated from the facility screen</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FacilityAccountId</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1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 authorised to sign for a relationship (S1-B) (FR-ACC-012, FR-ACC-023, BR-ACC-008/009), plus additions from docs/05 G-10</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1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authority for an operation on an account or on the bank (S1-B) (FR-ACC-013/014/017, BR-ACC-010/011); not edited in place: closed and reopened instead; its status is derived and not stored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SignatoryAuthorityId</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w:t>
            </w:r>
          </w:p>
        </w:tc>
        <w:tc>
          <w:tcPr>
            <w:tcW w:type="dxa" w:w="1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Signature classes required for joint signing (JointClassIds) (BR-ACC-013)</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SignatoryAuthorityId, SignatureClassId</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67"/>
        <w:gridCol w:w="1604"/>
        <w:gridCol w:w="843"/>
        <w:gridCol w:w="843"/>
        <w:gridCol w:w="843"/>
        <w:gridCol w:w="843"/>
        <w:gridCol w:w="1021"/>
      </w:tblGrid>
      <w:tr>
        <w:trPr>
          <w:cantSplit/>
          <w:tblHeader/>
        </w:trPr>
        <w:tc>
          <w:tcPr>
            <w:tcW w:type="dxa" w:w="3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‎acc.FacilityAccount.FacilityId‎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‎acc.FacilityAccount.BankAccountId‎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‎acc.FacilityAccount.CurrencyId‎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‎acc.FacilityAccount.PurposeId‎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‎acc.Signatory.RelationshipId‎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‎acc.Signatory.PartyId‎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‎acc.Signatory.SignatureClassId‎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‎acc.Signatory.PositionId‎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‎acc.Signatory.AuthorisationBasisId‎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‎acc.Signatory.CashWithdrawalCurrencyId‎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‎acc.Signatory.AuthorizationDocumentId‎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‎acc.Signatory.SpecimenDocumentId‎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‎acc.SignatoryAuthority.RelationshipId‎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‎acc.SignatoryAuthority.SignatoryId‎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‎acc.SignatoryAuthority.BankAccountId‎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‎acc.SignatoryAuthority.OperationTypeId‎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‎acc.SignatoryAuthority.CurrencyId‎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‎acc.SignatoryAuthority.SourceDocumentId‎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‎acc.SignatoryAuthority.SupersededById‎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‎acc.SignatoryAuthorityJointClass.SignatoryAuthorityId‎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‎acc.SignatoryAuthorityJointClass.SignatureClassId‎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9" w:id="59"/>
      <w:r>
        <w:rPr>
          <w:rFonts w:ascii="Arial" w:cs="Arial" w:eastAsia="Arial" w:hAnsi="Arial"/>
          <w:b/>
          <w:bCs/>
          <w:color w:val="2B5C8A"/>
          <w:sz w:val="26"/>
          <w:szCs w:val="26"/>
          <w:rtl/>
        </w:rPr>
        <w:t xml:space="preserve">10.6 م4 · الكتالوجات والمراجع</w:t>
      </w:r>
      <w:bookmarkEnd w:id="59"/>
    </w:p>
    <w:p>
      <w:pPr>
        <w:pStyle w:val="Heading3"/>
        <w:bidi/>
      </w:pPr>
      <w:bookmarkStart w:name="_sec60" w:id="60"/>
      <w:r>
        <w:rPr>
          <w:rFonts w:ascii="Arial" w:cs="Arial" w:eastAsia="Arial" w:hAnsi="Arial"/>
          <w:b/>
          <w:bCs/>
          <w:color w:val="2B5C8A"/>
          <w:sz w:val="23"/>
          <w:szCs w:val="23"/>
          <w:rtl/>
        </w:rPr>
        <w:t xml:space="preserve">م4 · المنتجات والرسوم والتمويل والضمانات (1/3)</w:t>
      </w:r>
      <w:bookmarkEnd w:id="60"/>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800225"/>
            <wp:effectExtent t="0" r="0" b="0" l="0"/>
            <wp:docPr id="1" name="diagrams/erd/m4_products_1.png" descr="م4 · المنتجات والرسوم والتمويل والضمانات (1/3)" title="م4 · المنتجات والرسوم والتمويل والضمانات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18002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50"/>
        <w:gridCol w:w="1608"/>
        <w:gridCol w:w="2278"/>
        <w:gridCol w:w="857"/>
        <w:gridCol w:w="857"/>
        <w:gridCol w:w="857"/>
        <w:gridCol w:w="857"/>
      </w:tblGrid>
      <w:tr>
        <w:trPr>
          <w:cantSplit/>
          <w:tblHeader/>
        </w:trPr>
        <w:tc>
          <w:tcPr>
            <w:tcW w:type="dxa" w:w="2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‎cat.ProductCategory‎</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category: flat list (FR-CAT-007)</w:t>
            </w:r>
          </w:p>
        </w:tc>
        <w:tc>
          <w:tcPr>
            <w:tcW w:type="dxa" w:w="2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product with its flags (FR-CAT-007, BR-CAT-004)</w:t>
            </w:r>
          </w:p>
        </w:tc>
        <w:tc>
          <w:tcPr>
            <w:tcW w:type="dxa" w:w="2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type: a broad category, not a tariff item (FR-CAT-008, BR-CAT-005, Q-CAT-10)</w:t>
            </w:r>
          </w:p>
        </w:tc>
        <w:tc>
          <w:tcPr>
            <w:tcW w:type="dxa" w:w="2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FeeTypeId</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 type (FR-CAT-009, BR-CAT-006)</w:t>
            </w:r>
          </w:p>
        </w:tc>
        <w:tc>
          <w:tcPr>
            <w:tcW w:type="dxa" w:w="2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FinancingTypeId</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51"/>
        <w:gridCol w:w="2128"/>
        <w:gridCol w:w="897"/>
        <w:gridCol w:w="897"/>
        <w:gridCol w:w="897"/>
        <w:gridCol w:w="897"/>
        <w:gridCol w:w="897"/>
      </w:tblGrid>
      <w:tr>
        <w:trPr>
          <w:cantSplit/>
          <w:tblHeader/>
        </w:trPr>
        <w:tc>
          <w:tcPr>
            <w:tcW w:type="dxa" w:w="3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‎cat.Product.ProductCategoryId‎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‎cat.ProductCategory‎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1" w:id="61"/>
      <w:r>
        <w:rPr>
          <w:rFonts w:ascii="Arial" w:cs="Arial" w:eastAsia="Arial" w:hAnsi="Arial"/>
          <w:b/>
          <w:bCs/>
          <w:color w:val="2B5C8A"/>
          <w:sz w:val="23"/>
          <w:szCs w:val="23"/>
          <w:rtl/>
        </w:rPr>
        <w:t xml:space="preserve">م4 · المنتجات والرسوم والتمويل والضمانات (2/3)</w:t>
      </w:r>
      <w:bookmarkEnd w:id="61"/>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409700"/>
            <wp:effectExtent t="0" r="0" b="0" l="0"/>
            <wp:docPr id="1" name="diagrams/erd/m4_products_2.png" descr="م4 · المنتجات والرسوم والتمويل والضمانات (2/3)" title="م4 · المنتجات والرسوم والتمويل والضمانات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1409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53"/>
        <w:gridCol w:w="1459"/>
        <w:gridCol w:w="2428"/>
        <w:gridCol w:w="831"/>
        <w:gridCol w:w="831"/>
        <w:gridCol w:w="831"/>
        <w:gridCol w:w="831"/>
      </w:tblGrid>
      <w:tr>
        <w:trPr>
          <w:cantSplit/>
          <w:tblHeader/>
        </w:trPr>
        <w:tc>
          <w:tcPr>
            <w:tcW w:type="dxa" w:w="2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types allowed for a product; disabling a link deletes it and does not affect list pricing rules (FR-CAT-010, BR-CAT-007)</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ProductFeeTypeId</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 types allowed for a product (FR-CAT-010, BR-CAT-007)</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ProductFinancingTypeId</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‎cat.FacilityType‎</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type (FR-CAT-011)</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FacilityTypeId</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type: master or sub-limit (FR-CAT-012, BR-CAT-008)</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LimitTypeId</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84"/>
        <w:gridCol w:w="1650"/>
        <w:gridCol w:w="866"/>
        <w:gridCol w:w="866"/>
        <w:gridCol w:w="866"/>
        <w:gridCol w:w="866"/>
        <w:gridCol w:w="866"/>
      </w:tblGrid>
      <w:tr>
        <w:trPr>
          <w:cantSplit/>
          <w:tblHeader/>
        </w:trPr>
        <w:tc>
          <w:tcPr>
            <w:tcW w:type="dxa" w:w="3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‎cat.ProductFeeType.ProductId‎</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‎cat.ProductFeeType.FeeTypeId‎</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‎cat.ProductFinancingType.ProductId‎</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‎cat.ProductFinancingType.FinancingTypeId‎</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‎cat.LimitType.ParentLimitTypeId‎</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2" w:id="62"/>
      <w:r>
        <w:rPr>
          <w:rFonts w:ascii="Arial" w:cs="Arial" w:eastAsia="Arial" w:hAnsi="Arial"/>
          <w:b/>
          <w:bCs/>
          <w:color w:val="2B5C8A"/>
          <w:sz w:val="23"/>
          <w:szCs w:val="23"/>
          <w:rtl/>
        </w:rPr>
        <w:t xml:space="preserve">م4 · المنتجات والرسوم والتمويل والضمانات (3/3)</w:t>
      </w:r>
      <w:bookmarkEnd w:id="62"/>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200275"/>
            <wp:effectExtent t="0" r="0" b="0" l="0"/>
            <wp:docPr id="1" name="diagrams/erd/m4_products_3.png" descr="م4 · المنتجات والرسوم والتمويل والضمانات (3/3)" title="م4 · المنتجات والرسوم والتمويل والضمانات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22002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59"/>
        <w:gridCol w:w="1475"/>
        <w:gridCol w:w="2458"/>
        <w:gridCol w:w="818"/>
        <w:gridCol w:w="818"/>
        <w:gridCol w:w="818"/>
        <w:gridCol w:w="818"/>
      </w:tblGrid>
      <w:tr>
        <w:trPr>
          <w:cantSplit/>
          <w:tblHeader/>
        </w:trPr>
        <w:tc>
          <w:tcPr>
            <w:tcW w:type="dxa" w:w="2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w:t>
            </w:r>
          </w:p>
        </w:tc>
        <w:tc>
          <w:tcPr>
            <w:tcW w:type="dxa" w:w="14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Products allowed for a limit type; no rows = any product, with a visible flag (BR-CAT-008)</w:t>
            </w:r>
          </w:p>
        </w:tc>
        <w:tc>
          <w:tcPr>
            <w:tcW w:type="dxa" w:w="2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LimitTypeId, ProductId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14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type with its structure type and attribute template (FR-CAT-013)</w:t>
            </w:r>
          </w:p>
        </w:tc>
        <w:tc>
          <w:tcPr>
            <w:tcW w:type="dxa" w:w="2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‎cat.CollateralTypeAttribute‎</w:t>
            </w:r>
          </w:p>
        </w:tc>
        <w:tc>
          <w:tcPr>
            <w:tcW w:type="dxa" w:w="14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Attribute in a collateral-type template; never deleted, only marked Retired (BR-CAT-009)</w:t>
            </w:r>
          </w:p>
        </w:tc>
        <w:tc>
          <w:tcPr>
            <w:tcW w:type="dxa" w:w="2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CollateralTypeAttributeId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‎cat.ObligationType‎</w:t>
            </w:r>
          </w:p>
        </w:tc>
        <w:tc>
          <w:tcPr>
            <w:tcW w:type="dxa" w:w="14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 type with four families (FR-CAT-014, BR-CAT-010)</w:t>
            </w:r>
          </w:p>
        </w:tc>
        <w:tc>
          <w:tcPr>
            <w:tcW w:type="dxa" w:w="2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78"/>
        <w:gridCol w:w="1626"/>
        <w:gridCol w:w="852"/>
        <w:gridCol w:w="852"/>
        <w:gridCol w:w="852"/>
        <w:gridCol w:w="852"/>
        <w:gridCol w:w="852"/>
      </w:tblGrid>
      <w:tr>
        <w:trPr>
          <w:cantSplit/>
          <w:tblHeader/>
        </w:trPr>
        <w:tc>
          <w:tcPr>
            <w:tcW w:type="dxa" w:w="3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‎cat.LimitTypeProduct.LimitTypeId‎</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‎cat.LimitTypeProduct.ProductId‎</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‎cat.CollateralTypeAttribute.CollateralTypeId‎</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3" w:id="63"/>
      <w:r>
        <w:rPr>
          <w:rFonts w:ascii="Arial" w:cs="Arial" w:eastAsia="Arial" w:hAnsi="Arial"/>
          <w:b/>
          <w:bCs/>
          <w:color w:val="2B5C8A"/>
          <w:sz w:val="23"/>
          <w:szCs w:val="23"/>
          <w:rtl/>
        </w:rPr>
        <w:t xml:space="preserve">م4 · الكتالوجات المرجعية (1/2)</w:t>
      </w:r>
      <w:bookmarkEnd w:id="63"/>
    </w:p>
    <w:p>
      <w:pPr>
        <w:bidi/>
        <w:spacing w:after="110" w:before="0" w:line="312"/>
      </w:pPr>
      <w:r>
        <w:rPr>
          <w:rFonts w:ascii="Arial" w:cs="Arial" w:eastAsia="Arial" w:hAnsi="Arial"/>
          <w:b w:val="false"/>
          <w:bCs w:val="false"/>
          <w:i/>
          <w:iCs/>
          <w:sz w:val="21"/>
          <w:szCs w:val="21"/>
          <w:rtl/>
        </w:rPr>
        <w:t xml:space="preserve">Reference catalogues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42925"/>
            <wp:effectExtent t="0" r="0" b="0" l="0"/>
            <wp:docPr id="1" name="diagrams/erd/m4_reference_1.png" descr="م4 · الكتالوجات المرجعية (1/2)" title="م4 · الكتالوجات المرجعي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542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الكتالوجات المرجعية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3"/>
        <w:gridCol w:w="2132"/>
        <w:gridCol w:w="2057"/>
        <w:gridCol w:w="843"/>
        <w:gridCol w:w="843"/>
        <w:gridCol w:w="843"/>
        <w:gridCol w:w="843"/>
      </w:tblGrid>
      <w:tr>
        <w:trPr>
          <w:cantSplit/>
          <w:tblHeader/>
        </w:trPr>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‎cat.TenantCurrency‎</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Currencies enabled for the tenant: a subset of the global currency reference (FR-CAT-023, Q-CAT-08)</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CurrencyId</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‎cat.InstitutionType‎</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 type: bank, finance company, investment company, financial company, individual (FR-INS-001)</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InstitutionTypeId</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‎cat.AccountType‎</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type (FR-ACC-001)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AccountTypeId</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 entity type: the entity and its attributes are defined in specification 10 (FR-ORG-002, BR-CAT-017) and seeded by this module; catalogue columns are written by hand because code uniqueness is per country (specification 10, section 6.2), not global</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LegalEntityTypeId</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92"/>
        <w:gridCol w:w="1527"/>
        <w:gridCol w:w="929"/>
        <w:gridCol w:w="929"/>
        <w:gridCol w:w="929"/>
        <w:gridCol w:w="929"/>
        <w:gridCol w:w="929"/>
      </w:tblGrid>
      <w:tr>
        <w:trPr>
          <w:cantSplit/>
          <w:tblHeader/>
        </w:trPr>
        <w:tc>
          <w:tcPr>
            <w:tcW w:type="dxa" w:w="3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‎cat.TenantCurrency.CurrencyId‎</w:t>
            </w:r>
          </w:p>
        </w:tc>
        <w:tc>
          <w:tcPr>
            <w:tcW w:type="dxa" w:w="15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‎cat.LegalEntityType.CountryId‎</w:t>
            </w:r>
          </w:p>
        </w:tc>
        <w:tc>
          <w:tcPr>
            <w:tcW w:type="dxa" w:w="15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4" w:id="64"/>
      <w:r>
        <w:rPr>
          <w:rFonts w:ascii="Arial" w:cs="Arial" w:eastAsia="Arial" w:hAnsi="Arial"/>
          <w:b/>
          <w:bCs/>
          <w:color w:val="2B5C8A"/>
          <w:sz w:val="23"/>
          <w:szCs w:val="23"/>
          <w:rtl/>
        </w:rPr>
        <w:t xml:space="preserve">م4 · الكتالوجات المرجعية (2/2)</w:t>
      </w:r>
      <w:bookmarkEnd w:id="64"/>
    </w:p>
    <w:p>
      <w:pPr>
        <w:bidi/>
        <w:spacing w:after="110" w:before="0" w:line="312"/>
      </w:pPr>
      <w:r>
        <w:rPr>
          <w:rFonts w:ascii="Arial" w:cs="Arial" w:eastAsia="Arial" w:hAnsi="Arial"/>
          <w:b w:val="false"/>
          <w:bCs w:val="false"/>
          <w:i/>
          <w:iCs/>
          <w:sz w:val="21"/>
          <w:szCs w:val="21"/>
          <w:rtl/>
        </w:rPr>
        <w:t xml:space="preserve">Reference catalogues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561975"/>
            <wp:effectExtent t="0" r="0" b="0" l="0"/>
            <wp:docPr id="1" name="diagrams/erd/m4_reference_2.png" descr="م4 · الكتالوجات المرجعية (2/2)" title="م4 · الكتالوجات المرجعي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56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الكتالوجات المرجعية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3"/>
        <w:gridCol w:w="2267"/>
        <w:gridCol w:w="1936"/>
        <w:gridCol w:w="862"/>
        <w:gridCol w:w="862"/>
        <w:gridCol w:w="862"/>
        <w:gridCol w:w="862"/>
      </w:tblGrid>
      <w:tr>
        <w:trPr>
          <w:cantSplit/>
          <w:tblHeader/>
        </w:trPr>
        <w:tc>
          <w:tcPr>
            <w:tcW w:type="dxa" w:w="2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2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type; applies the flags defined in specification 10 at upload (FR-CAT-018, BR-CAT-016, FR-PLT-028)</w:t>
            </w:r>
          </w:p>
        </w:tc>
        <w:tc>
          <w:tcPr>
            <w:tcW w:type="dxa" w:w="1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DocumentTypeId</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2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 position: its attributes are defined in specification 10 (section 6.2) only, and this module seeds its rows (FR-CAT-019, BR-CAT-017); SortOrder comes from the catalogue base</w:t>
            </w:r>
          </w:p>
        </w:tc>
        <w:tc>
          <w:tcPr>
            <w:tcW w:type="dxa" w:w="1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PositionId</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2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Governance power type: its attributes are defined in specification 10 (section 6.2) only, and this module seeds its rows (FR-CAT-019, FR-ORG-024)</w:t>
            </w:r>
          </w:p>
        </w:tc>
        <w:tc>
          <w:tcPr>
            <w:tcW w:type="dxa" w:w="1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PowerTypeId</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96"/>
        <w:gridCol w:w="977"/>
        <w:gridCol w:w="1350"/>
        <w:gridCol w:w="1350"/>
        <w:gridCol w:w="1157"/>
        <w:gridCol w:w="977"/>
        <w:gridCol w:w="1157"/>
      </w:tblGrid>
      <w:tr>
        <w:trPr>
          <w:cantSplit/>
          <w:tblHeader/>
        </w:trPr>
        <w:tc>
          <w:tcPr>
            <w:tcW w:type="dxa" w:w="2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5" w:id="65"/>
      <w:r>
        <w:rPr>
          <w:rFonts w:ascii="Arial" w:cs="Arial" w:eastAsia="Arial" w:hAnsi="Arial"/>
          <w:b/>
          <w:bCs/>
          <w:color w:val="2B5C8A"/>
          <w:sz w:val="23"/>
          <w:szCs w:val="23"/>
          <w:rtl/>
        </w:rPr>
        <w:t xml:space="preserve">م4 · الأسعار المرجعية والقوائم (1/2)</w:t>
      </w:r>
      <w:bookmarkEnd w:id="65"/>
    </w:p>
    <w:p>
      <w:pPr>
        <w:bidi/>
        <w:spacing w:after="110" w:before="0" w:line="312"/>
      </w:pPr>
      <w:r>
        <w:rPr>
          <w:rFonts w:ascii="Arial" w:cs="Arial" w:eastAsia="Arial" w:hAnsi="Arial"/>
          <w:b w:val="false"/>
          <w:bCs w:val="false"/>
          <w:i/>
          <w:iCs/>
          <w:sz w:val="21"/>
          <w:szCs w:val="21"/>
          <w:rtl/>
        </w:rPr>
        <w:t xml:space="preserve">Base rates &amp; lookup lists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638550"/>
            <wp:effectExtent t="0" r="0" b="0" l="0"/>
            <wp:docPr id="1" name="diagrams/erd/m4_rates_lookups_1.png" descr="م4 · الأسعار المرجعية والقوائم (1/2)" title="م4 · الأسعار المرجعية والقوائم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3638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الأسعار المرجعية والقوائم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28"/>
        <w:gridCol w:w="1800"/>
        <w:gridCol w:w="1800"/>
        <w:gridCol w:w="834"/>
        <w:gridCol w:w="834"/>
        <w:gridCol w:w="834"/>
        <w:gridCol w:w="834"/>
      </w:tblGrid>
      <w:tr>
        <w:trPr>
          <w:cantSplit/>
          <w:tblHeader/>
        </w:trPr>
        <w:tc>
          <w:tcPr>
            <w:tcW w:type="dxa" w:w="2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operation type that a signatory is authorised for (FR-ACC-013, BR-CAT-014)</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an operation to governance power type(s): any one is sufficient (BR-CAT-014, FR-CAT-019, Q-ACC-05)</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OperationTypeId, PowerTypeId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 rate: market-wide (InstitutionId NULL) or internal to a bank (FR-CAT-015, BR-CAT-011); alternative names are in BaseRateAlias</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Alternative name for a base rate (for example SIBOR and SAIBOR); case-insensitive search; unique within scope (BR-CAT-011, FR-CAT-015)</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BaseRateAliasId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27"/>
        <w:gridCol w:w="1587"/>
        <w:gridCol w:w="870"/>
        <w:gridCol w:w="870"/>
        <w:gridCol w:w="870"/>
        <w:gridCol w:w="870"/>
        <w:gridCol w:w="870"/>
      </w:tblGrid>
      <w:tr>
        <w:trPr>
          <w:cantSplit/>
          <w:tblHeader/>
        </w:trPr>
        <w:tc>
          <w:tcPr>
            <w:tcW w:type="dxa" w:w="39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‎cat.OperationTypePowerType.OperationTypeId‎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‎cat.OperationTypePowerType.PowerTypeId‎</w:t>
            </w:r>
          </w:p>
        </w:tc>
        <w:tc>
          <w:tcPr>
            <w:tcW w:type="dxa" w:w="1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‎cat.BaseRate.InstitutionId‎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‎cat.BaseRate.CurrencyId‎</w:t>
            </w:r>
          </w:p>
        </w:tc>
        <w:tc>
          <w:tcPr>
            <w:tcW w:type="dxa" w:w="1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‎cat.BaseRateAlias.BaseRateId‎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Tenor, ScopeKey</w:t>
            </w:r>
          </w:p>
        </w:tc>
      </w:tr>
    </w:tbl>
    <w:p>
      <w:pPr>
        <w:bidi/>
        <w:spacing w:after="120" w:before="0"/>
      </w:pPr>
    </w:p>
    <w:p>
      <w:pPr>
        <w:pStyle w:val="Heading3"/>
        <w:bidi/>
      </w:pPr>
      <w:bookmarkStart w:name="_sec66" w:id="66"/>
      <w:r>
        <w:rPr>
          <w:rFonts w:ascii="Arial" w:cs="Arial" w:eastAsia="Arial" w:hAnsi="Arial"/>
          <w:b/>
          <w:bCs/>
          <w:color w:val="2B5C8A"/>
          <w:sz w:val="23"/>
          <w:szCs w:val="23"/>
          <w:rtl/>
        </w:rPr>
        <w:t xml:space="preserve">م4 · الأسعار المرجعية والقوائم (2/2)</w:t>
      </w:r>
      <w:bookmarkEnd w:id="66"/>
    </w:p>
    <w:p>
      <w:pPr>
        <w:bidi/>
        <w:spacing w:after="110" w:before="0" w:line="312"/>
      </w:pPr>
      <w:r>
        <w:rPr>
          <w:rFonts w:ascii="Arial" w:cs="Arial" w:eastAsia="Arial" w:hAnsi="Arial"/>
          <w:b w:val="false"/>
          <w:bCs w:val="false"/>
          <w:i/>
          <w:iCs/>
          <w:sz w:val="21"/>
          <w:szCs w:val="21"/>
          <w:rtl/>
        </w:rPr>
        <w:t xml:space="preserve">Base rates &amp; lookup lists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457575"/>
            <wp:effectExtent t="0" r="0" b="0" l="0"/>
            <wp:docPr id="1" name="diagrams/erd/m4_rates_lookups_2.png" descr="م4 · الأسعار المرجعية والقوائم (2/2)" title="م4 · الأسعار المرجعية والقوائم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4575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الأسعار المرجعية والقوائم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13"/>
        <w:gridCol w:w="2077"/>
        <w:gridCol w:w="2038"/>
        <w:gridCol w:w="859"/>
        <w:gridCol w:w="859"/>
        <w:gridCol w:w="859"/>
        <w:gridCol w:w="859"/>
      </w:tblGrid>
      <w:tr>
        <w:trPr>
          <w:cantSplit/>
          <w:tblHeader/>
        </w:trPr>
        <w:tc>
          <w:tcPr>
            <w:tcW w:type="dxa" w:w="2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value with an effective date; rows are never deleted: a correction inserts a new row and the old one becomes SUPERSEDED (FR-CAT-016, BR-CAT-012/013)</w:t>
            </w:r>
          </w:p>
        </w:tc>
        <w:tc>
          <w:tcPr>
            <w:tcW w:type="dxa" w:w="2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BaseRateValueId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Tenant-owned lookup list (FR-CAT-020, BR-CAT-015)</w:t>
            </w:r>
          </w:p>
        </w:tc>
        <w:tc>
          <w:tcPr>
            <w:tcW w:type="dxa" w:w="2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LookupListId</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Item in a tenant-owned lookup list (FR-CAT-020)</w:t>
            </w:r>
          </w:p>
        </w:tc>
        <w:tc>
          <w:tcPr>
            <w:tcW w:type="dxa" w:w="2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LookupItemId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3"/>
        <w:gridCol w:w="1857"/>
        <w:gridCol w:w="908"/>
        <w:gridCol w:w="908"/>
        <w:gridCol w:w="908"/>
        <w:gridCol w:w="908"/>
        <w:gridCol w:w="1092"/>
      </w:tblGrid>
      <w:tr>
        <w:trPr>
          <w:cantSplit/>
          <w:tblHeader/>
        </w:trPr>
        <w:tc>
          <w:tcPr>
            <w:tcW w:type="dxa" w:w="32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‎cat.BaseRateValue.BaseRateId‎</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‎cat.BaseRateValue.SupersedesId‎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w:t>
            </w:r>
          </w:p>
        </w:tc>
      </w:tr>
      <w:tr>
        <w:trPr>
          <w:cantSplit/>
        </w:trPr>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‎cat.BaseRateValue.EnteredBy‎</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‎cat.LookupItem.LookupListId‎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7" w:id="67"/>
      <w:r>
        <w:rPr>
          <w:rFonts w:ascii="Arial" w:cs="Arial" w:eastAsia="Arial" w:hAnsi="Arial"/>
          <w:b/>
          <w:bCs/>
          <w:color w:val="2B5C8A"/>
          <w:sz w:val="23"/>
          <w:szCs w:val="23"/>
          <w:rtl/>
        </w:rPr>
        <w:t xml:space="preserve">م4 · المراجع العامة (ref)</w:t>
      </w:r>
      <w:bookmarkEnd w:id="67"/>
    </w:p>
    <w:p>
      <w:pPr>
        <w:bidi/>
        <w:spacing w:after="110" w:before="0" w:line="312"/>
      </w:pPr>
      <w:r>
        <w:rPr>
          <w:rFonts w:ascii="Arial" w:cs="Arial" w:eastAsia="Arial" w:hAnsi="Arial"/>
          <w:b w:val="false"/>
          <w:bCs w:val="false"/>
          <w:i/>
          <w:iCs/>
          <w:sz w:val="21"/>
          <w:szCs w:val="21"/>
          <w:rtl/>
        </w:rPr>
        <w:t xml:space="preserve">Global references (shared, read-only)</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28625"/>
            <wp:effectExtent t="0" r="0" b="0" l="0"/>
            <wp:docPr id="1" name="diagrams/erd/m4_global_ref.png" descr="م4 · المراجع العامة (ref)" title="م4 · المراجع العامة (r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4286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المراجع العامة (ref)</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52"/>
        <w:gridCol w:w="2356"/>
        <w:gridCol w:w="1844"/>
        <w:gridCol w:w="878"/>
        <w:gridCol w:w="878"/>
        <w:gridCol w:w="878"/>
        <w:gridCol w:w="878"/>
      </w:tblGrid>
      <w:tr>
        <w:trPr>
          <w:cantSplit/>
          <w:tblHeader/>
        </w:trPr>
        <w:tc>
          <w:tcPr>
            <w:tcW w:type="dxa" w:w="2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2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global reference, read-only, managed by the platform operator (FR-CAT-026, BR-CAT-018, BR-CAT-015)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CountryId</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2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 global ISO 4217 reference, read-only (FR-CAT-021, Q-CAT-08)</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2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delivery term: global reference, read-only, managed by the operator; legacy terms are displayed, not selectable (FR-LCT-013, FR-CAT-021, BR-CAT-015)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IncotermId</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2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600 reference article: NULL TenantId = global read-only row, published only by the platform operator (FR-LCT-006, BR-LCT-018, BR-PLT-001)</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UcpArticleId</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3"/>
        <w:gridCol w:w="2436"/>
        <w:gridCol w:w="905"/>
        <w:gridCol w:w="905"/>
        <w:gridCol w:w="905"/>
        <w:gridCol w:w="905"/>
        <w:gridCol w:w="905"/>
      </w:tblGrid>
      <w:tr>
        <w:trPr>
          <w:cantSplit/>
          <w:tblHeader/>
        </w:trPr>
        <w:tc>
          <w:tcPr>
            <w:tcW w:type="dxa" w:w="2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‎ref.UcpArticle.VerifiedBy‎</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68" w:id="68"/>
      <w:r>
        <w:rPr>
          <w:rFonts w:ascii="Arial" w:cs="Arial" w:eastAsia="Arial" w:hAnsi="Arial"/>
          <w:b/>
          <w:bCs/>
          <w:color w:val="2B5C8A"/>
          <w:sz w:val="26"/>
          <w:szCs w:val="26"/>
          <w:rtl/>
        </w:rPr>
        <w:t xml:space="preserve">10.7 م5 · التسهيلات والتسعير والضمانات والالتزامات والبيانات المالية</w:t>
      </w:r>
      <w:bookmarkEnd w:id="68"/>
    </w:p>
    <w:p>
      <w:pPr>
        <w:pStyle w:val="Heading3"/>
        <w:bidi/>
      </w:pPr>
      <w:bookmarkStart w:name="_sec69" w:id="69"/>
      <w:r>
        <w:rPr>
          <w:rFonts w:ascii="Arial" w:cs="Arial" w:eastAsia="Arial" w:hAnsi="Arial"/>
          <w:b/>
          <w:bCs/>
          <w:color w:val="2B5C8A"/>
          <w:sz w:val="23"/>
          <w:szCs w:val="23"/>
          <w:rtl/>
        </w:rPr>
        <w:t xml:space="preserve">م5 · التسهيلات والمراجعات (1/2)</w:t>
      </w:r>
      <w:bookmarkEnd w:id="69"/>
    </w:p>
    <w:p>
      <w:pPr>
        <w:bidi/>
        <w:spacing w:after="110" w:before="0" w:line="312"/>
      </w:pPr>
      <w:r>
        <w:rPr>
          <w:rFonts w:ascii="Arial" w:cs="Arial" w:eastAsia="Arial" w:hAnsi="Arial"/>
          <w:b w:val="false"/>
          <w:bCs w:val="false"/>
          <w:i/>
          <w:iCs/>
          <w:sz w:val="21"/>
          <w:szCs w:val="21"/>
          <w:rtl/>
        </w:rPr>
        <w:t xml:space="preserve">Facilities &amp; revisions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248025"/>
            <wp:effectExtent t="0" r="0" b="0" l="0"/>
            <wp:docPr id="1" name="diagrams/erd/m5_facility_core_1.png" descr="م5 · التسهيلات والمراجعات (1/2)" title="م5 · التسهيلات والمراجع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32480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التسهيلات والمراجعات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1"/>
        <w:gridCol w:w="3225"/>
        <w:gridCol w:w="1612"/>
        <w:gridCol w:w="809"/>
        <w:gridCol w:w="809"/>
        <w:gridCol w:w="809"/>
        <w:gridCol w:w="809"/>
      </w:tblGrid>
      <w:tr>
        <w:trPr>
          <w:cantSplit/>
          <w:tblHeader/>
        </w:trPr>
        <w:tc>
          <w:tcPr>
            <w:tcW w:type="dxa" w:w="1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2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6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3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agreement package: root of the aggregate (FR-FAC-001..008, BR-FAC-001/005/006)</w:t>
            </w:r>
          </w:p>
        </w:tc>
        <w:tc>
          <w:tcPr>
            <w:tcW w:type="dxa" w:w="1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w:t>
            </w:r>
          </w:p>
        </w:tc>
        <w:tc>
          <w:tcPr>
            <w:tcW w:type="dxa" w:w="3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Preparer and approver revision of facility terms (FR-FAC-024, BR-FAC-003/004, section 8)</w:t>
            </w:r>
          </w:p>
        </w:tc>
        <w:tc>
          <w:tcPr>
            <w:tcW w:type="dxa" w:w="1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FacilityRevisionId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3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within the package, with precedence (FR-FAC-004, BR-FAC-008, V-FAC-03); its type comes from doc.Document.DocumentTypeId</w:t>
            </w:r>
          </w:p>
        </w:tc>
        <w:tc>
          <w:tcPr>
            <w:tcW w:type="dxa" w:w="1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FacilityDocumentId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w:t>
            </w:r>
          </w:p>
        </w:tc>
        <w:tc>
          <w:tcPr>
            <w:tcW w:type="dxa" w:w="3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Lender and its share (FR-FAC-003, BR-FAC-007, V-FAC-02); shares total 100 and a single agent: checked by the application for every revision, and by trigger fac.TR_FacilityLender_ApprovedShares (db/static/050) for approved revisions</w:t>
            </w:r>
          </w:p>
        </w:tc>
        <w:tc>
          <w:tcPr>
            <w:tcW w:type="dxa" w:w="1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FacilityLenderId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11"/>
        <w:gridCol w:w="1647"/>
        <w:gridCol w:w="859"/>
        <w:gridCol w:w="859"/>
        <w:gridCol w:w="859"/>
        <w:gridCol w:w="859"/>
        <w:gridCol w:w="1070"/>
      </w:tblGrid>
      <w:tr>
        <w:trPr>
          <w:cantSplit/>
          <w:tblHeader/>
        </w:trPr>
        <w:tc>
          <w:tcPr>
            <w:tcW w:type="dxa" w:w="3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‎fac.Facility.BorrowerCompanyId‎</w:t>
            </w:r>
          </w:p>
        </w:tc>
        <w:tc>
          <w:tcPr>
            <w:tcW w:type="dxa" w:w="1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‎fac.Facility.FacilityTypeId‎</w:t>
            </w:r>
          </w:p>
        </w:tc>
        <w:tc>
          <w:tcPr>
            <w:tcW w:type="dxa" w:w="1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‎cat.FacilityType‎</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‎fac.Facility.CurrencyId‎</w:t>
            </w:r>
          </w:p>
        </w:tc>
        <w:tc>
          <w:tcPr>
            <w:tcW w:type="dxa" w:w="1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‎fac.Facility.PreviousFacilityId‎</w:t>
            </w:r>
          </w:p>
        </w:tc>
        <w:tc>
          <w:tcPr>
            <w:tcW w:type="dxa" w:w="1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‎fac.FacilityRevision.FacilityId‎</w:t>
            </w:r>
          </w:p>
        </w:tc>
        <w:tc>
          <w:tcPr>
            <w:tcW w:type="dxa" w:w="1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‎fac.FacilityRevision.SubmittedBy‎</w:t>
            </w:r>
          </w:p>
        </w:tc>
        <w:tc>
          <w:tcPr>
            <w:tcW w:type="dxa" w:w="1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‎fac.FacilityRevision.ApprovedBy‎</w:t>
            </w:r>
          </w:p>
        </w:tc>
        <w:tc>
          <w:tcPr>
            <w:tcW w:type="dxa" w:w="1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‎fac.FacilityDocument.FacilityId‎</w:t>
            </w:r>
          </w:p>
        </w:tc>
        <w:tc>
          <w:tcPr>
            <w:tcW w:type="dxa" w:w="1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‎fac.FacilityDocument.DocumentId‎</w:t>
            </w:r>
          </w:p>
        </w:tc>
        <w:tc>
          <w:tcPr>
            <w:tcW w:type="dxa" w:w="1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‎fac.FacilityDocument.AmendsFacilityDocumentId‎</w:t>
            </w:r>
          </w:p>
        </w:tc>
        <w:tc>
          <w:tcPr>
            <w:tcW w:type="dxa" w:w="1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‎fac.FacilityDocument.SupersedesId‎</w:t>
            </w:r>
          </w:p>
        </w:tc>
        <w:tc>
          <w:tcPr>
            <w:tcW w:type="dxa" w:w="1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‎fac.FacilityLender.FacilityId‎</w:t>
            </w:r>
          </w:p>
        </w:tc>
        <w:tc>
          <w:tcPr>
            <w:tcW w:type="dxa" w:w="1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‎fac.FacilityLender.InstitutionId‎</w:t>
            </w:r>
          </w:p>
        </w:tc>
        <w:tc>
          <w:tcPr>
            <w:tcW w:type="dxa" w:w="1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‎fac.FacilityLender.ContactId‎</w:t>
            </w:r>
          </w:p>
        </w:tc>
        <w:tc>
          <w:tcPr>
            <w:tcW w:type="dxa" w:w="1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‎fac.FacilityLender.SupersedesId‎</w:t>
            </w:r>
          </w:p>
        </w:tc>
        <w:tc>
          <w:tcPr>
            <w:tcW w:type="dxa" w:w="1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0" w:id="70"/>
      <w:r>
        <w:rPr>
          <w:rFonts w:ascii="Arial" w:cs="Arial" w:eastAsia="Arial" w:hAnsi="Arial"/>
          <w:b/>
          <w:bCs/>
          <w:color w:val="2B5C8A"/>
          <w:sz w:val="23"/>
          <w:szCs w:val="23"/>
          <w:rtl/>
        </w:rPr>
        <w:t xml:space="preserve">م5 · التسهيلات والمراجعات (2/2)</w:t>
      </w:r>
      <w:bookmarkEnd w:id="70"/>
    </w:p>
    <w:p>
      <w:pPr>
        <w:bidi/>
        <w:spacing w:after="110" w:before="0" w:line="312"/>
      </w:pPr>
      <w:r>
        <w:rPr>
          <w:rFonts w:ascii="Arial" w:cs="Arial" w:eastAsia="Arial" w:hAnsi="Arial"/>
          <w:b w:val="false"/>
          <w:bCs w:val="false"/>
          <w:i/>
          <w:iCs/>
          <w:sz w:val="21"/>
          <w:szCs w:val="21"/>
          <w:rtl/>
        </w:rPr>
        <w:t xml:space="preserve">Facilities &amp; revisions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1943100"/>
            <wp:effectExtent t="0" r="0" b="0" l="0"/>
            <wp:docPr id="1" name="diagrams/erd/m5_facility_core_2.png" descr="م5 · التسهيلات والمراجعات (2/2)" title="م5 · التسهيلات والمراجع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1943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التسهيلات والمراجعات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7"/>
        <w:gridCol w:w="1417"/>
        <w:gridCol w:w="2432"/>
        <w:gridCol w:w="837"/>
        <w:gridCol w:w="837"/>
        <w:gridCol w:w="837"/>
        <w:gridCol w:w="837"/>
      </w:tblGrid>
      <w:tr>
        <w:trPr>
          <w:cantSplit/>
          <w:tblHeader/>
        </w:trPr>
        <w:tc>
          <w:tcPr>
            <w:tcW w:type="dxa" w:w="2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Snapshot of the recognised outstanding balance (FR-FAC-009, BR-FAC-017); PctOfLimit is derived and not stored</w:t>
            </w:r>
          </w:p>
        </w:tc>
        <w:tc>
          <w:tcPr>
            <w:tcW w:type="dxa" w:w="2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OutstandingSnapshotId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Conflict between two values of one field, and its resolution (FR-FAC-026, BR-FAC-019, BR-FAC-008)</w:t>
            </w:r>
          </w:p>
        </w:tc>
        <w:tc>
          <w:tcPr>
            <w:tcW w:type="dxa" w:w="2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ValueConflictId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50"/>
        <w:gridCol w:w="1525"/>
        <w:gridCol w:w="873"/>
        <w:gridCol w:w="873"/>
        <w:gridCol w:w="873"/>
        <w:gridCol w:w="873"/>
        <w:gridCol w:w="897"/>
      </w:tblGrid>
      <w:tr>
        <w:trPr>
          <w:cantSplit/>
          <w:tblHeader/>
        </w:trPr>
        <w:tc>
          <w:tcPr>
            <w:tcW w:type="dxa" w:w="3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‎fac.OutstandingSnapshot.FacilityId‎</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‎fac.OutstandingSnapshot.LimitId‎</w:t>
            </w:r>
          </w:p>
        </w:tc>
        <w:tc>
          <w:tcPr>
            <w:tcW w:type="dxa" w:w="1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‎fac.OutstandingSnapshot.ProductId‎</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‎fac.OutstandingSnapshot.CurrencyId‎</w:t>
            </w:r>
          </w:p>
        </w:tc>
        <w:tc>
          <w:tcPr>
            <w:tcW w:type="dxa" w:w="1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‎fac.OutstandingSnapshot.SourceDocumentId‎</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‎fac.OutstandingSnapshot.VerifiedBy‎</w:t>
            </w:r>
          </w:p>
        </w:tc>
        <w:tc>
          <w:tcPr>
            <w:tcW w:type="dxa" w:w="1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‎fac.OutstandingSnapshot.ConflictId‎</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‎fac.ValueConflict.FacilityId‎</w:t>
            </w:r>
          </w:p>
        </w:tc>
        <w:tc>
          <w:tcPr>
            <w:tcW w:type="dxa" w:w="1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‎fac.ValueConflict.CandidateASourceDocumentId‎</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‎fac.ValueConflict.CandidateBSourceDocumentId‎</w:t>
            </w:r>
          </w:p>
        </w:tc>
        <w:tc>
          <w:tcPr>
            <w:tcW w:type="dxa" w:w="1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‎fac.ValueConflict.ResolvedBy‎</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1" w:id="71"/>
      <w:r>
        <w:rPr>
          <w:rFonts w:ascii="Arial" w:cs="Arial" w:eastAsia="Arial" w:hAnsi="Arial"/>
          <w:b/>
          <w:bCs/>
          <w:color w:val="2B5C8A"/>
          <w:sz w:val="23"/>
          <w:szCs w:val="23"/>
          <w:rtl/>
        </w:rPr>
        <w:t xml:space="preserve">م5 · الحدود والاستخدام والحجوزات (1/2)</w:t>
      </w:r>
      <w:bookmarkEnd w:id="71"/>
    </w:p>
    <w:p>
      <w:pPr>
        <w:bidi/>
        <w:spacing w:after="110" w:before="0" w:line="312"/>
      </w:pPr>
      <w:r>
        <w:rPr>
          <w:rFonts w:ascii="Arial" w:cs="Arial" w:eastAsia="Arial" w:hAnsi="Arial"/>
          <w:b w:val="false"/>
          <w:bCs w:val="false"/>
          <w:i/>
          <w:iCs/>
          <w:sz w:val="21"/>
          <w:szCs w:val="21"/>
          <w:rtl/>
        </w:rPr>
        <w:t xml:space="preserve">Limits, utilisation &amp; reservations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705350"/>
            <wp:effectExtent t="0" r="0" b="0" l="0"/>
            <wp:docPr id="1" name="diagrams/erd/m5_limits_1.png" descr="م5 · الحدود والاستخدام والحجوزات (1/2)" title="م5 · الحدود والاستخدام والحجوز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47053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الحدود والاستخدام والحجوزات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1924"/>
        <w:gridCol w:w="2164"/>
        <w:gridCol w:w="842"/>
        <w:gridCol w:w="842"/>
        <w:gridCol w:w="842"/>
        <w:gridCol w:w="842"/>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Limit-tree node (FR-FAC-010/011, BR-FAC-009/010, V-FAC-04..07)</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line within a limit, with an optional SHARED_CAP ceiling (FR-FAC-012, V-FAC-08)</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LimitProductLineId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rule on a limit: allowed, excluded or allocated (FR-FAC-013, BR-FAC-012, V-FAC-09)</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LimitCompanyRuleId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Operational terms of a product line with effective dates; NULL means 'not specified', not zero (FR-FAC-014, BR-FAC-016)</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ProductLineTermId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1866"/>
        <w:gridCol w:w="879"/>
        <w:gridCol w:w="879"/>
        <w:gridCol w:w="879"/>
        <w:gridCol w:w="879"/>
        <w:gridCol w:w="933"/>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‎fac.Limit.FacilityId‎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‎fac.Limit.ParentLimitId‎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‎fac.Limit.LimitTypeId‎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‎fac.Limit.SupersedesId‎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‎fac.Limit.SourceDocumentId‎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‎fac.Limit.VerifiedBy‎</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‎fac.Limit.ConflictId‎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‎fac.LimitProductLine.FacilityId‎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‎fac.LimitProductLine.LimitId‎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‎fac.LimitProductLine.ProductId‎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‎fac.LimitProductLine.SupersedesId‎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‎fac.LimitProductLine.SourceDocumentId‎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‎fac.LimitProductLine.VerifiedBy‎</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‎fac.LimitProductLine.ConflictId‎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‎fac.LimitCompanyRule.FacilityId‎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‎fac.LimitCompanyRule.LimitId‎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‎fac.LimitCompanyRule.CompanyId‎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‎fac.LimitCompanyRule.SupersedesId‎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‎fac.LimitCompanyRule.SourceDocumentId‎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‎fac.LimitCompanyRule.VerifiedBy‎</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‎fac.LimitCompanyRule.ConflictId‎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‎fac.ProductLineTerm.FacilityId‎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‎fac.ProductLineTerm.LimitProductLineId‎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‎fac.ProductLineTerm.SupersedesId‎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‎fac.ProductLineTerm.SourceDocumentId‎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‎fac.ProductLineTerm.VerifiedBy‎</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‎fac.ProductLineTerm.ConflictId‎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2" w:id="72"/>
      <w:r>
        <w:rPr>
          <w:rFonts w:ascii="Arial" w:cs="Arial" w:eastAsia="Arial" w:hAnsi="Arial"/>
          <w:b/>
          <w:bCs/>
          <w:color w:val="2B5C8A"/>
          <w:sz w:val="23"/>
          <w:szCs w:val="23"/>
          <w:rtl/>
        </w:rPr>
        <w:t xml:space="preserve">م5 · الحدود والاستخدام والحجوزات (2/2)</w:t>
      </w:r>
      <w:bookmarkEnd w:id="72"/>
    </w:p>
    <w:p>
      <w:pPr>
        <w:bidi/>
        <w:spacing w:after="110" w:before="0" w:line="312"/>
      </w:pPr>
      <w:r>
        <w:rPr>
          <w:rFonts w:ascii="Arial" w:cs="Arial" w:eastAsia="Arial" w:hAnsi="Arial"/>
          <w:b w:val="false"/>
          <w:bCs w:val="false"/>
          <w:i/>
          <w:iCs/>
          <w:sz w:val="21"/>
          <w:szCs w:val="21"/>
          <w:rtl/>
        </w:rPr>
        <w:t xml:space="preserve">Limits, utilisation &amp; reservations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3781425" cy="8191500"/>
            <wp:effectExtent t="0" r="0" b="0" l="0"/>
            <wp:docPr id="1" name="diagrams/erd/m5_limits_2.png" descr="م5 · الحدود والاستخدام والحجوزات (2/2)" title="م5 · الحدود والاستخدام والحجوز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7814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الحدود والاستخدام والحجوزات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3"/>
        <w:gridCol w:w="2250"/>
        <w:gridCol w:w="2025"/>
        <w:gridCol w:w="834"/>
        <w:gridCol w:w="834"/>
        <w:gridCol w:w="834"/>
        <w:gridCol w:w="834"/>
      </w:tblGrid>
      <w:tr>
        <w:trPr>
          <w:cantSplit/>
          <w:tblHeader/>
        </w:trPr>
        <w:tc>
          <w:tcPr>
            <w:tcW w:type="dxa" w:w="2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utilisation item: manual or linked to a letter of credit; never deleted (FR-FAC-016/030, BR-FAC-013/020)</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Amount reserved for a request, equal to ExposureAmount (FR-FAC-017/018/020, BR-FAC-015)</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Movement record on a reservation or usage; no update or delete; duplicate-prevention key (BR-FAC-015, BR-FAC-020)</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LimitMovementId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18"/>
        <w:gridCol w:w="1728"/>
        <w:gridCol w:w="867"/>
        <w:gridCol w:w="867"/>
        <w:gridCol w:w="867"/>
        <w:gridCol w:w="867"/>
        <w:gridCol w:w="950"/>
      </w:tblGrid>
      <w:tr>
        <w:trPr>
          <w:cantSplit/>
          <w:tblHeader/>
        </w:trPr>
        <w:tc>
          <w:tcPr>
            <w:tcW w:type="dxa" w:w="37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‎fac.Utilization.FacilityId‎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‎fac.Utilization.LimitId‎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‎fac.Utilization.LimitProductLineId‎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‎fac.Utilization.CompanyId‎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‎fac.Utilization.CurrencyId‎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‎fac.Utilization.SourceRequestId‎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‎fac.LimitReservation.FacilityId‎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‎fac.LimitReservation.LimitId‎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‎fac.LimitReservation.LimitProductLineId‎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‎fac.LimitReservation.CompanyId‎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‎fac.LimitReservation.RequestId‎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‎fac.LimitReservation.CurrencyId‎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‎fac.LimitReservation.ConvertedUtilizationId‎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‎fac.LimitMovement.FacilityId‎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‎fac.LimitMovement.LimitReservationId‎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‎fac.LimitMovement.UtilizationId‎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‎fac.LimitMovement.CurrencyId‎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‎fac.LimitMovement.ActorUserId‎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م5 · التسعير وشروط المقارنة (1/2)</w:t>
      </w:r>
      <w:bookmarkEnd w:id="73"/>
    </w:p>
    <w:p>
      <w:pPr>
        <w:bidi/>
        <w:spacing w:after="110" w:before="0" w:line="312"/>
      </w:pPr>
      <w:r>
        <w:rPr>
          <w:rFonts w:ascii="Arial" w:cs="Arial" w:eastAsia="Arial" w:hAnsi="Arial"/>
          <w:b w:val="false"/>
          <w:bCs w:val="false"/>
          <w:i/>
          <w:iCs/>
          <w:sz w:val="21"/>
          <w:szCs w:val="21"/>
          <w:rtl/>
        </w:rPr>
        <w:t xml:space="preserve">Pricing, tariffs &amp; comparable terms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2181225" cy="8191500"/>
            <wp:effectExtent t="0" r="0" b="0" l="0"/>
            <wp:docPr id="1" name="diagrams/erd/m5_pricing_1.png" descr="م5 · التسعير وشروط المقارنة (1/2)" title="م5 · التسعير وشروط المقارن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21812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التسعير وشروط المقارنة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 rule with scope, inheritance and methods (FR-PRC-006..017, BR-PRC-006..012, V-PRC-02)</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PricingRuleId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Tier of a TIERED rule by amount and/or term (FR-PRC-003, BR-PRC-002)</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PricingTierId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item in a tariff schedule (FR-PRC-002, BR-PRC-002..005)</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TariffItemId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tariff schedule version; optionally specific to a facility (FR-PRC-001, BR-PRC-001, V-PRC-01)</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TariffScheduleId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2"/>
        <w:gridCol w:w="1794"/>
        <w:gridCol w:w="873"/>
        <w:gridCol w:w="873"/>
        <w:gridCol w:w="873"/>
        <w:gridCol w:w="873"/>
        <w:gridCol w:w="1076"/>
      </w:tblGrid>
      <w:tr>
        <w:trPr>
          <w:cantSplit/>
          <w:tblHeader/>
        </w:trPr>
        <w:tc>
          <w:tcPr>
            <w:tcW w:type="dxa" w:w="3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‎prc.PricingRule.FacilityId‎</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‎prc.PricingRule.ScopeLimitProductLineId‎</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ScopeLimitId</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‎prc.PricingRule.ScopeProductId‎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‎prc.PricingRule.ScopeCompanyId‎</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‎prc.PricingRule.FeeTypeId‎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‎prc.PricingRule.FinancingTypeId‎</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‎prc.PricingRule.TariffItemId‎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‎prc.PricingRule.BaseRateId‎</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‎prc.PricingRule.CurrencyId‎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‎prc.PricingRule.SupersedesId‎</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‎prc.PricingRule.SourceDocumentId‎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‎prc.PricingRule.VerifiedBy‎</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‎prc.PricingRule.ConflictId‎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‎prc.PricingTier.FacilityId‎</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‎prc.PricingTier.PricingRuleId‎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‎prc.PricingTier.SupersedesId‎</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‎prc.TariffItem.ScheduleId‎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‎prc.TariffItem.FeeTypeId‎</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‎prc.TariffItem.ProductId‎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‎prc.TariffItem.CurrencyId‎</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‎prc.TariffItem.SourceDocumentId‎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‎prc.TariffItem.VerifiedBy‎</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‎prc.TariffItem.ConflictId‎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‎prc.TariffSchedule.InstitutionId‎</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‎prc.TariffSchedule.FacilityId‎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‎prc.TariffSchedule.SourceDocumentId‎</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‎prc.TariffSchedule.ApprovedBy‎</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4" w:id="74"/>
      <w:r>
        <w:rPr>
          <w:rFonts w:ascii="Arial" w:cs="Arial" w:eastAsia="Arial" w:hAnsi="Arial"/>
          <w:b/>
          <w:bCs/>
          <w:color w:val="2B5C8A"/>
          <w:sz w:val="23"/>
          <w:szCs w:val="23"/>
          <w:rtl/>
        </w:rPr>
        <w:t xml:space="preserve">م5 · التسعير وشروط المقارنة (2/2)</w:t>
      </w:r>
      <w:bookmarkEnd w:id="74"/>
    </w:p>
    <w:p>
      <w:pPr>
        <w:bidi/>
        <w:spacing w:after="110" w:before="0" w:line="312"/>
      </w:pPr>
      <w:r>
        <w:rPr>
          <w:rFonts w:ascii="Arial" w:cs="Arial" w:eastAsia="Arial" w:hAnsi="Arial"/>
          <w:b w:val="false"/>
          <w:bCs w:val="false"/>
          <w:i/>
          <w:iCs/>
          <w:sz w:val="21"/>
          <w:szCs w:val="21"/>
          <w:rtl/>
        </w:rPr>
        <w:t xml:space="preserve">Pricing, tariffs &amp; comparable terms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5295900"/>
            <wp:effectExtent t="0" r="0" b="0" l="0"/>
            <wp:docPr id="1" name="diagrams/erd/m5_pricing_2.png" descr="م5 · التسعير وشروط المقارنة (2/2)" title="م5 · التسعير وشروط المقارن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52959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التسعير وشروط المقارنة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4"/>
        <w:gridCol w:w="2524"/>
        <w:gridCol w:w="1778"/>
        <w:gridCol w:w="872"/>
        <w:gridCol w:w="872"/>
        <w:gridCol w:w="872"/>
        <w:gridCol w:w="872"/>
      </w:tblGrid>
      <w:tr>
        <w:trPr>
          <w:cantSplit/>
          <w:tblHeader/>
        </w:trPr>
        <w:tc>
          <w:tcPr>
            <w:tcW w:type="dxa" w:w="2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‎prc.TariffTier‎</w:t>
            </w:r>
          </w:p>
        </w:tc>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Tier of a tariff item by amount and/or term (FR-PRC-003, BR-PRC-002)</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TariffTierId</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w:t>
            </w:r>
          </w:p>
        </w:tc>
        <w:tc>
          <w:tcPr>
            <w:tcW w:type="dxa" w:w="2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Comparable term key (FR-CMP-001); the code follows the pattern PRC.MARGIN_PCT; system terms cannot be deleted and their unit cannot change (IsSystem)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TermTypeId</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w:t>
            </w:r>
          </w:p>
        </w:tc>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 value in a facility, with its scope and source (FR-CMP-002..006, BR-CMP-001..006, V-CMP-01)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TermValueId</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02"/>
        <w:gridCol w:w="1999"/>
        <w:gridCol w:w="891"/>
        <w:gridCol w:w="891"/>
        <w:gridCol w:w="891"/>
        <w:gridCol w:w="891"/>
        <w:gridCol w:w="1099"/>
      </w:tblGrid>
      <w:tr>
        <w:trPr>
          <w:cantSplit/>
          <w:tblHeader/>
        </w:trPr>
        <w:tc>
          <w:tcPr>
            <w:tcW w:type="dxa" w:w="3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‎prc.TariffTier.TariffItemId‎</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‎cmp.TermValue.FacilityId‎</w:t>
            </w:r>
          </w:p>
        </w:tc>
        <w:tc>
          <w:tcPr>
            <w:tcW w:type="dxa" w:w="1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‎cmp.TermValue.TermTypeId‎</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‎cmp.TermValue.LimitId‎</w:t>
            </w:r>
          </w:p>
        </w:tc>
        <w:tc>
          <w:tcPr>
            <w:tcW w:type="dxa" w:w="1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‎cmp.TermValue.LimitProductLineId‎</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‎cmp.TermValue.ProductId‎</w:t>
            </w:r>
          </w:p>
        </w:tc>
        <w:tc>
          <w:tcPr>
            <w:tcW w:type="dxa" w:w="1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‎cmp.TermValue.CompanyId‎</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‎cmp.TermValue.CurrencyId‎</w:t>
            </w:r>
          </w:p>
        </w:tc>
        <w:tc>
          <w:tcPr>
            <w:tcW w:type="dxa" w:w="1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‎cmp.TermValue.SupersedesId‎</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‎cmp.TermValue.SourceDocumentId‎</w:t>
            </w:r>
          </w:p>
        </w:tc>
        <w:tc>
          <w:tcPr>
            <w:tcW w:type="dxa" w:w="1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‎cmp.TermValue.VerifiedBy‎</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‎cmp.TermValue.ConflictId‎</w:t>
            </w:r>
          </w:p>
        </w:tc>
        <w:tc>
          <w:tcPr>
            <w:tcW w:type="dxa" w:w="1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5" w:id="75"/>
      <w:r>
        <w:rPr>
          <w:rFonts w:ascii="Arial" w:cs="Arial" w:eastAsia="Arial" w:hAnsi="Arial"/>
          <w:b/>
          <w:bCs/>
          <w:color w:val="2B5C8A"/>
          <w:sz w:val="23"/>
          <w:szCs w:val="23"/>
          <w:rtl/>
        </w:rPr>
        <w:t xml:space="preserve">م5 · الضمانات (1/2)</w:t>
      </w:r>
      <w:bookmarkEnd w:id="75"/>
    </w:p>
    <w:p>
      <w:pPr>
        <w:bidi/>
        <w:spacing w:after="110" w:before="0" w:line="312"/>
      </w:pPr>
      <w:r>
        <w:rPr>
          <w:rFonts w:ascii="Arial" w:cs="Arial" w:eastAsia="Arial" w:hAnsi="Arial"/>
          <w:b w:val="false"/>
          <w:bCs w:val="false"/>
          <w:i/>
          <w:iCs/>
          <w:sz w:val="21"/>
          <w:szCs w:val="21"/>
          <w:rtl/>
        </w:rPr>
        <w:t xml:space="preserve">Collateral &amp; guarantees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62275"/>
            <wp:effectExtent t="0" r="0" b="0" l="0"/>
            <wp:docPr id="1" name="diagrams/erd/m5_collateral_1.png" descr="م5 · الضمانات (1/2)" title="م5 · الضمان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29622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الضمانات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9"/>
        <w:gridCol w:w="1470"/>
        <w:gridCol w:w="2481"/>
        <w:gridCol w:w="811"/>
        <w:gridCol w:w="811"/>
        <w:gridCol w:w="811"/>
        <w:gridCol w:w="811"/>
      </w:tblGrid>
      <w:tr>
        <w:trPr>
          <w:cantSplit/>
          <w:tblHeader/>
        </w:trPr>
        <w:tc>
          <w:tcPr>
            <w:tcW w:type="dxa" w:w="2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14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record; approved independently of the facility review, and an amendment creates a new revision (FR-COL-001/014, V-COL-01, section 8)</w:t>
            </w:r>
          </w:p>
        </w:tc>
        <w:tc>
          <w:tcPr>
            <w:tcW w:type="dxa" w:w="2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w:t>
            </w:r>
          </w:p>
        </w:tc>
        <w:tc>
          <w:tcPr>
            <w:tcW w:type="dxa" w:w="14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 between collateral and a facility or limit; one collateral can serve several facilities (FR-COL-002, BR-COL-005)</w:t>
            </w:r>
          </w:p>
        </w:tc>
        <w:tc>
          <w:tcPr>
            <w:tcW w:type="dxa" w:w="2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CollateralLinkId</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w:t>
            </w:r>
          </w:p>
        </w:tc>
        <w:tc>
          <w:tcPr>
            <w:tcW w:type="dxa" w:w="14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 1:1 with Collateral; the guarantor is always a Party, and no identity numbers are stored here (FR-COL-003/004, BR-COL-001)</w:t>
            </w:r>
          </w:p>
        </w:tc>
        <w:tc>
          <w:tcPr>
            <w:tcW w:type="dxa" w:w="2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GuaranteeId</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w:t>
            </w:r>
          </w:p>
        </w:tc>
        <w:tc>
          <w:tcPr>
            <w:tcW w:type="dxa" w:w="14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Insurance policy assignment; the uniqueness key (CollateralId, PolicyNo) allows the policy to be renewed (FR-COL-006, BR-COL-003)</w:t>
            </w:r>
          </w:p>
        </w:tc>
        <w:tc>
          <w:tcPr>
            <w:tcW w:type="dxa" w:w="2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InsurancePolicyAssignmentId</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67"/>
        <w:gridCol w:w="1458"/>
        <w:gridCol w:w="843"/>
        <w:gridCol w:w="843"/>
        <w:gridCol w:w="843"/>
        <w:gridCol w:w="843"/>
        <w:gridCol w:w="1167"/>
      </w:tblGrid>
      <w:tr>
        <w:trPr>
          <w:cantSplit/>
          <w:tblHeader/>
        </w:trPr>
        <w:tc>
          <w:tcPr>
            <w:tcW w:type="dxa" w:w="3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‎col.Collateral.CollateralTypeId‎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‎col.Collateral.OwnerPartyId‎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‎col.Collateral.CashMarginAccountId‎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‎col.Collateral.ApprovedBy‎</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‎col.Collateral.SupersedesId‎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‎col.Collateral.ReleaseDocumentId‎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‎col.Collateral.SourceDocumentId‎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‎col.Collateral.VerifiedBy‎</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‎col.Collateral.ConflictId‎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‎col.CollateralLink.CollateralId‎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‎col.CollateralLink.FacilityId‎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‎col.CollateralLink.LimitId‎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‎col.CollateralLink.SupersedesId‎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‎col.Guarantee.CollateralId‎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‎col.Guarantee.GuarantorPartyId‎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‎col.Guarantee.GuarantorIdentityDocumentId‎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GuarantorPartyId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‎col.Guarantee.CurrencyId‎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‎col.Guarantee.DeedDocumentId‎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‎col.InsurancePolicyAssignment.CollateralId‎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‎col.InsurancePolicyAssignment.AssignedToInstitutionId‎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‎col.InsurancePolicyAssignment.CurrencyId‎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‎col.InsurancePolicyAssignment.PolicyDocumentId‎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6" w:id="76"/>
      <w:r>
        <w:rPr>
          <w:rFonts w:ascii="Arial" w:cs="Arial" w:eastAsia="Arial" w:hAnsi="Arial"/>
          <w:b/>
          <w:bCs/>
          <w:color w:val="2B5C8A"/>
          <w:sz w:val="23"/>
          <w:szCs w:val="23"/>
          <w:rtl/>
        </w:rPr>
        <w:t xml:space="preserve">م5 · الضمانات (2/2)</w:t>
      </w:r>
      <w:bookmarkEnd w:id="76"/>
    </w:p>
    <w:p>
      <w:pPr>
        <w:bidi/>
        <w:spacing w:after="110" w:before="0" w:line="312"/>
      </w:pPr>
      <w:r>
        <w:rPr>
          <w:rFonts w:ascii="Arial" w:cs="Arial" w:eastAsia="Arial" w:hAnsi="Arial"/>
          <w:b w:val="false"/>
          <w:bCs w:val="false"/>
          <w:i/>
          <w:iCs/>
          <w:sz w:val="21"/>
          <w:szCs w:val="21"/>
          <w:rtl/>
        </w:rPr>
        <w:t xml:space="preserve">Collateral &amp; guarantees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629025"/>
            <wp:effectExtent t="0" r="0" b="0" l="0"/>
            <wp:docPr id="1" name="diagrams/erd/m5_collateral_2.png" descr="م5 · الضمانات (2/2)" title="م5 · الضمان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36290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الضمانات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0"/>
        <w:gridCol w:w="1772"/>
        <w:gridCol w:w="2104"/>
        <w:gridCol w:w="832"/>
        <w:gridCol w:w="832"/>
        <w:gridCol w:w="832"/>
        <w:gridCol w:w="832"/>
      </w:tblGrid>
      <w:tr>
        <w:trPr>
          <w:cantSplit/>
          <w:tblHeader/>
        </w:trPr>
        <w:tc>
          <w:tcPr>
            <w:tcW w:type="dxa" w:w="26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w:t>
            </w:r>
          </w:p>
        </w:tc>
        <w:tc>
          <w:tcPr>
            <w:tcW w:type="dxa" w:w="1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 note, 1:1; its own amount may exceed the limit (FR-COL-005, BR-COL-002); NextRenewalDue and PNRatio are derived</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PromissoryNoteId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w:t>
            </w:r>
          </w:p>
        </w:tc>
        <w:tc>
          <w:tcPr>
            <w:tcW w:type="dxa" w:w="1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Signers of the promissory note (SignerPartyIds)</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PromissoryNoteId, PartyId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w:t>
            </w:r>
          </w:p>
        </w:tc>
        <w:tc>
          <w:tcPr>
            <w:tcW w:type="dxa" w:w="1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 valuation schedule (FR-COL-008, BR-COL-004), for example three valuers in the first year, then one valuer per year</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ValuationScheduleId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35"/>
        <w:gridCol w:w="1594"/>
        <w:gridCol w:w="871"/>
        <w:gridCol w:w="871"/>
        <w:gridCol w:w="871"/>
        <w:gridCol w:w="871"/>
        <w:gridCol w:w="1151"/>
      </w:tblGrid>
      <w:tr>
        <w:trPr>
          <w:cantSplit/>
          <w:tblHeader/>
        </w:trPr>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‎col.PromissoryNote.CollateralId‎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‎col.PromissoryNote.CurrencyId‎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‎col.PromissoryNote.NoteDocumentId‎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‎col.PromissoryNoteSigner.PromissoryNoteId‎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‎col.PromissoryNoteSigner.PartyId‎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‎col.ValuationSchedule.CollateralId‎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‎col.ValuationSchedule.CurrencyId‎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7" w:id="77"/>
      <w:r>
        <w:rPr>
          <w:rFonts w:ascii="Arial" w:cs="Arial" w:eastAsia="Arial" w:hAnsi="Arial"/>
          <w:b/>
          <w:bCs/>
          <w:color w:val="2B5C8A"/>
          <w:sz w:val="23"/>
          <w:szCs w:val="23"/>
          <w:rtl/>
        </w:rPr>
        <w:t xml:space="preserve">م5 · الالتزامات والتعهدات (1/2)</w:t>
      </w:r>
      <w:bookmarkEnd w:id="77"/>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7429500"/>
            <wp:effectExtent t="0" r="0" b="0" l="0"/>
            <wp:docPr id="1" name="diagrams/erd/m5_obligations_1.png" descr="م5 · الالتزامات والتعهدات (1/2)" title="م5 · الالتزامات والتعهد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7429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8"/>
        <w:gridCol w:w="2365"/>
        <w:gridCol w:w="1743"/>
        <w:gridCol w:w="847"/>
        <w:gridCol w:w="847"/>
        <w:gridCol w:w="847"/>
        <w:gridCol w:w="847"/>
      </w:tblGrid>
      <w:tr>
        <w:trPr>
          <w:cantSplit/>
          <w:tblHeader/>
        </w:trPr>
        <w:tc>
          <w:tcPr>
            <w:tcW w:type="dxa" w:w="23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revision with dates; graduated limits are several revisions (FR-OBL-006, BR-OBL-001/005/006, Q-OBL-01)</w:t>
            </w:r>
          </w:p>
        </w:tc>
        <w:tc>
          <w:tcPr>
            <w:tcW w:type="dxa" w:w="1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w:t>
            </w:r>
          </w:p>
        </w:tc>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 covered by a covenant when specific accounts are selected (AccountIds)</w:t>
            </w:r>
          </w:p>
        </w:tc>
        <w:tc>
          <w:tcPr>
            <w:tcW w:type="dxa" w:w="1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CovenantId, BankAccountId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test for a period and test version; the application prevents editing a stored test (FR-OBL-011, FR-FIN-012/013, BR-OBL-006/007, section 8)</w:t>
            </w:r>
          </w:p>
        </w:tc>
        <w:tc>
          <w:tcPr>
            <w:tcW w:type="dxa" w:w="1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 on a facility (or on a limit, line or set of companies); the family comes from ObligationType and cannot be edited (FR-OBL-001, BR-OBL-001)</w:t>
            </w:r>
          </w:p>
        </w:tc>
        <w:tc>
          <w:tcPr>
            <w:tcW w:type="dxa" w:w="1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11"/>
        <w:gridCol w:w="1891"/>
        <w:gridCol w:w="882"/>
        <w:gridCol w:w="882"/>
        <w:gridCol w:w="882"/>
        <w:gridCol w:w="882"/>
        <w:gridCol w:w="1134"/>
      </w:tblGrid>
      <w:tr>
        <w:trPr>
          <w:cantSplit/>
          <w:tblHeader/>
        </w:trPr>
        <w:tc>
          <w:tcPr>
            <w:tcW w:type="dxa" w:w="33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‎obl.Covenant.ObligationId‎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‎obl.Covenant.FormulaId‎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‎obl.Covenant.CurrencyId‎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‎obl.Covenant.TestedCompanyId‎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‎obl.Covenant.SupersedesId‎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‎obl.CovenantAccount.CovenantId‎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‎obl.CovenantAccount.BankAccountId‎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‎obl.CovenantTest.CovenantId‎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‎obl.CovenantTest.EvaluatedBy‎</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‎obl.CovenantTest.EvidenceDocumentId‎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‎obl.CovenantTest.ReviewedBy‎</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‎obl.Obligation.FacilityId‎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‎obl.Obligation.ObligationTypeId‎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‎cat.ObligationType‎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‎obl.Obligation.ScopeLimitId‎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‎obl.Obligation.ScopeProductLineId‎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ScopeLimitId</w:t>
            </w:r>
          </w:p>
        </w:tc>
      </w:tr>
      <w:tr>
        <w:trPr>
          <w:cantSplit/>
        </w:trPr>
        <w:tc>
          <w:tcPr>
            <w:tcW w:type="dxa" w:w="3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‎obl.Obligation.ParamCurrencyId‎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‎obl.Obligation.SupersedesId‎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‎obl.Obligation.SourceDocumentId‎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‎obl.Obligation.VerifiedBy‎</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‎obl.Obligation.ConflictId‎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8" w:id="78"/>
      <w:r>
        <w:rPr>
          <w:rFonts w:ascii="Arial" w:cs="Arial" w:eastAsia="Arial" w:hAnsi="Arial"/>
          <w:b/>
          <w:bCs/>
          <w:color w:val="2B5C8A"/>
          <w:sz w:val="23"/>
          <w:szCs w:val="23"/>
          <w:rtl/>
        </w:rPr>
        <w:t xml:space="preserve">م5 · الالتزامات والتعهدات (2/2)</w:t>
      </w:r>
      <w:bookmarkEnd w:id="78"/>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829425"/>
            <wp:effectExtent t="0" r="0" b="0" l="0"/>
            <wp:docPr id="1" name="diagrams/erd/m5_obligations_2.png" descr="م5 · الالتزامات والتعهدات (2/2)" title="م5 · الالتزامات والتعهد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96000" cy="68294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2"/>
        <w:gridCol w:w="2124"/>
        <w:gridCol w:w="2124"/>
        <w:gridCol w:w="821"/>
        <w:gridCol w:w="821"/>
        <w:gridCol w:w="821"/>
        <w:gridCol w:w="821"/>
      </w:tblGrid>
      <w:tr>
        <w:trPr>
          <w:cantSplit/>
          <w:tblHeader/>
        </w:trPr>
        <w:tc>
          <w:tcPr>
            <w:tcW w:type="dxa" w:w="2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t>
            </w:r>
          </w:p>
        </w:tc>
        <w:tc>
          <w:tcPr>
            <w:tcW w:type="dxa" w:w="2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record, its remedy and any waiver (FR-OBL-012, BR-OBL-009/011, section 8)</w:t>
            </w:r>
          </w:p>
        </w:tc>
        <w:tc>
          <w:tcPr>
            <w:tcW w:type="dxa" w:w="2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w:t>
            </w:r>
          </w:p>
        </w:tc>
        <w:tc>
          <w:tcPr>
            <w:tcW w:type="dxa" w:w="2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the obligation applies to (AppliesToCompanyIds)</w:t>
            </w:r>
          </w:p>
        </w:tc>
        <w:tc>
          <w:tcPr>
            <w:tcW w:type="dxa" w:w="2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ObligationId, CompanyId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w:t>
            </w:r>
          </w:p>
        </w:tc>
        <w:tc>
          <w:tcPr>
            <w:tcW w:type="dxa" w:w="2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Agenda item generated or logged for an event (FR-OBL-003..005, BR-OBL-003, section 8); DUE_SOON and OVERDUE are derived</w:t>
            </w:r>
          </w:p>
        </w:tc>
        <w:tc>
          <w:tcPr>
            <w:tcW w:type="dxa" w:w="2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2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 or notice-due rule, 1:1 with Obligation (FR-OBL-002/003, BR-OBL-002, V-OBL-01)</w:t>
            </w:r>
          </w:p>
        </w:tc>
        <w:tc>
          <w:tcPr>
            <w:tcW w:type="dxa" w:w="2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0"/>
        <w:gridCol w:w="1919"/>
        <w:gridCol w:w="837"/>
        <w:gridCol w:w="837"/>
        <w:gridCol w:w="837"/>
        <w:gridCol w:w="837"/>
        <w:gridCol w:w="837"/>
      </w:tblGrid>
      <w:tr>
        <w:trPr>
          <w:cantSplit/>
          <w:tblHeader/>
        </w:trPr>
        <w:tc>
          <w:tcPr>
            <w:tcW w:type="dxa" w:w="3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‎obl.ObligationBreach.ObligationId‎</w:t>
            </w:r>
          </w:p>
        </w:tc>
        <w:tc>
          <w:tcPr>
            <w:tcW w:type="dxa" w:w="1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‎obl.ObligationBreach.CovenantTestId‎</w:t>
            </w:r>
          </w:p>
        </w:tc>
        <w:tc>
          <w:tcPr>
            <w:tcW w:type="dxa" w:w="1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‎obl.ObligationBreach.ReportingInstanceId‎</w:t>
            </w:r>
          </w:p>
        </w:tc>
        <w:tc>
          <w:tcPr>
            <w:tcW w:type="dxa" w:w="1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‎obl.ObligationBreach.WaiverBankContactId‎</w:t>
            </w:r>
          </w:p>
        </w:tc>
        <w:tc>
          <w:tcPr>
            <w:tcW w:type="dxa" w:w="1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‎obl.ObligationBreach.WaiverDocumentId‎</w:t>
            </w:r>
          </w:p>
        </w:tc>
        <w:tc>
          <w:tcPr>
            <w:tcW w:type="dxa" w:w="1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‎obl.ObligationCompany.ObligationId‎</w:t>
            </w:r>
          </w:p>
        </w:tc>
        <w:tc>
          <w:tcPr>
            <w:tcW w:type="dxa" w:w="1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‎obl.ObligationCompany.CompanyId‎</w:t>
            </w:r>
          </w:p>
        </w:tc>
        <w:tc>
          <w:tcPr>
            <w:tcW w:type="dxa" w:w="1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‎obl.ReportingInstance.ReportingObligationId‎</w:t>
            </w:r>
          </w:p>
        </w:tc>
        <w:tc>
          <w:tcPr>
            <w:tcW w:type="dxa" w:w="1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‎obl.ReportingInstance.SubmissionChannelUsedId‎</w:t>
            </w:r>
          </w:p>
        </w:tc>
        <w:tc>
          <w:tcPr>
            <w:tcW w:type="dxa" w:w="1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‎obl.ReportingInstance.EvidenceDocumentId‎</w:t>
            </w:r>
          </w:p>
        </w:tc>
        <w:tc>
          <w:tcPr>
            <w:tcW w:type="dxa" w:w="1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‎obl.ReportingInstance.CurrencyId‎</w:t>
            </w:r>
          </w:p>
        </w:tc>
        <w:tc>
          <w:tcPr>
            <w:tcW w:type="dxa" w:w="1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‎obl.ReportingObligation.ObligationId‎</w:t>
            </w:r>
          </w:p>
        </w:tc>
        <w:tc>
          <w:tcPr>
            <w:tcW w:type="dxa" w:w="1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‎obl.ReportingObligation.SubmissionChannelId‎</w:t>
            </w:r>
          </w:p>
        </w:tc>
        <w:tc>
          <w:tcPr>
            <w:tcW w:type="dxa" w:w="1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‎obl.ReportingObligation.SupersedesId‎</w:t>
            </w:r>
          </w:p>
        </w:tc>
        <w:tc>
          <w:tcPr>
            <w:tcW w:type="dxa" w:w="1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9" w:id="79"/>
      <w:r>
        <w:rPr>
          <w:rFonts w:ascii="Arial" w:cs="Arial" w:eastAsia="Arial" w:hAnsi="Arial"/>
          <w:b/>
          <w:bCs/>
          <w:color w:val="2B5C8A"/>
          <w:sz w:val="23"/>
          <w:szCs w:val="23"/>
          <w:rtl/>
        </w:rPr>
        <w:t xml:space="preserve">م5 · البيانات المالية والأرصدة (1/2)</w:t>
      </w:r>
      <w:bookmarkEnd w:id="79"/>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181100"/>
            <wp:effectExtent t="0" r="0" b="0" l="0"/>
            <wp:docPr id="1" name="diagrams/erd/m5_financials_1.png" descr="م5 · البيانات المالية والأرصدة (1/2)" title="م5 · البيانات المالية والأرصد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1181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0"/>
        <w:gridCol w:w="2115"/>
        <w:gridCol w:w="2115"/>
        <w:gridCol w:w="826"/>
        <w:gridCol w:w="826"/>
        <w:gridCol w:w="826"/>
        <w:gridCol w:w="826"/>
      </w:tblGrid>
      <w:tr>
        <w:trPr>
          <w:cantSplit/>
          <w:tblHeader/>
        </w:trPr>
        <w:tc>
          <w:tcPr>
            <w:tcW w:type="dxa" w:w="23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Monthly balance of an account in the account currency (FR-FIN-008, BR-FIN-005/006, V-FIN-02)</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AccountMonthlyStatId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Amount transferred to the bank in a month; annual totals are computed automatically (FR-FIN-009/010, BR-FIN-007/008)</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statement header; highly confidential (FR-FIN-002/005/006, BR-FIN-001..004, section 8)</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FinancialStatementId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Standard statement line item; 39 items seeded; system items used in formulas cannot be deleted (FR-FIN-001, CatalogBase)</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LineCatalogItemId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57"/>
        <w:gridCol w:w="1949"/>
        <w:gridCol w:w="871"/>
        <w:gridCol w:w="871"/>
        <w:gridCol w:w="871"/>
        <w:gridCol w:w="871"/>
        <w:gridCol w:w="974"/>
      </w:tblGrid>
      <w:tr>
        <w:trPr>
          <w:cantSplit/>
          <w:tblHeader/>
        </w:trPr>
        <w:tc>
          <w:tcPr>
            <w:tcW w:type="dxa" w:w="3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‎fin.AccountMonthlyStat.BankAccountId‎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‎fin.AccountMonthlyStat.DocumentId‎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‎fin.BankFlowEntry.CompanyId‎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‎fin.BankFlowEntry.InstitutionId‎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‎fin.BankFlowEntry.FacilityId‎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‎fin.BankFlowEntry.CurrencyId‎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‎fin.BankFlowEntry.DocumentId‎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‎fin.FinancialStatement.CompanyId‎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‎fin.FinancialStatement.CurrencyId‎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‎fin.FinancialStatement.SupersedesId‎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Basis, Assurance, PeriodType, PeriodEnd</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‎fin.FinancialStatement.SourceDocumentId‎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‎fin.FinancialStatement.PreparedBy‎</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‎fin.FinancialStatement.ApprovedBy‎</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0" w:id="80"/>
      <w:r>
        <w:rPr>
          <w:rFonts w:ascii="Arial" w:cs="Arial" w:eastAsia="Arial" w:hAnsi="Arial"/>
          <w:b/>
          <w:bCs/>
          <w:color w:val="2B5C8A"/>
          <w:sz w:val="23"/>
          <w:szCs w:val="23"/>
          <w:rtl/>
        </w:rPr>
        <w:t xml:space="preserve">م5 · البيانات المالية والأرصدة (2/2)</w:t>
      </w:r>
      <w:bookmarkEnd w:id="80"/>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2000250"/>
            <wp:effectExtent t="0" r="0" b="0" l="0"/>
            <wp:docPr id="1" name="diagrams/erd/m5_financials_2.png" descr="م5 · البيانات المالية والأرصدة (2/2)" title="م5 · البيانات المالية والأرصد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20002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7"/>
        <w:gridCol w:w="1847"/>
        <w:gridCol w:w="2258"/>
        <w:gridCol w:w="823"/>
        <w:gridCol w:w="823"/>
        <w:gridCol w:w="823"/>
        <w:gridCol w:w="823"/>
      </w:tblGrid>
      <w:tr>
        <w:trPr>
          <w:cantSplit/>
          <w:tblHeader/>
        </w:trPr>
        <w:tc>
          <w:tcPr>
            <w:tcW w:type="dxa" w:w="24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‎fin.LineCatalogItemAlias‎</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Alternative names (aliases) for a line item, used for paste and matching</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LineCatalogItemAliasId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 formula: a template or a facility-agreement version with revisions; never executed as text (FR-FIN-011, BR-FIN-009, section 12)</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MeasureFormulaId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 line in the header currency; stored value = input x UnitScale; Variance is derived; highly confidential (BR-FIN-001/002)</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StatementLineId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95"/>
        <w:gridCol w:w="1934"/>
        <w:gridCol w:w="847"/>
        <w:gridCol w:w="847"/>
        <w:gridCol w:w="847"/>
        <w:gridCol w:w="847"/>
        <w:gridCol w:w="847"/>
      </w:tblGrid>
      <w:tr>
        <w:trPr>
          <w:cantSplit/>
          <w:tblHeader/>
        </w:trPr>
        <w:tc>
          <w:tcPr>
            <w:tcW w:type="dxa" w:w="36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‎fin.LineCatalogItemAlias.LineCatalogItemId‎</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‎fin.MeasureFormula.FacilityId‎</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‎fin.MeasureFormula.BaseTemplateId‎</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‎fin.MeasureFormula.ApprovedBy‎</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‎fin.MeasureFormula.SourceDocumentId‎</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‎fin.MeasureFormula.VerifiedBy‎</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‎fin.MeasureFormula.ConflictId‎</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‎fin.StatementLine.StatementId‎</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‎fin.StatementLine.LineCatalogItemId‎</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81" w:id="81"/>
      <w:r>
        <w:rPr>
          <w:rFonts w:ascii="Arial" w:cs="Arial" w:eastAsia="Arial" w:hAnsi="Arial"/>
          <w:b/>
          <w:bCs/>
          <w:color w:val="2B5C8A"/>
          <w:sz w:val="26"/>
          <w:szCs w:val="26"/>
          <w:rtl/>
        </w:rPr>
        <w:t xml:space="preserve">10.8 م6 · الطلبات ودورات العمل والإشعارات</w:t>
      </w:r>
      <w:bookmarkEnd w:id="81"/>
    </w:p>
    <w:p>
      <w:pPr>
        <w:pStyle w:val="Heading3"/>
        <w:bidi/>
      </w:pPr>
      <w:bookmarkStart w:name="_sec82" w:id="82"/>
      <w:r>
        <w:rPr>
          <w:rFonts w:ascii="Arial" w:cs="Arial" w:eastAsia="Arial" w:hAnsi="Arial"/>
          <w:b/>
          <w:bCs/>
          <w:color w:val="2B5C8A"/>
          <w:sz w:val="23"/>
          <w:szCs w:val="23"/>
          <w:rtl/>
        </w:rPr>
        <w:t xml:space="preserve">م6 · قوالب دورات العمل (1/3)</w:t>
      </w:r>
      <w:bookmarkEnd w:id="82"/>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724150"/>
            <wp:effectExtent t="0" r="0" b="0" l="0"/>
            <wp:docPr id="1" name="diagrams/erd/m6_wf_templates_1.png" descr="م6 · قوالب دورات العمل (1/3)" title="م6 · قوالب دورات العمل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2724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8"/>
        <w:gridCol w:w="1979"/>
        <w:gridCol w:w="2187"/>
        <w:gridCol w:w="825"/>
        <w:gridCol w:w="825"/>
        <w:gridCol w:w="825"/>
        <w:gridCol w:w="825"/>
      </w:tblGrid>
      <w:tr>
        <w:trPr>
          <w:cantSplit/>
          <w:tblHeader/>
        </w:trPr>
        <w:tc>
          <w:tcPr>
            <w:tcW w:type="dxa" w:w="2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type definition (FR-REQ-001, BR-REQ-001, V-REQ-01); new types need no code (FR-REQ-021)</w:t>
            </w:r>
          </w:p>
        </w:tc>
        <w:tc>
          <w:tcPr>
            <w:tcW w:type="dxa" w:w="2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RequestTypeId</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Audience of a request type: who may raise it; no rows = nobody (fail closed) (FR-REQ-007)</w:t>
            </w:r>
          </w:p>
        </w:tc>
        <w:tc>
          <w:tcPr>
            <w:tcW w:type="dxa" w:w="2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RequestTypeAudienceId</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Phase shown to the requester: DRAFT, IN_APPROVAL, RETURNED, AWAITING_REQUESTER, IN_PROGRESS, COMPLETED, REJECTED, CANCELLED (BR-WFL-011, D-6)</w:t>
            </w:r>
          </w:p>
        </w:tc>
        <w:tc>
          <w:tcPr>
            <w:tcW w:type="dxa" w:w="2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ExternalPhaseId</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template version; a published version is immutable (FR-WFL-001/028, BR-WFL-019, AC-WFL-6)</w:t>
            </w:r>
          </w:p>
        </w:tc>
        <w:tc>
          <w:tcPr>
            <w:tcW w:type="dxa" w:w="2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WorkflowTemplateId</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82"/>
        <w:gridCol w:w="1572"/>
        <w:gridCol w:w="882"/>
        <w:gridCol w:w="882"/>
        <w:gridCol w:w="882"/>
        <w:gridCol w:w="882"/>
        <w:gridCol w:w="882"/>
      </w:tblGrid>
      <w:tr>
        <w:trPr>
          <w:cantSplit/>
          <w:tblHeader/>
        </w:trPr>
        <w:tc>
          <w:tcPr>
            <w:tcW w:type="dxa" w:w="3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‎wfl.RequestTypeAudience.RequestTypeId‎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‎wfl.RequestTypeAudience.RoleId‎</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‎wfl.RequestTypeAudience.DepartmentId‎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‎wfl.RequestTypeAudience.UserId‎</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‎wfl.WorkflowTemplate.RequestTypeId‎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‎wfl.WorkflowTemplate.PublishedBy‎</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3" w:id="83"/>
      <w:r>
        <w:rPr>
          <w:rFonts w:ascii="Arial" w:cs="Arial" w:eastAsia="Arial" w:hAnsi="Arial"/>
          <w:b/>
          <w:bCs/>
          <w:color w:val="2B5C8A"/>
          <w:sz w:val="23"/>
          <w:szCs w:val="23"/>
          <w:rtl/>
        </w:rPr>
        <w:t xml:space="preserve">م6 · قوالب دورات العمل (2/3)</w:t>
      </w:r>
      <w:bookmarkEnd w:id="83"/>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733800"/>
            <wp:effectExtent t="0" r="0" b="0" l="0"/>
            <wp:docPr id="1" name="diagrams/erd/m6_wf_templates_2.png" descr="م6 · قوالب دورات العمل (2/3)" title="م6 · قوالب دورات العمل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3733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0"/>
        <w:gridCol w:w="2115"/>
        <w:gridCol w:w="2115"/>
        <w:gridCol w:w="826"/>
        <w:gridCol w:w="826"/>
        <w:gridCol w:w="826"/>
        <w:gridCol w:w="826"/>
      </w:tblGrid>
      <w:tr>
        <w:trPr>
          <w:cantSplit/>
          <w:tblHeader/>
        </w:trPr>
        <w:tc>
          <w:tcPr>
            <w:tcW w:type="dxa" w:w="23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Stage in a template version (FR-WFL-003/004/005, BR-WFL-002/010/012); physical delete only for a draft version</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 slot in an APPROVAL stage; ALL = every slot, and a role requiring two people together = two slots (FR-WFL-007/041, BR-WFL-003/004)</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StageApproverId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Transition between two stages with a condition and a priority; a linear flow with simple conditional branching (FR-WFL-006, BR-WFL-001, D-8)</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WorkflowTransitionId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‎wfl.WorkflowStageHook‎</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 registered on a stage: a key and parameters, no code (FR-WFL-021, BR-WFL-015, section 5.4)</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WorkflowStageHookId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1866"/>
        <w:gridCol w:w="879"/>
        <w:gridCol w:w="879"/>
        <w:gridCol w:w="879"/>
        <w:gridCol w:w="879"/>
        <w:gridCol w:w="933"/>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‎wfl.WorkflowStage.TemplateId‎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‎wfl.WorkflowStage.ExternalPhaseId‎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‎wfl.WorkflowStage.PoolPermissionId‎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‎wfl.WorkflowStage.AssigneeUserId‎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‎wfl.WorkflowStage.AssigneeDepartmentId‎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‎wfl.WorkflowStage.FallbackRoleId‎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‎wfl.StageApprover.UserId‎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‎wfl.StageApprover.DepartmentId‎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‎wfl.StageApprover.FallbackRoleId‎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‎wfl.WorkflowTransition.TemplateId‎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‎wfl.WorkflowTransition.FromStageId‎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‎wfl.WorkflowTransition.ToStageId‎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‎wfl.WorkflowTransition.ResumeStageId‎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‎wfl.WorkflowStageHook.StageId‎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4" w:id="84"/>
      <w:r>
        <w:rPr>
          <w:rFonts w:ascii="Arial" w:cs="Arial" w:eastAsia="Arial" w:hAnsi="Arial"/>
          <w:b/>
          <w:bCs/>
          <w:color w:val="2B5C8A"/>
          <w:sz w:val="23"/>
          <w:szCs w:val="23"/>
          <w:rtl/>
        </w:rPr>
        <w:t xml:space="preserve">م6 · قوالب دورات العمل (3/3)</w:t>
      </w:r>
      <w:bookmarkEnd w:id="84"/>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1352550"/>
            <wp:effectExtent t="0" r="0" b="0" l="0"/>
            <wp:docPr id="1" name="diagrams/erd/m6_wf_templates_3.png" descr="م6 · قوالب دورات العمل (3/3)" title="م6 · قوالب دورات العمل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1352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1"/>
        <w:gridCol w:w="1671"/>
        <w:gridCol w:w="2360"/>
        <w:gridCol w:w="818"/>
        <w:gridCol w:w="818"/>
        <w:gridCol w:w="818"/>
        <w:gridCol w:w="818"/>
      </w:tblGrid>
      <w:tr>
        <w:trPr>
          <w:cantSplit/>
          <w:tblHeader/>
        </w:trPr>
        <w:tc>
          <w:tcPr>
            <w:tcW w:type="dxa" w:w="25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‎wfl.TemplateField‎</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Field in a template version; the form UI is generated without code (FR-REQ-002..005, BR-REQ-003/004)</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TemplateFieldId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Attachment rule on a template version (FR-REQ-006, BR-REQ-005, FR-WFL-024/025)</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TemplateAttachmentRuleId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2"/>
        <w:gridCol w:w="1832"/>
        <w:gridCol w:w="854"/>
        <w:gridCol w:w="854"/>
        <w:gridCol w:w="854"/>
        <w:gridCol w:w="854"/>
        <w:gridCol w:w="854"/>
      </w:tblGrid>
      <w:tr>
        <w:trPr>
          <w:cantSplit/>
          <w:tblHeader/>
        </w:trPr>
        <w:tc>
          <w:tcPr>
            <w:tcW w:type="dxa" w:w="3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‎wfl.TemplateField.TemplateId‎</w:t>
            </w:r>
          </w:p>
        </w:tc>
        <w:tc>
          <w:tcPr>
            <w:tcW w:type="dxa" w:w="1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‎wfl.TemplateAttachmentRule.TemplateId‎</w:t>
            </w:r>
          </w:p>
        </w:tc>
        <w:tc>
          <w:tcPr>
            <w:tcW w:type="dxa" w:w="1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‎wfl.TemplateAttachmentRule.DocumentTypeId‎</w:t>
            </w:r>
          </w:p>
        </w:tc>
        <w:tc>
          <w:tcPr>
            <w:tcW w:type="dxa" w:w="1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5" w:id="85"/>
      <w:r>
        <w:rPr>
          <w:rFonts w:ascii="Arial" w:cs="Arial" w:eastAsia="Arial" w:hAnsi="Arial"/>
          <w:b/>
          <w:bCs/>
          <w:color w:val="2B5C8A"/>
          <w:sz w:val="23"/>
          <w:szCs w:val="23"/>
          <w:rtl/>
        </w:rPr>
        <w:t xml:space="preserve">م6 · الطلبات وإجراءاتها (1/3)</w:t>
      </w:r>
      <w:bookmarkEnd w:id="85"/>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400800"/>
            <wp:effectExtent t="0" r="0" b="0" l="0"/>
            <wp:docPr id="1" name="diagrams/erd/m6_requests_1.png" descr="م6 · الطلبات وإجراءاتها (1/3)" title="م6 · الطلبات وإجراءاتها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6400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8"/>
        <w:gridCol w:w="1715"/>
        <w:gridCol w:w="2287"/>
        <w:gridCol w:w="836"/>
        <w:gridCol w:w="836"/>
        <w:gridCol w:w="836"/>
        <w:gridCol w:w="836"/>
      </w:tblGrid>
      <w:tr>
        <w:trPr>
          <w:cantSplit/>
          <w:tblHeader/>
        </w:trPr>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the most heavily used table; the internal status is kept separate from the visible phase (FR-WFL-001, FR-REQ-009, D-6, BR-REQ-002/003)</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Comment visible to the requester or internal; the application prevents editing it, and withdrawal keeps the original (FR-REQ-017, BR-REQ-014)</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RequestCommentId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 document to a request and creates a DocumentLink (EntityType = Request) (FR-REQ-006, BR-REQ-005)</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RequestAttachmentId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reference as free text; edits replace the value and keep the history; no external validation (FR-REQ-010, X-DAT-7, BR-REQ-006)</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RequestExternalRefId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00"/>
        <w:gridCol w:w="2073"/>
        <w:gridCol w:w="867"/>
        <w:gridCol w:w="867"/>
        <w:gridCol w:w="867"/>
        <w:gridCol w:w="867"/>
        <w:gridCol w:w="1123"/>
      </w:tblGrid>
      <w:tr>
        <w:trPr>
          <w:cantSplit/>
          <w:tblHeader/>
        </w:trPr>
        <w:tc>
          <w:tcPr>
            <w:tcW w:type="dxa" w:w="3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‎wfl.Request.RequestTypeId‎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‎wfl.Request.TemplateId‎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‎wfl.Request.CompanyId‎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‎wfl.Request.DepartmentId‎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‎wfl.Request.RequesterUserId‎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‎wfl.Request.CreatedByUserId‎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‎wfl.Request.SubmittedByUserId‎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‎wfl.Request.CurrentStageId‎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‎wfl.Request.CurrentStageInstanceId‎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‎wfl.Request.ExternalPhaseId‎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‎wfl.Request.AssigneeUserId‎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‎wfl.Request.ClosedByUserId‎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‎wfl.Request.CurrencyId‎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‎wfl.Request.ProductId‎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‎wfl.Request.ParentRequestId‎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‎wfl.Request.CopiedFromRequestId‎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‎wfl.Request.FacilityId‎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‎wfl.Request.LimitId‎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‎wfl.Request.LimitProductLineId‎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‎wfl.Request.InstitutionId‎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‎wfl.Request.ReservationId‎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‎wfl.RequestComment.StageInstanceId‎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‎wfl.RequestComment.AuthorUserId‎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‎wfl.RequestComment.ParentCommentId‎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‎wfl.RequestComment.RetractedBy‎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‎wfl.RequestAttachment.RequestId‎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‎wfl.RequestAttachment.DocumentId‎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‎wfl.RequestAttachment.StageInstanceId‎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‎wfl.RequestExternalRef.SupersededById‎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‎wfl.RequestExternalRef.EnteredBy‎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6" w:id="86"/>
      <w:r>
        <w:rPr>
          <w:rFonts w:ascii="Arial" w:cs="Arial" w:eastAsia="Arial" w:hAnsi="Arial"/>
          <w:b/>
          <w:bCs/>
          <w:color w:val="2B5C8A"/>
          <w:sz w:val="23"/>
          <w:szCs w:val="23"/>
          <w:rtl/>
        </w:rPr>
        <w:t xml:space="preserve">م6 · الطلبات وإجراءاتها (2/3)</w:t>
      </w:r>
      <w:bookmarkEnd w:id="86"/>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571875"/>
            <wp:effectExtent t="0" r="0" b="0" l="0"/>
            <wp:docPr id="1" name="diagrams/erd/m6_requests_2.png" descr="م6 · الطلبات وإجراءاتها (2/3)" title="م6 · الطلبات وإجراءاتها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3571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6"/>
        <w:gridCol w:w="1994"/>
        <w:gridCol w:w="2194"/>
        <w:gridCol w:w="820"/>
        <w:gridCol w:w="820"/>
        <w:gridCol w:w="820"/>
        <w:gridCol w:w="820"/>
      </w:tblGrid>
      <w:tr>
        <w:trPr>
          <w:cantSplit/>
          <w:tblHeader/>
        </w:trPr>
        <w:tc>
          <w:tcPr>
            <w:tcW w:type="dxa" w:w="23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Entry of a request into a stage; source of the cycle-time, withdrawal and SLA metrics (BR-WFL-002/007/012, section 8)</w:t>
            </w:r>
          </w:p>
        </w:tc>
        <w:tc>
          <w:tcPr>
            <w:tcW w:type="dxa" w:w="2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RequestStageInstanceId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 slot created per entry and cycle; a new cycle creates new slots (BR-WFL-003, FR-WFL-007/008/011)</w:t>
            </w:r>
          </w:p>
        </w:tc>
        <w:tc>
          <w:tcPr>
            <w:tcW w:type="dxa" w:w="2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RequestApprovalId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Append-only action log covering every event; separate from the security audit log (FR-WFL-033/034, section 6.2)</w:t>
            </w:r>
          </w:p>
        </w:tc>
        <w:tc>
          <w:tcPr>
            <w:tcW w:type="dxa" w:w="2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 of a hook with an idempotency key; a repeat returns the stored result (FR-WFL-021, BR-WFL-015)</w:t>
            </w:r>
          </w:p>
        </w:tc>
        <w:tc>
          <w:tcPr>
            <w:tcW w:type="dxa" w:w="2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5"/>
        <w:gridCol w:w="2099"/>
        <w:gridCol w:w="869"/>
        <w:gridCol w:w="869"/>
        <w:gridCol w:w="869"/>
        <w:gridCol w:w="869"/>
        <w:gridCol w:w="874"/>
      </w:tblGrid>
      <w:tr>
        <w:trPr>
          <w:cantSplit/>
          <w:tblHeader/>
        </w:trPr>
        <w:tc>
          <w:tcPr>
            <w:tcW w:type="dxa" w:w="3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‎wfl.RequestStageInstance.TemplateId‎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‎wfl.RequestStageInstance.AssigneeUserId‎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‎wfl.RequestStageInstance.ResumeStageId‎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‎wfl.RequestApproval.RequestId‎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‎wfl.RequestApproval.StageInstanceId‎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‎wfl.RequestApproval.AssignedUserId‎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‎wfl.RequestApproval.AssignedRoleId‎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‎wfl.RequestApproval.ActedByUserId‎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‎wfl.RequestApproval.OnBehalfOfUserId‎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‎wfl.RequestApproval.DelegationId‎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‎wfl.RequestAction.StageInstanceId‎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‎wfl.RequestAction.ActorUserId‎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‎wfl.RequestAction.OnBehalfOfUserId‎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‎wfl.HookExecution.StageInstanceId‎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bl>
    <w:p>
      <w:pPr>
        <w:bidi/>
        <w:spacing w:after="120" w:before="0"/>
      </w:pPr>
    </w:p>
    <w:p>
      <w:pPr>
        <w:pStyle w:val="Heading3"/>
        <w:bidi/>
      </w:pPr>
      <w:bookmarkStart w:name="_sec87" w:id="87"/>
      <w:r>
        <w:rPr>
          <w:rFonts w:ascii="Arial" w:cs="Arial" w:eastAsia="Arial" w:hAnsi="Arial"/>
          <w:b/>
          <w:bCs/>
          <w:color w:val="2B5C8A"/>
          <w:sz w:val="23"/>
          <w:szCs w:val="23"/>
          <w:rtl/>
        </w:rPr>
        <w:t xml:space="preserve">م6 · الطلبات وإجراءاتها (3/3)</w:t>
      </w:r>
      <w:bookmarkEnd w:id="87"/>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4124325"/>
            <wp:effectExtent t="0" r="0" b="0" l="0"/>
            <wp:docPr id="1" name="diagrams/erd/m6_requests_3.png" descr="م6 · الطلبات وإجراءاتها (3/3)" title="م6 · الطلبات وإجراءاتها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4124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1"/>
        <w:gridCol w:w="1672"/>
        <w:gridCol w:w="2229"/>
        <w:gridCol w:w="863"/>
        <w:gridCol w:w="863"/>
        <w:gridCol w:w="863"/>
        <w:gridCol w:w="863"/>
      </w:tblGrid>
      <w:tr>
        <w:trPr>
          <w:cantSplit/>
          <w:tblHeader/>
        </w:trPr>
        <w:tc>
          <w:tcPr>
            <w:tcW w:type="dxa" w:w="25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w:t>
            </w:r>
          </w:p>
        </w:tc>
        <w:tc>
          <w:tcPr>
            <w:tcW w:type="dxa" w:w="1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 delegation with a period and scope; no chained delegation (FR-WFL-020, BR-WFL-021, V-WFL-06)</w:t>
            </w:r>
          </w:p>
        </w:tc>
        <w:tc>
          <w:tcPr>
            <w:tcW w:type="dxa" w:w="2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UserDelegationId</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50"/>
        <w:gridCol w:w="1709"/>
        <w:gridCol w:w="901"/>
        <w:gridCol w:w="901"/>
        <w:gridCol w:w="901"/>
        <w:gridCol w:w="901"/>
        <w:gridCol w:w="901"/>
      </w:tblGrid>
      <w:tr>
        <w:trPr>
          <w:cantSplit/>
          <w:tblHeader/>
        </w:trPr>
        <w:tc>
          <w:tcPr>
            <w:tcW w:type="dxa" w:w="3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‎wfl.UserDelegation.FromUserId‎</w:t>
            </w:r>
          </w:p>
        </w:tc>
        <w:tc>
          <w:tcPr>
            <w:tcW w:type="dxa" w:w="1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‎wfl.UserDelegation.ToUserId‎</w:t>
            </w:r>
          </w:p>
        </w:tc>
        <w:tc>
          <w:tcPr>
            <w:tcW w:type="dxa" w:w="1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‎wfl.UserDelegation.RequestTypeId‎</w:t>
            </w:r>
          </w:p>
        </w:tc>
        <w:tc>
          <w:tcPr>
            <w:tcW w:type="dxa" w:w="1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‎wfl.UserDelegation.RevokedBy‎</w:t>
            </w:r>
          </w:p>
        </w:tc>
        <w:tc>
          <w:tcPr>
            <w:tcW w:type="dxa" w:w="1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8" w:id="88"/>
      <w:r>
        <w:rPr>
          <w:rFonts w:ascii="Arial" w:cs="Arial" w:eastAsia="Arial" w:hAnsi="Arial"/>
          <w:b/>
          <w:bCs/>
          <w:color w:val="2B5C8A"/>
          <w:sz w:val="23"/>
          <w:szCs w:val="23"/>
          <w:rtl/>
        </w:rPr>
        <w:t xml:space="preserve">م6 · الإشعارات (1/2)</w:t>
      </w:r>
      <w:bookmarkEnd w:id="88"/>
    </w:p>
    <w:p>
      <w:pPr>
        <w:bidi/>
        <w:spacing w:after="110" w:before="0" w:line="312"/>
      </w:pPr>
      <w:r>
        <w:rPr>
          <w:rFonts w:ascii="Arial" w:cs="Arial" w:eastAsia="Arial" w:hAnsi="Arial"/>
          <w:b w:val="false"/>
          <w:bCs w:val="false"/>
          <w:i/>
          <w:iCs/>
          <w:sz w:val="21"/>
          <w:szCs w:val="21"/>
          <w:rtl/>
        </w:rPr>
        <w:t xml:space="preserve">Notifications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553075"/>
            <wp:effectExtent t="0" r="0" b="0" l="0"/>
            <wp:docPr id="1" name="diagrams/erd/m6_notifications_1.png" descr="م6 · الإشعارات (1/2)" title="م6 · الإشعار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096000" cy="5553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الإشعارات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0"/>
        <w:gridCol w:w="2393"/>
        <w:gridCol w:w="2033"/>
        <w:gridCol w:w="807"/>
        <w:gridCol w:w="807"/>
        <w:gridCol w:w="807"/>
        <w:gridCol w:w="807"/>
      </w:tblGrid>
      <w:tr>
        <w:trPr>
          <w:cantSplit/>
          <w:tblHeader/>
        </w:trPr>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 batch for a user, channel and period; never sent empty (FR-NTF-014, BR-NTF-004, JOB-NTF-DIGEST)</w:t>
            </w:r>
          </w:p>
        </w:tc>
        <w:tc>
          <w:tcPr>
            <w:tcW w:type="dxa" w:w="2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DigestBatchId</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 for a user; the content carries no restricted values (FR-NTF-005/006/007/021, BR-NTF-001/002/007/008/011)</w:t>
            </w:r>
          </w:p>
        </w:tc>
        <w:tc>
          <w:tcPr>
            <w:tcW w:type="dxa" w:w="2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NotificationId</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 of a notification per channel, with status and retries (FR-NTF-019, BR-NTF-009, section 8)</w:t>
            </w:r>
          </w:p>
        </w:tc>
        <w:tc>
          <w:tcPr>
            <w:tcW w:type="dxa" w:w="2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NotificationDeliveryId</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Event catalogue: specification 13 owns it for all modules, and modules seed their events into it (FR-NTF-001, section 9.2)</w:t>
            </w:r>
          </w:p>
        </w:tc>
        <w:tc>
          <w:tcPr>
            <w:tcW w:type="dxa" w:w="2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NotificationEventTypeId</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1"/>
        <w:gridCol w:w="2198"/>
        <w:gridCol w:w="847"/>
        <w:gridCol w:w="847"/>
        <w:gridCol w:w="847"/>
        <w:gridCol w:w="847"/>
        <w:gridCol w:w="847"/>
      </w:tblGrid>
      <w:tr>
        <w:trPr>
          <w:cantSplit/>
          <w:tblHeader/>
        </w:trPr>
        <w:tc>
          <w:tcPr>
            <w:tcW w:type="dxa" w:w="3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‎ntf.DigestBatch.UserId‎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‎ntf.Notification.UserId‎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‎ntf.Notification.CompanyId‎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‎ntf.NotificationDelivery.NotificationId‎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‎ntf.NotificationDelivery.DigestBatchId‎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9" w:id="89"/>
      <w:r>
        <w:rPr>
          <w:rFonts w:ascii="Arial" w:cs="Arial" w:eastAsia="Arial" w:hAnsi="Arial"/>
          <w:b/>
          <w:bCs/>
          <w:color w:val="2B5C8A"/>
          <w:sz w:val="23"/>
          <w:szCs w:val="23"/>
          <w:rtl/>
        </w:rPr>
        <w:t xml:space="preserve">م6 · الإشعارات (2/2)</w:t>
      </w:r>
      <w:bookmarkEnd w:id="89"/>
    </w:p>
    <w:p>
      <w:pPr>
        <w:bidi/>
        <w:spacing w:after="110" w:before="0" w:line="312"/>
      </w:pPr>
      <w:r>
        <w:rPr>
          <w:rFonts w:ascii="Arial" w:cs="Arial" w:eastAsia="Arial" w:hAnsi="Arial"/>
          <w:b w:val="false"/>
          <w:bCs w:val="false"/>
          <w:i/>
          <w:iCs/>
          <w:sz w:val="21"/>
          <w:szCs w:val="21"/>
          <w:rtl/>
        </w:rPr>
        <w:t xml:space="preserve">Notifications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200150"/>
            <wp:effectExtent t="0" r="0" b="0" l="0"/>
            <wp:docPr id="1" name="diagrams/erd/m6_notifications_2.png" descr="م6 · الإشعارات (2/2)" title="م6 · الإشعار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1200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الإشعارات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6"/>
        <w:gridCol w:w="1595"/>
        <w:gridCol w:w="2393"/>
        <w:gridCol w:w="820"/>
        <w:gridCol w:w="820"/>
        <w:gridCol w:w="820"/>
        <w:gridCol w:w="820"/>
      </w:tblGrid>
      <w:tr>
        <w:trPr>
          <w:cantSplit/>
          <w:tblHeader/>
        </w:trPr>
        <w:tc>
          <w:tcPr>
            <w:tcW w:type="dxa" w:w="25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‎ntf.NotificationPreference‎</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preference per event group and channel (FR-NTF-010, BR-NTF-003/014); mandatory notifications cannot be switched off in the application</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Recipient rule for an event; changes apply to subsequent events only (FR-NTF-003, BR-NTF-001, V-NTF-02)</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‎ntf.NotificationTemplate‎</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 template per (event, channel, language); deleting it reverts to the seed template (FR-NTF-012, FR-NTF-025)</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NotificationTemplateId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03"/>
        <w:gridCol w:w="2291"/>
        <w:gridCol w:w="854"/>
        <w:gridCol w:w="854"/>
        <w:gridCol w:w="854"/>
        <w:gridCol w:w="854"/>
        <w:gridCol w:w="854"/>
      </w:tblGrid>
      <w:tr>
        <w:trPr>
          <w:cantSplit/>
          <w:tblHeader/>
        </w:trPr>
        <w:tc>
          <w:tcPr>
            <w:tcW w:type="dxa" w:w="3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‎ntf.NotificationPreference.UserId‎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‎ntf.NotificationRule.EventTypeId‎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‎ntf.NotificationRule.RoleId‎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‎ntf.NotificationRule.PermissionId‎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‎ntf.NotificationRule.UserId‎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‎ntf.NotificationTemplate.EventTypeId‎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0" w:id="90"/>
      <w:r>
        <w:rPr>
          <w:rFonts w:ascii="Arial" w:cs="Arial" w:eastAsia="Arial" w:hAnsi="Arial"/>
          <w:b/>
          <w:bCs/>
          <w:color w:val="2B5C8A"/>
          <w:sz w:val="26"/>
          <w:szCs w:val="26"/>
          <w:rtl/>
        </w:rPr>
        <w:t xml:space="preserve">10.9 م7/م8 · الاعتمادات المستندية والبروفورما</w:t>
      </w:r>
      <w:bookmarkEnd w:id="90"/>
    </w:p>
    <w:p>
      <w:pPr>
        <w:pStyle w:val="Heading3"/>
        <w:bidi/>
      </w:pPr>
      <w:bookmarkStart w:name="_sec91" w:id="91"/>
      <w:r>
        <w:rPr>
          <w:rFonts w:ascii="Arial" w:cs="Arial" w:eastAsia="Arial" w:hAnsi="Arial"/>
          <w:b/>
          <w:bCs/>
          <w:color w:val="2B5C8A"/>
          <w:sz w:val="23"/>
          <w:szCs w:val="23"/>
          <w:rtl/>
        </w:rPr>
        <w:t xml:space="preserve">م7/م8 · شروط الاعتماد والنماذج (1/3)</w:t>
      </w:r>
      <w:bookmarkEnd w:id="91"/>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14650"/>
            <wp:effectExtent t="0" r="0" b="0" l="0"/>
            <wp:docPr id="1" name="diagrams/erd/m7_8_lc_terms_1.png" descr="م7/م8 · شروط الاعتماد والنماذج (1/3)" title="م7/م8 · شروط الاعتماد والنماذج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2914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3"/>
        <w:gridCol w:w="2569"/>
        <w:gridCol w:w="1950"/>
        <w:gridCol w:w="823"/>
        <w:gridCol w:w="823"/>
        <w:gridCol w:w="823"/>
        <w:gridCol w:w="823"/>
      </w:tblGrid>
      <w:tr>
        <w:trPr>
          <w:cantSplit/>
          <w:tblHeader/>
        </w:trPr>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Definition of a field in letter-of-credit terms: data seeded per tenant (FR-LCT-004, BR-LCT-002); UCP references are in lc.LcFieldUcpRef</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LcFieldDefinitionId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reference for a field: article and paragraph (UcpRefs in specification); feeds the badge, R-LCT-01 and BR-LCT-018</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LcFieldUcpRefId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lightweight supplier or customer without identity; promoted to Party when needed (FR-LCT-036/037, BR-LCT-022, Q-PTY-03)</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Document-clause library with versions: template text with parameters (FR-LCT-017..019, BR-LCT-012); UCP references are in lc.LcDocumentClauseUcpRef</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1970"/>
        <w:gridCol w:w="869"/>
        <w:gridCol w:w="869"/>
        <w:gridCol w:w="869"/>
        <w:gridCol w:w="869"/>
        <w:gridCol w:w="869"/>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‎lc.LcFieldUcpRef.LcFieldDefinitionId‎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‎lc.LcFieldUcpRef.UcpArticleId‎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‎lc.Counterparty.CountryId‎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‎lc.Counterparty.PartyId‎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‎lc.Counterparty.MergedIntoId‎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‎lc.LcDocumentClause.InstitutionId‎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2" w:id="92"/>
      <w:r>
        <w:rPr>
          <w:rFonts w:ascii="Arial" w:cs="Arial" w:eastAsia="Arial" w:hAnsi="Arial"/>
          <w:b/>
          <w:bCs/>
          <w:color w:val="2B5C8A"/>
          <w:sz w:val="23"/>
          <w:szCs w:val="23"/>
          <w:rtl/>
        </w:rPr>
        <w:t xml:space="preserve">م7/م8 · شروط الاعتماد والنماذج (2/3)</w:t>
      </w:r>
      <w:bookmarkEnd w:id="92"/>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53175"/>
            <wp:effectExtent t="0" r="0" b="0" l="0"/>
            <wp:docPr id="1" name="diagrams/erd/m7_8_lc_terms_2.png" descr="م7/م8 · شروط الاعتماد والنماذج (2/3)" title="م7/م8 · شروط الاعتماد والنماذج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6353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6"/>
        <w:gridCol w:w="1695"/>
        <w:gridCol w:w="2393"/>
        <w:gridCol w:w="820"/>
        <w:gridCol w:w="820"/>
        <w:gridCol w:w="820"/>
        <w:gridCol w:w="820"/>
      </w:tblGrid>
      <w:tr>
        <w:trPr>
          <w:cantSplit/>
          <w:tblHeader/>
        </w:trPr>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w:t>
            </w:r>
          </w:p>
        </w:tc>
        <w:tc>
          <w:tcPr>
            <w:tcW w:type="dxa" w:w="1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600 reference for a document clause: article and paragraph (UcpRefs in specification)</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LcDocumentClauseUcpRefId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terms version: one row per version, with the section 6.2 dictionary columns; shared by proforma, request, credit and amendment (FR-LCT-001..035)</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r>
      <w:tr>
        <w:trPr>
          <w:cantSplit/>
        </w:trPr>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w:t>
            </w:r>
          </w:p>
        </w:tc>
        <w:tc>
          <w:tcPr>
            <w:tcW w:type="dxa" w:w="1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clause selected in the terms, with its parameters; the rendered text is frozen at lock (FR-LCT-018, BR-LCT-012)</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LcTermsDocumentId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‎lc.LcChargesMatrix‎</w:t>
            </w:r>
          </w:p>
        </w:tc>
        <w:tc>
          <w:tcPr>
            <w:tcW w:type="dxa" w:w="1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Charges per term: one row per category; six complete rows, checked by the application (V-LCT-12) (FR-LCT-020, BR-LCT-014)</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LcChargesMatrixId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71"/>
        <w:gridCol w:w="1583"/>
        <w:gridCol w:w="861"/>
        <w:gridCol w:w="861"/>
        <w:gridCol w:w="861"/>
        <w:gridCol w:w="861"/>
        <w:gridCol w:w="1166"/>
      </w:tblGrid>
      <w:tr>
        <w:trPr>
          <w:cantSplit/>
          <w:tblHeader/>
        </w:trPr>
        <w:tc>
          <w:tcPr>
            <w:tcW w:type="dxa" w:w="3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‎lc.LcDocumentClauseUcpRef.LcDocumentClauseId‎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‎lc.LcDocumentClauseUcpRef.UcpArticleId‎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‎lc.LcTerms.ApplicantCompanyId‎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‎lc.LcTerms.ApplicantCounterpartyId‎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‎lc.LcTerms.BeneficiaryCompanyId‎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‎lc.LcTerms.BeneficiaryCounterpartyId‎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‎lc.LcTerms.EncKeyId‎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‎lc.LcTerms.HashKeyId‎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‎lc.LcTerms.CurrencyId‎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‎lc.LcTerms.IncotermId‎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‎lc.LcTerms.FacilityAccountId‎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‎lc.LcTerms.MarginSettlementAccountId‎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‎lc.LcTerms.ChargesAccountId‎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‎lc.LcTerms.PrevLcCurrencyId‎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‎lc.LcTerms.LockedBy‎</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‎lc.LcTerms.SupersedesTermsId‎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‎lc.LcTerms.CopiedFromTermsId‎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‎lc.LcTermsDocument.LcTermsId‎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‎lc.LcTermsDocument.ClauseId‎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‎lc.LcChargesMatrix.LcTermsId‎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3" w:id="93"/>
      <w:r>
        <w:rPr>
          <w:rFonts w:ascii="Arial" w:cs="Arial" w:eastAsia="Arial" w:hAnsi="Arial"/>
          <w:b/>
          <w:bCs/>
          <w:color w:val="2B5C8A"/>
          <w:sz w:val="23"/>
          <w:szCs w:val="23"/>
          <w:rtl/>
        </w:rPr>
        <w:t xml:space="preserve">م7/م8 · شروط الاعتماد والنماذج (3/3)</w:t>
      </w:r>
      <w:bookmarkEnd w:id="93"/>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5638800" cy="8191500"/>
            <wp:effectExtent t="0" r="0" b="0" l="0"/>
            <wp:docPr id="1" name="diagrams/erd/m7_8_lc_terms_3.png" descr="م7/م8 · شروط الاعتماد والنماذج (3/3)" title="م7/م8 · شروط الاعتماد والنماذج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638800"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4"/>
        <w:gridCol w:w="1958"/>
        <w:gridCol w:w="2166"/>
        <w:gridCol w:w="859"/>
        <w:gridCol w:w="859"/>
        <w:gridCol w:w="859"/>
        <w:gridCol w:w="859"/>
      </w:tblGrid>
      <w:tr>
        <w:trPr>
          <w:cantSplit/>
          <w:tblHeader/>
        </w:trPr>
        <w:tc>
          <w:tcPr>
            <w:tcW w:type="dxa" w:w="23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Form template per bank, product and form type, with version, effective period and contract annex (FR-LCT-026, BR-LCT-017, specification 02 F-14)</w:t>
            </w:r>
          </w:p>
        </w:tc>
        <w:tc>
          <w:tcPr>
            <w:tcW w:type="dxa" w:w="2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3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‎lc.LcFormFieldMap‎</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Mapping of a system field to a PDF field or a portal-form item (FR-LCT-027, BR-LCT-020)</w:t>
            </w:r>
          </w:p>
        </w:tc>
        <w:tc>
          <w:tcPr>
            <w:tcW w:type="dxa" w:w="2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LcFormFieldMapId</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04"/>
        <w:gridCol w:w="1700"/>
        <w:gridCol w:w="872"/>
        <w:gridCol w:w="872"/>
        <w:gridCol w:w="872"/>
        <w:gridCol w:w="872"/>
        <w:gridCol w:w="872"/>
      </w:tblGrid>
      <w:tr>
        <w:trPr>
          <w:cantSplit/>
          <w:tblHeader/>
        </w:trPr>
        <w:tc>
          <w:tcPr>
            <w:tcW w:type="dxa" w:w="3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‎lc.LcFormTemplate.InstitutionId‎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‎lc.LcFormTemplate.ProductId‎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‎lc.LcFormTemplate.CompanyId‎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‎lc.LcFormTemplate.SourceDocumentId‎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‎lc.LcFormTemplate.AnnexDocumentId‎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‎lc.LcFormTemplate.LetterheadDocumentId‎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‎lc.LcFormFieldMap.TemplateId‎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4" w:id="94"/>
      <w:r>
        <w:rPr>
          <w:rFonts w:ascii="Arial" w:cs="Arial" w:eastAsia="Arial" w:hAnsi="Arial"/>
          <w:b/>
          <w:bCs/>
          <w:color w:val="2B5C8A"/>
          <w:sz w:val="23"/>
          <w:szCs w:val="23"/>
          <w:rtl/>
        </w:rPr>
        <w:t xml:space="preserve">م7/م8 · الاعتمادات والبروفورما (1/3)</w:t>
      </w:r>
      <w:bookmarkEnd w:id="94"/>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086475"/>
            <wp:effectExtent t="0" r="0" b="0" l="0"/>
            <wp:docPr id="1" name="diagrams/erd/m7_8_lc_ops_1.png" descr="م7/م8 · الاعتمادات والبروفورما (1/3)" title="م7/م8 · الاعتمادات والبروفورما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096000" cy="6086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6"/>
        <w:gridCol w:w="2368"/>
        <w:gridCol w:w="1992"/>
        <w:gridCol w:w="847"/>
        <w:gridCol w:w="847"/>
        <w:gridCol w:w="847"/>
        <w:gridCol w:w="847"/>
      </w:tblGrid>
      <w:tr>
        <w:trPr>
          <w:cantSplit/>
          <w:tblHeader/>
        </w:trPr>
        <w:tc>
          <w:tcPr>
            <w:tcW w:type="dxa" w:w="2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record for both sides: purchases (we are the applicant) and sales (we are the beneficiary) (FR-LCI-011..016, FR-LCE-009, BR-LCI-004/008/016, BR-LCE-007/009)</w:t>
            </w:r>
          </w:p>
        </w:tc>
        <w:tc>
          <w:tcPr>
            <w:tcW w:type="dxa" w:w="1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w:t>
            </w:r>
          </w:p>
        </w:tc>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reference for a credit (ERP and similar); no uniqueness; search on the normalised value (FR-LCI-013, BR-REQ-006)</w:t>
            </w:r>
          </w:p>
        </w:tc>
        <w:tc>
          <w:tcPr>
            <w:tcW w:type="dxa" w:w="1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LcExternalRefId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w:t>
            </w:r>
          </w:p>
        </w:tc>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to an issued or received letter of credit (FR-LCI-018/019, FR-LCE-020, BR-LCI-011/012, BR-LCE-014); statuses in section 8</w:t>
            </w:r>
          </w:p>
        </w:tc>
        <w:tc>
          <w:tcPr>
            <w:tcW w:type="dxa" w:w="1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Drawing or presentation of documents under a credit; for exports includes transfer of allocation (FR-LCI-023, BR-LCI-013, BR-LCE-011); statuses in section 8</w:t>
            </w:r>
          </w:p>
        </w:tc>
        <w:tc>
          <w:tcPr>
            <w:tcW w:type="dxa" w:w="1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2"/>
        <w:gridCol w:w="1749"/>
        <w:gridCol w:w="869"/>
        <w:gridCol w:w="869"/>
        <w:gridCol w:w="869"/>
        <w:gridCol w:w="869"/>
        <w:gridCol w:w="1487"/>
      </w:tblGrid>
      <w:tr>
        <w:trPr>
          <w:cantSplit/>
          <w:tblHeader/>
        </w:trPr>
        <w:tc>
          <w:tcPr>
            <w:tcW w:type="dxa" w:w="3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‎lc.LetterOfCredit.CounterpartyId‎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‎lc.LetterOfCredit.InstitutionId‎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‎lc.LetterOfCredit.RelationshipId‎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‎lc.LetterOfCredit.ProductId‎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‎lc.LetterOfCredit.LimitId‎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‎lc.LetterOfCredit.LimitProductLineId‎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‎lc.LetterOfCredit.UtilizationId‎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CompanyId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‎lc.LetterOfCredit.RequestId‎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‎lc.LetterOfCredit.ProformaId‎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‎lc.LetterOfCredit.CurrentTermsId‎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LcClass, CurrencyId, TolerancePlusPct, ToleranceMinusPct</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‎lc.LetterOfCredit.CurrencyId‎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‎lc.LcExternalRef.LcId‎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‎lc.LcExternalRef.SupersededById‎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‎lc.LcAmendment.CompanyId‎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‎lc.LcAmendment.LcId‎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‎lc.LcAmendment.RequestId‎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‎lc.LcAmendment.TermsId‎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TermsPurpose, CurrencyId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‎lc.LcAmendment.CurrencyId‎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‎lc.LcAmendment.AppliedBy‎</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‎lc.LcDrawing.CompanyId‎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‎lc.LcDrawing.LcId‎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‎lc.LcDrawing.CurrencyId‎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‎lc.LcDrawing.SettlementAccountId‎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‎lc.LcDrawing.RequestId‎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95" w:id="95"/>
      <w:r>
        <w:rPr>
          <w:rFonts w:ascii="Arial" w:cs="Arial" w:eastAsia="Arial" w:hAnsi="Arial"/>
          <w:b/>
          <w:bCs/>
          <w:color w:val="2B5C8A"/>
          <w:sz w:val="23"/>
          <w:szCs w:val="23"/>
          <w:rtl/>
        </w:rPr>
        <w:t xml:space="preserve">م7/م8 · الاعتمادات والبروفورما (2/3)</w:t>
      </w:r>
      <w:bookmarkEnd w:id="95"/>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257675"/>
            <wp:effectExtent t="0" r="0" b="0" l="0"/>
            <wp:docPr id="1" name="diagrams/erd/m7_8_lc_ops_2.png" descr="م7/م8 · الاعتمادات والبروفورما (2/3)" title="م7/م8 · الاعتمادات والبروفورما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4257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2"/>
        <w:gridCol w:w="2155"/>
        <w:gridCol w:w="2155"/>
        <w:gridCol w:w="823"/>
        <w:gridCol w:w="823"/>
        <w:gridCol w:w="823"/>
        <w:gridCol w:w="823"/>
      </w:tblGrid>
      <w:tr>
        <w:trPr>
          <w:cantSplit/>
          <w:tblHeader/>
        </w:trPr>
        <w:tc>
          <w:tcPr>
            <w:tcW w:type="dxa" w:w="2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Allocation of a sales order against a received credit; no credit limit corresponds to it (FR-LCE-013..015, BR-LCE-009..013); statuses in section 8</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Allocation of an export drawing across sales orders (FR-LCE-016/017, BR-LCE-011/013)</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LcDrawingAllocationId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Discrepancy on presented or issued documents; the decision requires the lc.discrepancy.decide permission (FR-LCI-024, FR-LCE-021, section 8)</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proforma invoice; after issue only its status, void reason and successor change (043, DR-41); number format {seq:000}-{erp}-{yy} (FR-LCE-005..008, BR-LCE-001..006)</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5"/>
        <w:gridCol w:w="1702"/>
        <w:gridCol w:w="882"/>
        <w:gridCol w:w="882"/>
        <w:gridCol w:w="882"/>
        <w:gridCol w:w="882"/>
        <w:gridCol w:w="1229"/>
      </w:tblGrid>
      <w:tr>
        <w:trPr>
          <w:cantSplit/>
          <w:tblHeader/>
        </w:trPr>
        <w:tc>
          <w:tcPr>
            <w:tcW w:type="dxa" w:w="3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‎lc.LcSalesOrder.CompanyId‎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‎lc.LcSalesOrder.LcId‎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‎lc.LcSalesOrder.RequestId‎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‎lc.LcSalesOrder.CurrencyId‎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‎lc.LcDrawingAllocation.LcId‎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‎lc.LcDrawingAllocation.DrawingId‎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‎lc.LcDrawingAllocation.SalesOrderId‎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CurrencyId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‎lc.LcDrawingAllocation.CurrencyId‎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‎lc.LcDiscrepancy.LcId‎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‎lc.LcDiscrepancy.DrawingId‎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‎lc.LcDiscrepancy.DecidedBy‎</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‎lc.ProformaInvoice.CompanyId‎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‎lc.ProformaInvoice.RequestId‎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‎lc.ProformaInvoice.CustomerId‎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‎lc.ProformaInvoice.CurrencyId‎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‎lc.ProformaInvoice.TermsId‎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TermsPurpose, 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‎lc.ProformaInvoice.ProceedsAccountId‎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‎lc.ProformaInvoice.DocumentId‎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‎lc.ProformaInvoice.SupersededById‎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96" w:id="96"/>
      <w:r>
        <w:rPr>
          <w:rFonts w:ascii="Arial" w:cs="Arial" w:eastAsia="Arial" w:hAnsi="Arial"/>
          <w:b/>
          <w:bCs/>
          <w:color w:val="2B5C8A"/>
          <w:sz w:val="23"/>
          <w:szCs w:val="23"/>
          <w:rtl/>
        </w:rPr>
        <w:t xml:space="preserve">م7/م8 · الاعتمادات والبروفورما (3/3)</w:t>
      </w:r>
      <w:bookmarkEnd w:id="96"/>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333750"/>
            <wp:effectExtent t="0" r="0" b="0" l="0"/>
            <wp:docPr id="1" name="diagrams/erd/m7_8_lc_ops_3.png" descr="م7/م8 · الاعتمادات والبروفورما (3/3)" title="م7/م8 · الاعتمادات والبروفورما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3333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58"/>
        <w:gridCol w:w="1332"/>
        <w:gridCol w:w="2546"/>
        <w:gridCol w:w="832"/>
        <w:gridCol w:w="832"/>
        <w:gridCol w:w="832"/>
        <w:gridCol w:w="832"/>
      </w:tblGrid>
      <w:tr>
        <w:trPr>
          <w:cantSplit/>
          <w:tblHeader/>
        </w:trPr>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5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item in the proforma (FR-LCE-003, BR-LCE-001); fixed after issue: written once, never updated (DR-41)</w:t>
            </w:r>
          </w:p>
        </w:tc>
        <w:tc>
          <w:tcPr>
            <w:tcW w:type="dxa" w:w="25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ProformaLineId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Result of comparing received credit terms with the proforma (FR-LCT-031, FR-LCE-023, BR-LCT-021)</w:t>
            </w:r>
          </w:p>
        </w:tc>
        <w:tc>
          <w:tcPr>
            <w:tcW w:type="dxa" w:w="25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One field difference, its verdict and the treasury decision (FR-LCT-031, BR-LCT-021)</w:t>
            </w:r>
          </w:p>
        </w:tc>
        <w:tc>
          <w:tcPr>
            <w:tcW w:type="dxa" w:w="25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0"/>
        <w:gridCol w:w="1891"/>
        <w:gridCol w:w="882"/>
        <w:gridCol w:w="882"/>
        <w:gridCol w:w="882"/>
        <w:gridCol w:w="882"/>
        <w:gridCol w:w="945"/>
      </w:tblGrid>
      <w:tr>
        <w:trPr>
          <w:cantSplit/>
          <w:tblHeader/>
        </w:trPr>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‎lc.ProformaLine.ProformaId‎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‎lc.ProformaLine.CurrencyId‎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‎lc.LcTermsComparison.BaselineTermsId‎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‎lc.LcTermsComparison.ReceivedTermsId‎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‎lc.LcTermsComparison.RunBy‎</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‎lc.LcTermsComparisonLine.ComparisonId‎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97" w:id="97"/>
      <w:r>
        <w:rPr>
          <w:rFonts w:ascii="Arial" w:cs="Arial" w:eastAsia="Arial" w:hAnsi="Arial"/>
          <w:b/>
          <w:bCs/>
          <w:color w:val="1F3A5F"/>
          <w:sz w:val="32"/>
          <w:szCs w:val="32"/>
          <w:rtl/>
        </w:rPr>
        <w:t xml:space="preserve">11. أنماط التصميم للمجالات الرئيسية</w:t>
      </w:r>
      <w:bookmarkEnd w:id="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6"/>
        <w:gridCol w:w="8038"/>
      </w:tblGrid>
      <w:tr>
        <w:trPr>
          <w:cantSplit/>
          <w:tblHeader/>
        </w:trPr>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98" w:id="98"/>
      <w:r>
        <w:rPr>
          <w:rFonts w:ascii="Arial" w:cs="Arial" w:eastAsia="Arial" w:hAnsi="Arial"/>
          <w:b/>
          <w:bCs/>
          <w:color w:val="2B5C8A"/>
          <w:sz w:val="26"/>
          <w:szCs w:val="26"/>
          <w:rtl/>
        </w:rPr>
        <w:t xml:space="preserve">11.1 إقفال دورة العمل بيد إدارة الخزينة (C-7)</w:t>
      </w:r>
      <w:bookmarkEnd w:id="98"/>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5343"/>
        <w:gridCol w:w="1644"/>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(افتراض يُؤكَّد، O-10)</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كـ«قيد التنفيذ»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المواصفة 13 لم تُعدَّل بعد</w:t>
      </w:r>
      <w:r>
        <w:rPr>
          <w:rFonts w:ascii="Arial" w:cs="Arial" w:eastAsia="Arial" w:hAnsi="Arial"/>
          <w:b w:val="false"/>
          <w:bCs w:val="false"/>
          <w:sz w:val="21"/>
          <w:szCs w:val="21"/>
          <w:rtl/>
        </w:rPr>
        <w:t xml:space="preserve"> (O-10)، لذا هذا التغيير معلَّق لحين اعتماده رسميًا.</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2"/>
        <w:bidi/>
      </w:pPr>
      <w:bookmarkStart w:name="_sec99" w:id="99"/>
      <w:r>
        <w:rPr>
          <w:rFonts w:ascii="Arial" w:cs="Arial" w:eastAsia="Arial" w:hAnsi="Arial"/>
          <w:b/>
          <w:bCs/>
          <w:color w:val="2B5C8A"/>
          <w:sz w:val="26"/>
          <w:szCs w:val="26"/>
          <w:rtl/>
        </w:rPr>
        <w:t xml:space="preserve">11.2 الملكية المتعددة والمراجع المركّبة (DR-04 · DR-06 · DR-09 · DR-10)</w:t>
      </w:r>
      <w:bookmarkEnd w:id="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4932"/>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(قبل الإصلاح)</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 المعتمد</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أو جهة اتصال مالكها متعدد الأشكال (</w:t>
            </w:r>
            <w:r>
              <w:rPr>
                <w:rFonts w:ascii="Courier New" w:cs="Courier New" w:eastAsia="Courier New" w:hAnsi="Courier New"/>
                <w:b w:val="false"/>
                <w:bCs w:val="false"/>
                <w:color w:val="1F2937"/>
                <w:sz w:val="16"/>
                <w:szCs w:val="16"/>
                <w:shd w:fill="F1F3F5" w:color="auto" w:val="clear"/>
                <w:rtl/>
              </w:rPr>
              <w:t xml:space="preserve">‎OwnerType‎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‎OwnerId‎</w:t>
            </w:r>
            <w:r>
              <w:rPr>
                <w:rFonts w:ascii="Arial" w:cs="Arial" w:eastAsia="Arial" w:hAnsi="Arial"/>
                <w:b w:val="false"/>
                <w:bCs w:val="false"/>
                <w:sz w:val="18"/>
                <w:szCs w:val="18"/>
                <w:rtl/>
              </w:rPr>
              <w:t xml:space="preserve">) لا يحميه مفتاح أجنبي (DR-04)</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أقواس خارجية: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‎InstitutionId‎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‎ContactId‎</w:t>
            </w:r>
            <w:r>
              <w:rPr>
                <w:rFonts w:ascii="Arial" w:cs="Arial" w:eastAsia="Arial" w:hAnsi="Arial"/>
                <w:b w:val="false"/>
                <w:bCs w:val="false"/>
                <w:sz w:val="18"/>
                <w:szCs w:val="18"/>
                <w:rtl/>
              </w:rPr>
              <w:t xml:space="preserve"> مفاتيح أجنبية فعلية اختيارية،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يفرض </w:t>
            </w:r>
            <w:r>
              <w:rPr>
                <w:rFonts w:ascii="Arial" w:cs="Arial" w:eastAsia="Arial" w:hAnsi="Arial"/>
                <w:b/>
                <w:bCs/>
                <w:sz w:val="18"/>
                <w:szCs w:val="18"/>
                <w:rtl/>
              </w:rPr>
              <w:t xml:space="preserve">عمودًا واحدًا فقط</w:t>
            </w:r>
            <w:r>
              <w:rPr>
                <w:rFonts w:ascii="Arial" w:cs="Arial" w:eastAsia="Arial" w:hAnsi="Arial"/>
                <w:b w:val="false"/>
                <w:bCs w:val="false"/>
                <w:sz w:val="18"/>
                <w:szCs w:val="18"/>
                <w:rtl/>
              </w:rPr>
              <w:t xml:space="preserve"> غير فارغ، وفرادة مصفّاة لكل قوس</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‎PricingRule.ScopeLimitProductLineId‎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‎TermValue.LimitProductLineId‎</w:t>
            </w:r>
            <w:r>
              <w:rPr>
                <w:rFonts w:ascii="Arial" w:cs="Arial" w:eastAsia="Arial" w:hAnsi="Arial"/>
                <w:b w:val="false"/>
                <w:bCs w:val="false"/>
                <w:sz w:val="18"/>
                <w:szCs w:val="18"/>
                <w:rtl/>
              </w:rPr>
              <w:t xml:space="preserve"> تُربط بخط المنتج وحده، فيجوز أن يخص خط منتج حدًا آخر (DR-06)</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بالتسهيل والحد: </w:t>
            </w:r>
            <w:r>
              <w:rPr>
                <w:rFonts w:ascii="Courier New" w:cs="Courier New" w:eastAsia="Courier New" w:hAnsi="Courier New"/>
                <w:b w:val="false"/>
                <w:bCs w:val="false"/>
                <w:color w:val="1F2937"/>
                <w:sz w:val="16"/>
                <w:szCs w:val="16"/>
                <w:shd w:fill="F1F3F5" w:color="auto" w:val="clear"/>
                <w:rtl/>
              </w:rPr>
              <w:t xml:space="preserve">‎via=FacilityId,ScopeLimitId&gt;LimitId‎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‎via=FacilityId,LimitId‎</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r>
              <w:rPr>
                <w:rFonts w:ascii="Arial" w:cs="Arial" w:eastAsia="Arial" w:hAnsi="Arial"/>
                <w:b w:val="false"/>
                <w:bCs w:val="false"/>
                <w:sz w:val="18"/>
                <w:szCs w:val="18"/>
                <w:rtl/>
              </w:rPr>
              <w:t xml:space="preserve"> لا يربط المرحلة بقالب الطلب الذي تنتمي إليه (DR-09)</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‎TemplateId‎</w:t>
            </w:r>
            <w:r>
              <w:rPr>
                <w:rFonts w:ascii="Arial" w:cs="Arial" w:eastAsia="Arial" w:hAnsi="Arial"/>
                <w:b w:val="false"/>
                <w:bCs w:val="false"/>
                <w:sz w:val="18"/>
                <w:szCs w:val="18"/>
                <w:rtl/>
              </w:rPr>
              <w:t xml:space="preserve"> إلزامي، و</w:t>
            </w:r>
            <w:r>
              <w:rPr>
                <w:rFonts w:ascii="Courier New" w:cs="Courier New" w:eastAsia="Courier New" w:hAnsi="Courier New"/>
                <w:b w:val="false"/>
                <w:bCs w:val="false"/>
                <w:color w:val="1F2937"/>
                <w:sz w:val="16"/>
                <w:szCs w:val="16"/>
                <w:shd w:fill="F1F3F5" w:color="auto" w:val="clear"/>
                <w:rtl/>
              </w:rPr>
              <w:t xml:space="preserve">‎StageId‎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‎ResumeStageId‎</w:t>
            </w:r>
            <w:r>
              <w:rPr>
                <w:rFonts w:ascii="Arial" w:cs="Arial" w:eastAsia="Arial" w:hAnsi="Arial"/>
                <w:b w:val="false"/>
                <w:bCs w:val="false"/>
                <w:sz w:val="18"/>
                <w:szCs w:val="18"/>
                <w:rtl/>
              </w:rPr>
              <w:t xml:space="preserve"> مركّبان به: لا تُنفَّذ مرحلة من قالب آخر</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‎lc.LcSalesOrder‎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‎LcDrawing‎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‎LcAmendment‎</w:t>
            </w:r>
            <w:r>
              <w:rPr>
                <w:rFonts w:ascii="Arial" w:cs="Arial" w:eastAsia="Arial" w:hAnsi="Arial"/>
                <w:b w:val="false"/>
                <w:bCs w:val="false"/>
                <w:sz w:val="18"/>
                <w:szCs w:val="18"/>
                <w:rtl/>
              </w:rPr>
              <w:t xml:space="preserve"> لا تربط الطلب بخطاب الاعتماد أو بالطلب الآخر في الشركة نفسها (DR-10)</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بـ</w:t>
            </w:r>
            <w:r>
              <w:rPr>
                <w:rFonts w:ascii="Courier New" w:cs="Courier New" w:eastAsia="Courier New" w:hAnsi="Courier New"/>
                <w:b w:val="false"/>
                <w:bCs w:val="false"/>
                <w:color w:val="1F2937"/>
                <w:sz w:val="16"/>
                <w:szCs w:val="16"/>
                <w:shd w:fill="F1F3F5" w:color="auto" w:val="clear"/>
                <w:rtl/>
              </w:rPr>
              <w:t xml:space="preserve">‎CompanyId‎</w:t>
            </w:r>
            <w:r>
              <w:rPr>
                <w:rFonts w:ascii="Arial" w:cs="Arial" w:eastAsia="Arial" w:hAnsi="Arial"/>
                <w:b w:val="false"/>
                <w:bCs w:val="false"/>
                <w:sz w:val="18"/>
                <w:szCs w:val="18"/>
                <w:rtl/>
              </w:rPr>
              <w:t xml:space="preserve">، فلا يُربط طلب شركة بخطاب اعتماد أو بتعديل لشركة أخرى</w:t>
            </w:r>
          </w:p>
        </w:tc>
      </w:tr>
    </w:tbl>
    <w:p>
      <w:pPr>
        <w:bidi/>
        <w:spacing w:after="120" w:before="0"/>
      </w:pPr>
    </w:p>
    <w:p>
      <w:pPr>
        <w:pStyle w:val="Heading2"/>
        <w:bidi/>
      </w:pPr>
      <w:bookmarkStart w:name="_sec100" w:id="100"/>
      <w:r>
        <w:rPr>
          <w:rFonts w:ascii="Arial" w:cs="Arial" w:eastAsia="Arial" w:hAnsi="Arial"/>
          <w:b/>
          <w:bCs/>
          <w:color w:val="2B5C8A"/>
          <w:sz w:val="26"/>
          <w:szCs w:val="26"/>
          <w:rtl/>
        </w:rPr>
        <w:t xml:space="preserve">11.3 الكتالوجات المملوكة للمشترك (DR-03 · DR-05 · DR-07)</w:t>
      </w:r>
      <w:bookmarkEnd w:id="100"/>
    </w:p>
    <w:p>
      <w:pPr>
        <w:bidi/>
        <w:spacing w:after="110" w:before="0" w:line="312"/>
      </w:pPr>
      <w:r>
        <w:rPr>
          <w:rFonts w:ascii="Arial" w:cs="Arial" w:eastAsia="Arial" w:hAnsi="Arial"/>
          <w:b w:val="false"/>
          <w:bCs w:val="false"/>
          <w:sz w:val="21"/>
          <w:szCs w:val="21"/>
          <w:rtl/>
        </w:rPr>
        <w:t xml:space="preserve">كان </w:t>
      </w:r>
      <w:r>
        <w:rPr>
          <w:rFonts w:ascii="Courier New" w:cs="Courier New" w:eastAsia="Courier New" w:hAnsi="Courier New"/>
          <w:b w:val="false"/>
          <w:bCs w:val="false"/>
          <w:color w:val="1F2937"/>
          <w:sz w:val="18"/>
          <w:szCs w:val="18"/>
          <w:shd w:fill="F1F3F5" w:color="auto" w:val="clear"/>
          <w:rtl/>
        </w:rPr>
        <w:t xml:space="preserve">‎cat.LookupList‎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‎cat.LookupItem‎</w:t>
      </w:r>
      <w:r>
        <w:rPr>
          <w:rFonts w:ascii="Arial" w:cs="Arial" w:eastAsia="Arial" w:hAnsi="Arial"/>
          <w:b w:val="false"/>
          <w:bCs w:val="false"/>
          <w:sz w:val="21"/>
          <w:szCs w:val="21"/>
          <w:rtl/>
        </w:rPr>
        <w:t xml:space="preserve"> جدولين مختلطين، تشير إليهما 13 عمودًا من جداول المشترك، وتشترك فيهما قيم المنصة بين المشتركين بلا نسخة يملكها كل مشترك. بعد الإصلاح:</w:t>
      </w:r>
    </w:p>
    <w:p>
      <w:pPr>
        <w:pStyle w:val="ListParagraph"/>
        <w:numPr>
          <w:ilvl w:val="0"/>
          <w:numId w:val="3"/>
        </w:numPr>
        <w:bidi/>
        <w:spacing w:after="70" w:before="0" w:line="300"/>
      </w:pPr>
      <w:r>
        <w:rPr>
          <w:rFonts w:ascii="Arial" w:cs="Arial" w:eastAsia="Arial" w:hAnsi="Arial"/>
          <w:b w:val="false"/>
          <w:bCs w:val="false"/>
          <w:sz w:val="21"/>
          <w:szCs w:val="21"/>
          <w:rtl/>
        </w:rPr>
        <w:t xml:space="preserve">الجدولان </w:t>
      </w:r>
      <w:r>
        <w:rPr>
          <w:rFonts w:ascii="Arial" w:cs="Arial" w:eastAsia="Arial" w:hAnsi="Arial"/>
          <w:b/>
          <w:bCs/>
          <w:sz w:val="21"/>
          <w:szCs w:val="21"/>
          <w:rtl/>
        </w:rPr>
        <w:t xml:space="preserve">مملوكان للمشترك</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ولا صفوف مختلطة في الكتالوجات.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‎Scope = SYSTEM‎</w:t>
      </w:r>
      <w:r>
        <w:rPr>
          <w:rFonts w:ascii="Arial" w:cs="Arial" w:eastAsia="Arial" w:hAnsi="Arial"/>
          <w:b w:val="false"/>
          <w:bCs w:val="false"/>
          <w:sz w:val="21"/>
          <w:szCs w:val="21"/>
          <w:rtl/>
        </w:rPr>
        <w:t xml:space="preserve"> قائمة من قالب المنصة تُنسخ لكل مشترك عند التهيئة (</w:t>
      </w:r>
      <w:r>
        <w:rPr>
          <w:rFonts w:ascii="Courier New" w:cs="Courier New" w:eastAsia="Courier New" w:hAnsi="Courier New"/>
          <w:b w:val="false"/>
          <w:bCs w:val="false"/>
          <w:color w:val="1F2937"/>
          <w:sz w:val="18"/>
          <w:szCs w:val="18"/>
          <w:shd w:fill="F1F3F5" w:color="auto" w:val="clear"/>
          <w:rtl/>
        </w:rPr>
        <w:t xml:space="preserve">‎IsSystem = 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‎Scope = TENANT‎</w:t>
      </w:r>
      <w:r>
        <w:rPr>
          <w:rFonts w:ascii="Arial" w:cs="Arial" w:eastAsia="Arial" w:hAnsi="Arial"/>
          <w:b w:val="false"/>
          <w:bCs w:val="false"/>
          <w:sz w:val="21"/>
          <w:szCs w:val="21"/>
          <w:rtl/>
        </w:rPr>
        <w:t xml:space="preserve"> قائمة يعرّفها المشترك (</w:t>
      </w:r>
      <w:r>
        <w:rPr>
          <w:rFonts w:ascii="Courier New" w:cs="Courier New" w:eastAsia="Courier New" w:hAnsi="Courier New"/>
          <w:b w:val="false"/>
          <w:bCs w:val="false"/>
          <w:color w:val="1F2937"/>
          <w:sz w:val="18"/>
          <w:szCs w:val="18"/>
          <w:shd w:fill="F1F3F5" w:color="auto" w:val="clear"/>
          <w:rtl/>
        </w:rPr>
        <w:t xml:space="preserve">‎IsSystem = 0‎</w:t>
      </w:r>
      <w:r>
        <w:rPr>
          <w:rFonts w:ascii="Arial" w:cs="Arial" w:eastAsia="Arial" w:hAnsi="Arial"/>
          <w:b w:val="false"/>
          <w:bCs w:val="false"/>
          <w:sz w:val="21"/>
          <w:szCs w:val="21"/>
          <w:rtl/>
        </w:rPr>
        <w:t xml:space="preserve">)، وقيد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كل مرجع إلى بند قائمة مركّب </w:t>
      </w:r>
      <w:r>
        <w:rPr>
          <w:rFonts w:ascii="Courier New" w:cs="Courier New" w:eastAsia="Courier New" w:hAnsi="Courier New"/>
          <w:b w:val="false"/>
          <w:bCs w:val="false"/>
          <w:color w:val="1F2937"/>
          <w:sz w:val="18"/>
          <w:szCs w:val="18"/>
          <w:shd w:fill="F1F3F5" w:color="auto" w:val="clear"/>
          <w:rtl/>
        </w:rPr>
        <w:t xml:space="preserve">‎(TenantId, LookupItemId)‎</w:t>
      </w:r>
      <w:r>
        <w:rPr>
          <w:rFonts w:ascii="Arial" w:cs="Arial" w:eastAsia="Arial" w:hAnsi="Arial"/>
          <w:b w:val="false"/>
          <w:bCs w:val="false"/>
          <w:sz w:val="21"/>
          <w:szCs w:val="21"/>
          <w:rtl/>
        </w:rPr>
        <w:t xml:space="preserve">، فلا يشير مشترك إلى بند يخص مشتركًا آخر.</w:t>
      </w:r>
    </w:p>
    <w:p>
      <w:pPr>
        <w:pStyle w:val="ListParagraph"/>
        <w:numPr>
          <w:ilvl w:val="0"/>
          <w:numId w:val="3"/>
        </w:numPr>
        <w:bidi/>
        <w:spacing w:after="70" w:before="0" w:line="300"/>
      </w:pPr>
      <w:r>
        <w:rPr>
          <w:rFonts w:ascii="Arial" w:cs="Arial" w:eastAsia="Arial" w:hAnsi="Arial"/>
          <w:b w:val="false"/>
          <w:bCs w:val="false"/>
          <w:sz w:val="21"/>
          <w:szCs w:val="21"/>
          <w:rtl/>
        </w:rPr>
        <w:t xml:space="preserve">ثمن ذلك نسخ متعددة لقيم النظام بعدد المشتركين. تحديث القالب لاحقًا يُطبَّق على النسخ بمطابقة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ولا يكتب فوق تعديلات المشترك (§13).</w:t>
      </w:r>
    </w:p>
    <w:p>
      <w:pPr>
        <w:bidi/>
        <w:spacing w:after="60" w:before="0"/>
      </w:pPr>
    </w:p>
    <w:p>
      <w:pPr>
        <w:pStyle w:val="Heading1"/>
        <w:bidi/>
      </w:pPr>
      <w:bookmarkStart w:name="_sec101" w:id="101"/>
      <w:r>
        <w:rPr>
          <w:rFonts w:ascii="Arial" w:cs="Arial" w:eastAsia="Arial" w:hAnsi="Arial"/>
          <w:b/>
          <w:bCs/>
          <w:color w:val="1F3A5F"/>
          <w:sz w:val="32"/>
          <w:szCs w:val="32"/>
          <w:rtl/>
        </w:rPr>
        <w:t xml:space="preserve">12. النشر وإدارة التغيير</w:t>
      </w:r>
      <w:bookmarkEnd w:id="101"/>
    </w:p>
    <w:p>
      <w:pPr>
        <w:pStyle w:val="Heading2"/>
        <w:bidi/>
      </w:pPr>
      <w:bookmarkStart w:name="_sec102" w:id="102"/>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10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Production (Ubuntu 24.04 LTS, ADR 0001) and CI (ADR 0010): an administrator prepares the database once and opens the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window; the deployment login (db_owner only) runs the wrapper, which changes to db/ and runs deploy.sql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prepare            # first time: empty BankFas, owner bankfas_owner, login 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open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SQL_SERVER=&lt;server&gt; SQL_USER=bankfas_migrator SQLCMDPASSWORD="$(cat &lt;secret file&gt;)" tools/deploy/deploy.sh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close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tools/deploy/provision_logins.sh                    # the service logins (ADR 0009)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The same thing by hand: cd db &amp;&amp; sqlcmd -S &lt;server&gt; -U &lt;login&gt; -I -b -i deploy.sql</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Windows host (kept, not run yet): tools\deploy\deploy.ps1 -Server &lt;server&gt;</w:t>
      </w:r>
    </w:p>
    <w:p>
      <w:pPr>
        <w:pStyle w:val="ListParagraph"/>
        <w:numPr>
          <w:ilvl w:val="0"/>
          <w:numId w:val="5"/>
        </w:numPr>
        <w:bidi/>
        <w:spacing w:after="70" w:before="0" w:line="300"/>
      </w:pPr>
      <w:r>
        <w:rPr>
          <w:rFonts w:ascii="Arial" w:cs="Arial" w:eastAsia="Arial" w:hAnsi="Arial"/>
          <w:b w:val="false"/>
          <w:bCs w:val="false"/>
          <w:sz w:val="21"/>
          <w:szCs w:val="21"/>
          <w:rtl/>
        </w:rPr>
        <w:t xml:space="preserve">إنشاء القاعدة بـ </w:t>
      </w:r>
      <w:r>
        <w:rPr>
          <w:rFonts w:ascii="Courier New" w:cs="Courier New" w:eastAsia="Courier New" w:hAnsi="Courier New"/>
          <w:b w:val="false"/>
          <w:bCs w:val="false"/>
          <w:color w:val="1F2937"/>
          <w:sz w:val="18"/>
          <w:szCs w:val="18"/>
          <w:shd w:fill="F1F3F5" w:color="auto" w:val="clear"/>
          <w:rtl/>
        </w:rPr>
        <w:t xml:space="preserve">‎Arabic_100_CI_AS_SC‎</w:t>
      </w:r>
      <w:r>
        <w:rPr>
          <w:rFonts w:ascii="Arial" w:cs="Arial" w:eastAsia="Arial" w:hAnsi="Arial"/>
          <w:b w:val="false"/>
          <w:bCs w:val="false"/>
          <w:sz w:val="21"/>
          <w:szCs w:val="21"/>
          <w:rtl/>
        </w:rPr>
        <w:t xml:space="preserve"> إن لم تكن موجودة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 وجدول الربط)</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 يحتاج دوال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‎028_tenant_settings‎</w:t>
      </w:r>
      <w:r>
        <w:rPr>
          <w:rFonts w:ascii="Arial" w:cs="Arial" w:eastAsia="Arial" w:hAnsi="Arial"/>
          <w:b w:val="false"/>
          <w:bCs w:val="false"/>
          <w:sz w:val="21"/>
          <w:szCs w:val="21"/>
          <w:rtl/>
        </w:rPr>
        <w:t xml:space="preserve"> (إعدادات المشترك ضمن حدود المنصة، ADR 0004) → </w:t>
      </w:r>
      <w:r>
        <w:rPr>
          <w:rFonts w:ascii="Courier New" w:cs="Courier New" w:eastAsia="Courier New" w:hAnsi="Courier New"/>
          <w:b w:val="false"/>
          <w:bCs w:val="false"/>
          <w:color w:val="1F2937"/>
          <w:sz w:val="18"/>
          <w:szCs w:val="18"/>
          <w:shd w:fill="F1F3F5" w:color="auto" w:val="clear"/>
          <w:rtl/>
        </w:rPr>
        <w:t xml:space="preserve">‎029_audit_writer‎</w:t>
      </w:r>
      <w:r>
        <w:rPr>
          <w:rFonts w:ascii="Arial" w:cs="Arial" w:eastAsia="Arial" w:hAnsi="Arial"/>
          <w:b w:val="false"/>
          <w:bCs w:val="false"/>
          <w:sz w:val="21"/>
          <w:szCs w:val="21"/>
          <w:rtl/>
        </w:rPr>
        <w:t xml:space="preserve"> (كاتب التدقيق وقادح محاولات الدخول، ADR 0007)</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(إجراءات الدخول والربط بـ</w:t>
      </w:r>
      <w:r>
        <w:rPr>
          <w:rFonts w:ascii="Courier New" w:cs="Courier New" w:eastAsia="Courier New" w:hAnsi="Courier New"/>
          <w:b w:val="false"/>
          <w:bCs w:val="false"/>
          <w:color w:val="1F2937"/>
          <w:sz w:val="18"/>
          <w:szCs w:val="18"/>
          <w:shd w:fill="F1F3F5" w:color="auto" w:val="clear"/>
          <w:rtl/>
        </w:rPr>
        <w:t xml:space="preserve">‎EXECUTE AS tp_auth_exec‎</w:t>
      </w:r>
      <w:r>
        <w:rPr>
          <w:rFonts w:ascii="Arial" w:cs="Arial" w:eastAsia="Arial" w:hAnsi="Arial"/>
          <w:b w:val="false"/>
          <w:bCs w:val="false"/>
          <w:sz w:val="21"/>
          <w:szCs w:val="21"/>
          <w:rtl/>
        </w:rPr>
        <w:t xml:space="preserve">، وقوادح السحب، وكل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تزيله منح 007 لو سبقتها)</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‎035_account_security‎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‎036_operator_and_support‎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‎037_job_context‎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‎038_tenant_onboarding‎</w:t>
      </w:r>
      <w:r>
        <w:rPr>
          <w:rFonts w:ascii="Arial" w:cs="Arial" w:eastAsia="Arial" w:hAnsi="Arial"/>
          <w:b w:val="false"/>
          <w:bCs w:val="false"/>
          <w:sz w:val="21"/>
          <w:szCs w:val="21"/>
          <w:rtl/>
        </w:rPr>
        <w:t xml:space="preserve"> (ADR 0003 و0004) → </w:t>
      </w:r>
      <w:r>
        <w:rPr>
          <w:rFonts w:ascii="Courier New" w:cs="Courier New" w:eastAsia="Courier New" w:hAnsi="Courier New"/>
          <w:b w:val="false"/>
          <w:bCs w:val="false"/>
          <w:color w:val="1F2937"/>
          <w:sz w:val="18"/>
          <w:szCs w:val="18"/>
          <w:shd w:fill="F1F3F5" w:color="auto" w:val="clear"/>
          <w:rtl/>
        </w:rPr>
        <w:t xml:space="preserve">‎039_numbering‎</w:t>
      </w:r>
      <w:r>
        <w:rPr>
          <w:rFonts w:ascii="Arial" w:cs="Arial" w:eastAsia="Arial" w:hAnsi="Arial"/>
          <w:b w:val="false"/>
          <w:bCs w:val="false"/>
          <w:sz w:val="21"/>
          <w:szCs w:val="21"/>
          <w:rtl/>
        </w:rPr>
        <w:t xml:space="preserve"> (الترقيم، ADR 0005) → </w:t>
      </w:r>
      <w:r>
        <w:rPr>
          <w:rFonts w:ascii="Courier New" w:cs="Courier New" w:eastAsia="Courier New" w:hAnsi="Courier New"/>
          <w:b w:val="false"/>
          <w:bCs w:val="false"/>
          <w:color w:val="1F2937"/>
          <w:sz w:val="18"/>
          <w:szCs w:val="18"/>
          <w:shd w:fill="F1F3F5" w:color="auto" w:val="clear"/>
          <w:rtl/>
        </w:rPr>
        <w:t xml:space="preserve">‎041_kyc_profile_versions‎</w:t>
      </w:r>
      <w:r>
        <w:rPr>
          <w:rFonts w:ascii="Arial" w:cs="Arial" w:eastAsia="Arial" w:hAnsi="Arial"/>
          <w:b w:val="false"/>
          <w:bCs w:val="false"/>
          <w:sz w:val="21"/>
          <w:szCs w:val="21"/>
          <w:rtl/>
        </w:rPr>
        <w:t xml:space="preserve"> (نسخ ملفات الاكتمال، ADR 0006) → </w:t>
      </w:r>
      <w:r>
        <w:rPr>
          <w:rFonts w:ascii="Courier New" w:cs="Courier New" w:eastAsia="Courier New" w:hAnsi="Courier New"/>
          <w:b w:val="false"/>
          <w:bCs w:val="false"/>
          <w:color w:val="1F2937"/>
          <w:sz w:val="18"/>
          <w:szCs w:val="18"/>
          <w:shd w:fill="F1F3F5" w:color="auto" w:val="clear"/>
          <w:rtl/>
        </w:rPr>
        <w:t xml:space="preserve">‎042_data_export‎</w:t>
      </w:r>
      <w:r>
        <w:rPr>
          <w:rFonts w:ascii="Arial" w:cs="Arial" w:eastAsia="Arial" w:hAnsi="Arial"/>
          <w:b w:val="false"/>
          <w:bCs w:val="false"/>
          <w:sz w:val="21"/>
          <w:szCs w:val="21"/>
          <w:rtl/>
        </w:rPr>
        <w:t xml:space="preserve"> (التصدير في كل حالة تسمح به، ADR 0008)</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‎050_fac_share_rule‎</w:t>
      </w:r>
      <w:r>
        <w:rPr>
          <w:rFonts w:ascii="Arial" w:cs="Arial" w:eastAsia="Arial" w:hAnsi="Arial"/>
          <w:b w:val="false"/>
          <w:bCs w:val="false"/>
          <w:sz w:val="21"/>
          <w:szCs w:val="21"/>
          <w:rtl/>
        </w:rPr>
        <w:t xml:space="preserve"> (قاعدة حصص المقرضين)</w:t>
      </w:r>
    </w:p>
    <w:p>
      <w:pPr>
        <w:pStyle w:val="ListParagraph"/>
        <w:numPr>
          <w:ilvl w:val="0"/>
          <w:numId w:val="5"/>
        </w:numPr>
        <w:bidi/>
        <w:spacing w:after="70" w:before="0" w:line="300"/>
      </w:pPr>
      <w:r>
        <w:rPr>
          <w:rFonts w:ascii="Arial" w:cs="Arial" w:eastAsia="Arial" w:hAnsi="Arial"/>
          <w:b w:val="false"/>
          <w:bCs w:val="false"/>
          <w:sz w:val="21"/>
          <w:szCs w:val="21"/>
          <w:rtl/>
        </w:rPr>
        <w:t xml:space="preserve">البذور العالمية: </w:t>
      </w:r>
      <w:r>
        <w:rPr>
          <w:rFonts w:ascii="Courier New" w:cs="Courier New" w:eastAsia="Courier New" w:hAnsi="Courier New"/>
          <w:b w:val="false"/>
          <w:bCs w:val="false"/>
          <w:color w:val="1F2937"/>
          <w:sz w:val="18"/>
          <w:szCs w:val="18"/>
          <w:shd w:fill="F1F3F5" w:color="auto" w:val="clear"/>
          <w:rtl/>
        </w:rPr>
        <w:t xml:space="preserve">‎seed/100_platform_global‎</w:t>
      </w:r>
      <w:r>
        <w:rPr>
          <w:rFonts w:ascii="Arial" w:cs="Arial" w:eastAsia="Arial" w:hAnsi="Arial"/>
          <w:b w:val="false"/>
          <w:bCs w:val="false"/>
          <w:sz w:val="21"/>
          <w:szCs w:val="21"/>
          <w:rtl/>
        </w:rPr>
        <w:t xml:space="preserve"> (الإعدادات والمهام والباقة والعناوين المحجوزة) → </w:t>
      </w:r>
      <w:r>
        <w:rPr>
          <w:rFonts w:ascii="Courier New" w:cs="Courier New" w:eastAsia="Courier New" w:hAnsi="Courier New"/>
          <w:b w:val="false"/>
          <w:bCs w:val="false"/>
          <w:color w:val="1F2937"/>
          <w:sz w:val="18"/>
          <w:szCs w:val="18"/>
          <w:shd w:fill="F1F3F5" w:color="auto" w:val="clear"/>
          <w:rtl/>
        </w:rPr>
        <w:t xml:space="preserve">‎seed/101_iso_reference‎</w:t>
      </w:r>
      <w:r>
        <w:rPr>
          <w:rFonts w:ascii="Arial" w:cs="Arial" w:eastAsia="Arial" w:hAnsi="Arial"/>
          <w:b w:val="false"/>
          <w:bCs w:val="false"/>
          <w:sz w:val="21"/>
          <w:szCs w:val="21"/>
          <w:rtl/>
        </w:rPr>
        <w:t xml:space="preserve"> (الدول والعملات) → </w:t>
      </w:r>
      <w:r>
        <w:rPr>
          <w:rFonts w:ascii="Courier New" w:cs="Courier New" w:eastAsia="Courier New" w:hAnsi="Courier New"/>
          <w:b w:val="false"/>
          <w:bCs w:val="false"/>
          <w:color w:val="1F2937"/>
          <w:sz w:val="18"/>
          <w:szCs w:val="18"/>
          <w:shd w:fill="F1F3F5" w:color="auto" w:val="clear"/>
          <w:rtl/>
        </w:rPr>
        <w:t xml:space="preserve">‎seed/102_permissions‎</w:t>
      </w:r>
      <w:r>
        <w:rPr>
          <w:rFonts w:ascii="Arial" w:cs="Arial" w:eastAsia="Arial" w:hAnsi="Arial"/>
          <w:b w:val="false"/>
          <w:bCs w:val="false"/>
          <w:sz w:val="21"/>
          <w:szCs w:val="21"/>
          <w:rtl/>
        </w:rPr>
        <w:t xml:space="preserve"> (الصلاحيات) → </w:t>
      </w:r>
      <w:r>
        <w:rPr>
          <w:rFonts w:ascii="Courier New" w:cs="Courier New" w:eastAsia="Courier New" w:hAnsi="Courier New"/>
          <w:b w:val="false"/>
          <w:bCs w:val="false"/>
          <w:color w:val="1F2937"/>
          <w:sz w:val="18"/>
          <w:szCs w:val="18"/>
          <w:shd w:fill="F1F3F5" w:color="auto" w:val="clear"/>
          <w:rtl/>
        </w:rPr>
        <w:t xml:space="preserve">‎seed/103_lc_reference‎</w:t>
      </w:r>
      <w:r>
        <w:rPr>
          <w:rFonts w:ascii="Arial" w:cs="Arial" w:eastAsia="Arial" w:hAnsi="Arial"/>
          <w:b w:val="false"/>
          <w:bCs w:val="false"/>
          <w:sz w:val="21"/>
          <w:szCs w:val="21"/>
          <w:rtl/>
        </w:rPr>
        <w:t xml:space="preserve"> (Incoterms ومواد UCP 600)؛ إدراج فقط، وتعيد الخطوة 4b في CI تشغيلها وتشترط ألا يتغير شيء</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pStyle w:val="ListParagraph"/>
        <w:numPr>
          <w:ilvl w:val="0"/>
          <w:numId w:val="5"/>
        </w:numPr>
        <w:bidi/>
        <w:spacing w:after="70" w:before="0" w:line="300"/>
      </w:pPr>
      <w:r>
        <w:rPr>
          <w:rFonts w:ascii="Arial" w:cs="Arial" w:eastAsia="Arial" w:hAnsi="Arial"/>
          <w:b w:val="false"/>
          <w:bCs w:val="false"/>
          <w:sz w:val="21"/>
          <w:szCs w:val="21"/>
          <w:rtl/>
        </w:rPr>
        <w:t xml:space="preserve">بعد النشر، بحساب مدير شخصي يملك إنشاء الحسابات: </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1"/>
          <w:szCs w:val="21"/>
          <w:rtl/>
        </w:rPr>
        <w:t xml:space="preserve"> ينشئ حسابات الخدمة الأربعة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كلٌّ بزوج a/b للتدوير) ويربط كلًا بدوره وحده، وأسرارها من ملفات خاصة لا من سطر الأوامر (ADR 0009، DOC-S08)</w:t>
      </w:r>
    </w:p>
    <w:p>
      <w:pPr>
        <w:bidi/>
        <w:spacing w:after="60" w:before="0"/>
      </w:pPr>
    </w:p>
    <w:p>
      <w:pPr>
        <w:bidi/>
        <w:spacing w:after="110" w:before="0" w:line="312"/>
      </w:pPr>
      <w:r>
        <w:rPr>
          <w:rFonts w:ascii="Arial" w:cs="Arial" w:eastAsia="Arial" w:hAnsi="Arial"/>
          <w:b/>
          <w:bCs/>
          <w:sz w:val="21"/>
          <w:szCs w:val="21"/>
          <w:rtl/>
        </w:rPr>
        <w:t xml:space="preserve">الفحص:</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يفحص الملفات (لا القاعدة) في الخطوة 3 من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قبل النشر،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w:t>
      </w:r>
      <w:r>
        <w:rPr>
          <w:rFonts w:ascii="Arial" w:cs="Arial" w:eastAsia="Arial" w:hAnsi="Arial"/>
          <w:b/>
          <w:bCs/>
          <w:sz w:val="21"/>
          <w:szCs w:val="21"/>
          <w:rtl/>
        </w:rPr>
        <w:t xml:space="preserve">لا يوجد بعدُ مسار ترحيل بين الإصدارات</w:t>
      </w:r>
      <w:r>
        <w:rPr>
          <w:rFonts w:ascii="Arial" w:cs="Arial" w:eastAsia="Arial" w:hAnsi="Arial"/>
          <w:b w:val="false"/>
          <w:bCs w:val="false"/>
          <w:sz w:val="21"/>
          <w:szCs w:val="21"/>
          <w:rtl/>
        </w:rPr>
        <w:t xml:space="preserve"> (O-2).</w:t>
      </w:r>
    </w:p>
    <w:p>
      <w:pPr>
        <w:pStyle w:val="Heading2"/>
        <w:bidi/>
      </w:pPr>
      <w:bookmarkStart w:name="_sec103" w:id="103"/>
      <w:r>
        <w:rPr>
          <w:rFonts w:ascii="Arial" w:cs="Arial" w:eastAsia="Arial" w:hAnsi="Arial"/>
          <w:b/>
          <w:bCs/>
          <w:color w:val="2B5C8A"/>
          <w:sz w:val="26"/>
          <w:szCs w:val="26"/>
          <w:rtl/>
        </w:rPr>
        <w:t xml:space="preserve">12.2 تغيير النموذج</w:t>
      </w:r>
      <w:bookmarkEnd w:id="103"/>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104" w:id="104"/>
      <w:r>
        <w:rPr>
          <w:rFonts w:ascii="Arial" w:cs="Arial" w:eastAsia="Arial" w:hAnsi="Arial"/>
          <w:b/>
          <w:bCs/>
          <w:color w:val="2B5C8A"/>
          <w:sz w:val="26"/>
          <w:szCs w:val="26"/>
          <w:rtl/>
        </w:rPr>
        <w:t xml:space="preserve">12.3 النسخ الاحتياطي والاستعادة (توصيات للتشغيل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104"/>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105" w:id="105"/>
      <w:r>
        <w:rPr>
          <w:rFonts w:ascii="Arial" w:cs="Arial" w:eastAsia="Arial" w:hAnsi="Arial"/>
          <w:b/>
          <w:bCs/>
          <w:color w:val="2B5C8A"/>
          <w:sz w:val="26"/>
          <w:szCs w:val="26"/>
          <w:rtl/>
        </w:rPr>
        <w:t xml:space="preserve">12.4 الأداء والحمل</w:t>
      </w:r>
      <w:bookmarkEnd w:id="105"/>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106" w:id="106"/>
      <w:r>
        <w:rPr>
          <w:rFonts w:ascii="Arial" w:cs="Arial" w:eastAsia="Arial" w:hAnsi="Arial"/>
          <w:b/>
          <w:bCs/>
          <w:color w:val="1F3A5F"/>
          <w:sz w:val="32"/>
          <w:szCs w:val="32"/>
          <w:rtl/>
        </w:rPr>
        <w:t xml:space="preserve">13. البذور وتهيئة المشترك</w:t>
      </w:r>
      <w:bookmarkEnd w:id="1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4080"/>
        <w:gridCol w:w="4786"/>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47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w:t>
            </w:r>
            <w:r>
              <w:rPr>
                <w:rFonts w:ascii="Arial" w:cs="Arial" w:eastAsia="Arial" w:hAnsi="Arial"/>
                <w:b w:val="false"/>
                <w:bCs w:val="false"/>
                <w:sz w:val="18"/>
                <w:szCs w:val="18"/>
                <w:rtl/>
              </w:rPr>
              <w:t xml:space="preserve"> وصفوف المنصة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بذور عند النشر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بإدراج آمن لإعادة التشغيل تتحقق منه الخطوة 4b في CI.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وصفوف المنصة في الجداول المختلطة يكتبها السكربت بمستخدم مؤقت من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يُحذف بعده.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وتعريفات حقول الاعتماد مملوكة للمشترك في النموذج، فتُبذر في حزمتي المشترك NTF.BASE وLC.BASE لا هنا (DOC-B05 §5.1).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(ستة مفاتيح أمنية، 30 مهمة، الباقة STANDARD بوحداتها التسع، 23 عنوانًا محجوزًا)، و</w:t>
            </w:r>
            <w:r>
              <w:rPr>
                <w:rFonts w:ascii="Courier New" w:cs="Courier New" w:eastAsia="Courier New" w:hAnsi="Courier New"/>
                <w:b w:val="false"/>
                <w:bCs w:val="false"/>
                <w:color w:val="1F2937"/>
                <w:sz w:val="16"/>
                <w:szCs w:val="16"/>
                <w:shd w:fill="F1F3F5" w:color="auto" w:val="clear"/>
                <w:rtl/>
              </w:rPr>
              <w:t xml:space="preserve">‎101‎</w:t>
            </w:r>
            <w:r>
              <w:rPr>
                <w:rFonts w:ascii="Arial" w:cs="Arial" w:eastAsia="Arial" w:hAnsi="Arial"/>
                <w:b w:val="false"/>
                <w:bCs w:val="false"/>
                <w:sz w:val="18"/>
                <w:szCs w:val="18"/>
                <w:rtl/>
              </w:rPr>
              <w:t xml:space="preserve"> (249 دولة و157 عملة بإصدار ISO مسجَّل، DQ-B05-5)، و</w:t>
            </w:r>
            <w:r>
              <w:rPr>
                <w:rFonts w:ascii="Courier New" w:cs="Courier New" w:eastAsia="Courier New" w:hAnsi="Courier New"/>
                <w:b w:val="false"/>
                <w:bCs w:val="false"/>
                <w:color w:val="1F2937"/>
                <w:sz w:val="16"/>
                <w:szCs w:val="16"/>
                <w:shd w:fill="F1F3F5" w:color="auto" w:val="clear"/>
                <w:rtl/>
              </w:rPr>
              <w:t xml:space="preserve">‎102‎</w:t>
            </w:r>
            <w:r>
              <w:rPr>
                <w:rFonts w:ascii="Arial" w:cs="Arial" w:eastAsia="Arial" w:hAnsi="Arial"/>
                <w:b w:val="false"/>
                <w:bCs w:val="false"/>
                <w:sz w:val="18"/>
                <w:szCs w:val="18"/>
                <w:rtl/>
              </w:rPr>
              <w:t xml:space="preserve"> (138 صلاحية، خمس منها مقفلة على TM وFO، DQ-F07-1 وDQ-F09-1)؛ المولِّدان </w:t>
            </w:r>
            <w:r>
              <w:rPr>
                <w:rFonts w:ascii="Courier New" w:cs="Courier New" w:eastAsia="Courier New" w:hAnsi="Courier New"/>
                <w:b w:val="false"/>
                <w:bCs w:val="false"/>
                <w:color w:val="1F2937"/>
                <w:sz w:val="16"/>
                <w:szCs w:val="16"/>
                <w:shd w:fill="F1F3F5" w:color="auto" w:val="clear"/>
                <w:rtl/>
              </w:rPr>
              <w:t xml:space="preserve">‎tools/dbgen/gen_iso_seed.py‎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‎gen_permission_seed.py‎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(16 قاعدة Incoterms منها 5 قديمة LEGACY، ومواد UCP 600 الـ39 صفوفَ منصة بحالة UNVERIFIED حتى يتحقق مختص، O-06) (ADR 0005). البذر العالمي في الوثائق مكتمل؛ والعطل الرسمية يدخلها المشغّل (FR-PLT-035)</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4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ونسخ كتالوجات النظام لهذا المشترك (§11.3)، والأدوار القياسية وربطها بالصلاحيات، وقوالب دورات العمل، وتعريفات الترقيم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بلا فجوات)، وملفات KYC المسبقة، وقواعد الإشعارات، ووحدات الاشتراك في </w:t>
            </w: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47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منفّذ بمرحلتين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ينشئ المشترك ووحداته وحساب الخدمة والمدير الأول المدعو في معاملة واحدة، ثم تبذر مهمة التهيئة الحزم في التطبيق وتدعو المدير الأول (</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107" w:id="107"/>
      <w:r>
        <w:rPr>
          <w:rFonts w:ascii="Arial" w:cs="Arial" w:eastAsia="Arial" w:hAnsi="Arial"/>
          <w:b/>
          <w:bCs/>
          <w:color w:val="1F3A5F"/>
          <w:sz w:val="32"/>
          <w:szCs w:val="32"/>
          <w:rtl/>
        </w:rPr>
        <w:t xml:space="preserve">14. أدلة التحقق وحدودها (بصراحة)</w:t>
      </w:r>
      <w:bookmarkEnd w:id="1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2"/>
        <w:gridCol w:w="5007"/>
        <w:gridCol w:w="1745"/>
      </w:tblGrid>
      <w:tr>
        <w:trPr>
          <w:cantSplit/>
          <w:tblHeader/>
        </w:trPr>
        <w:tc>
          <w:tcPr>
            <w:tcW w:type="dxa" w:w="31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50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198 جدولًا / 3,324 عمودًا؛ لا مراجع معلّقة؛ لا مخالفة لقواعد النطاق</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194 جدولًا / 763 مفتاحًا أجنبيًا / 691 قيد فريد أو أساسي (تشغيل سابق قبل إضافة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198 جدولًا، 249 منحة مولّدة، 83 منحة ثابتة، 31 عمودًا مقيّدًا، القواعد R1–R11؛ يعمل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الإصلاحات الحرجة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24 من 24</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يفحص أن كل إصلاح من DR-01 إلى DR-10 موجود في DDL المولَّد، لا في الوثيقة وحدها</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نشر كامل لـ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على قاعدة جديدة في كل تشغيل لـ </w:t>
            </w:r>
            <w:r>
              <w:rPr>
                <w:rFonts w:ascii="Courier New" w:cs="Courier New" w:eastAsia="Courier New" w:hAnsi="Courier New"/>
                <w:b w:val="false"/>
                <w:bCs w:val="false"/>
                <w:color w:val="1F2937"/>
                <w:sz w:val="16"/>
                <w:szCs w:val="16"/>
                <w:shd w:fill="F1F3F5" w:color="auto" w:val="clear"/>
                <w:rtl/>
              </w:rPr>
              <w:t xml:space="preserve">‎tools/ci/db_ci.sh‎</w:t>
            </w:r>
            <w:r>
              <w:rPr>
                <w:rFonts w:ascii="Arial" w:cs="Arial" w:eastAsia="Arial" w:hAnsi="Arial"/>
                <w:b w:val="false"/>
                <w:bCs w:val="false"/>
                <w:sz w:val="18"/>
                <w:szCs w:val="18"/>
                <w:rtl/>
              </w:rPr>
              <w:t xml:space="preserve">، بحساب النشر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كما في الإنتاج (ADR 0010) (صورة Ubuntu 24.04، ومرّ أيضًا على صورة RHEL؛ ADR 0001) ثم مطابقة الكائنات المنشورة مع DDL المولَّد</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أن المحرك يقبل النص وترتيب النشر والمنح كما هي. صفحة الدعم الرسمية لـ Ubuntu 24.04 لم تُراجَع من بيئة العمل (O-23)</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التدفق المالي)</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جزئي</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‎db/tests/tenant_isolation_tests.sql‎</w:t>
            </w:r>
            <w:r>
              <w:rPr>
                <w:rFonts w:ascii="Arial" w:cs="Arial" w:eastAsia="Arial" w:hAnsi="Arial"/>
                <w:b w:val="false"/>
                <w:bCs w:val="false"/>
                <w:sz w:val="18"/>
                <w:szCs w:val="18"/>
                <w:rtl/>
              </w:rPr>
              <w:t xml:space="preserve"> 48 حالة (العزل، قراءة المنصة للتدقيق، ربط الاتصال، الدخول والقفل وMFA، حالة المشترك، حدود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‎db/tests/auth_flow_tests.sql‎</w:t>
            </w:r>
            <w:r>
              <w:rPr>
                <w:rFonts w:ascii="Arial" w:cs="Arial" w:eastAsia="Arial" w:hAnsi="Arial"/>
                <w:b w:val="false"/>
                <w:bCs w:val="false"/>
                <w:sz w:val="18"/>
                <w:szCs w:val="18"/>
                <w:rtl/>
              </w:rPr>
              <w:t xml:space="preserve"> 20 حالة (حسابات المستخدمين وإعدادات المشترك، ADR 0003 و0004) و</w:t>
            </w:r>
            <w:r>
              <w:rPr>
                <w:rFonts w:ascii="Courier New" w:cs="Courier New" w:eastAsia="Courier New" w:hAnsi="Courier New"/>
                <w:b w:val="false"/>
                <w:bCs w:val="false"/>
                <w:color w:val="1F2937"/>
                <w:sz w:val="16"/>
                <w:szCs w:val="16"/>
                <w:shd w:fill="F1F3F5" w:color="auto" w:val="clear"/>
                <w:rtl/>
              </w:rPr>
              <w:t xml:space="preserve">‎db/tests/operator_support_tests.sql‎</w:t>
            </w:r>
            <w:r>
              <w:rPr>
                <w:rFonts w:ascii="Arial" w:cs="Arial" w:eastAsia="Arial" w:hAnsi="Arial"/>
                <w:b w:val="false"/>
                <w:bCs w:val="false"/>
                <w:sz w:val="18"/>
                <w:szCs w:val="18"/>
                <w:rtl/>
              </w:rPr>
              <w:t xml:space="preserve"> 11 حالة و</w:t>
            </w:r>
            <w:r>
              <w:rPr>
                <w:rFonts w:ascii="Courier New" w:cs="Courier New" w:eastAsia="Courier New" w:hAnsi="Courier New"/>
                <w:b w:val="false"/>
                <w:bCs w:val="false"/>
                <w:color w:val="1F2937"/>
                <w:sz w:val="16"/>
                <w:szCs w:val="16"/>
                <w:shd w:fill="F1F3F5" w:color="auto" w:val="clear"/>
                <w:rtl/>
              </w:rPr>
              <w:t xml:space="preserve">‎db/tests/job_context_tests.sql‎</w:t>
            </w:r>
            <w:r>
              <w:rPr>
                <w:rFonts w:ascii="Arial" w:cs="Arial" w:eastAsia="Arial" w:hAnsi="Arial"/>
                <w:b w:val="false"/>
                <w:bCs w:val="false"/>
                <w:sz w:val="18"/>
                <w:szCs w:val="18"/>
                <w:rtl/>
              </w:rPr>
              <w:t xml:space="preserve"> 7 حالات و</w:t>
            </w:r>
            <w:r>
              <w:rPr>
                <w:rFonts w:ascii="Courier New" w:cs="Courier New" w:eastAsia="Courier New" w:hAnsi="Courier New"/>
                <w:b w:val="false"/>
                <w:bCs w:val="false"/>
                <w:color w:val="1F2937"/>
                <w:sz w:val="16"/>
                <w:szCs w:val="16"/>
                <w:shd w:fill="F1F3F5" w:color="auto" w:val="clear"/>
                <w:rtl/>
              </w:rPr>
              <w:t xml:space="preserve">‎db/tests/tenant_onboarding_tests.sql‎</w:t>
            </w:r>
            <w:r>
              <w:rPr>
                <w:rFonts w:ascii="Arial" w:cs="Arial" w:eastAsia="Arial" w:hAnsi="Arial"/>
                <w:b w:val="false"/>
                <w:bCs w:val="false"/>
                <w:sz w:val="18"/>
                <w:szCs w:val="18"/>
                <w:rtl/>
              </w:rPr>
              <w:t xml:space="preserve"> 5 حالات (ADR 0004) و</w:t>
            </w:r>
            <w:r>
              <w:rPr>
                <w:rFonts w:ascii="Courier New" w:cs="Courier New" w:eastAsia="Courier New" w:hAnsi="Courier New"/>
                <w:b w:val="false"/>
                <w:bCs w:val="false"/>
                <w:color w:val="1F2937"/>
                <w:sz w:val="16"/>
                <w:szCs w:val="16"/>
                <w:shd w:fill="F1F3F5" w:color="auto" w:val="clear"/>
                <w:rtl/>
              </w:rPr>
              <w:t xml:space="preserve">‎db/tests/numbering_tests.sql‎</w:t>
            </w:r>
            <w:r>
              <w:rPr>
                <w:rFonts w:ascii="Arial" w:cs="Arial" w:eastAsia="Arial" w:hAnsi="Arial"/>
                <w:b w:val="false"/>
                <w:bCs w:val="false"/>
                <w:sz w:val="18"/>
                <w:szCs w:val="18"/>
                <w:rtl/>
              </w:rPr>
              <w:t xml:space="preserve"> 8 حالات مع فحص تزامن بستة اتصالات (</w:t>
            </w:r>
            <w:r>
              <w:rPr>
                <w:rFonts w:ascii="Courier New" w:cs="Courier New" w:eastAsia="Courier New" w:hAnsi="Courier New"/>
                <w:b w:val="false"/>
                <w:bCs w:val="false"/>
                <w:color w:val="1F2937"/>
                <w:sz w:val="16"/>
                <w:szCs w:val="16"/>
                <w:shd w:fill="F1F3F5" w:color="auto" w:val="clear"/>
                <w:rtl/>
              </w:rPr>
              <w:t xml:space="preserve">‎tools/ci/numbering_concurrency.sh‎</w:t>
            </w:r>
            <w:r>
              <w:rPr>
                <w:rFonts w:ascii="Arial" w:cs="Arial" w:eastAsia="Arial" w:hAnsi="Arial"/>
                <w:b w:val="false"/>
                <w:bCs w:val="false"/>
                <w:sz w:val="18"/>
                <w:szCs w:val="18"/>
                <w:rtl/>
              </w:rPr>
              <w:t xml:space="preserve">: 114 رقمًا من 1 إلى 114 بلا تكرار ولا فجوة بعد 36 تراجعًا، ADR 0005) و</w:t>
            </w:r>
            <w:r>
              <w:rPr>
                <w:rFonts w:ascii="Courier New" w:cs="Courier New" w:eastAsia="Courier New" w:hAnsi="Courier New"/>
                <w:b w:val="false"/>
                <w:bCs w:val="false"/>
                <w:color w:val="1F2937"/>
                <w:sz w:val="16"/>
                <w:szCs w:val="16"/>
                <w:shd w:fill="F1F3F5" w:color="auto" w:val="clear"/>
                <w:rtl/>
              </w:rPr>
              <w:t xml:space="preserve">‎db/tests/kyc_history_tests.sql‎</w:t>
            </w:r>
            <w:r>
              <w:rPr>
                <w:rFonts w:ascii="Arial" w:cs="Arial" w:eastAsia="Arial" w:hAnsi="Arial"/>
                <w:b w:val="false"/>
                <w:bCs w:val="false"/>
                <w:sz w:val="18"/>
                <w:szCs w:val="18"/>
                <w:rtl/>
              </w:rPr>
              <w:t xml:space="preserve"> 4 حالات (الحذف المتتالي ونسخ ملفات الاكتمال، ADR 0006) و</w:t>
            </w:r>
            <w:r>
              <w:rPr>
                <w:rFonts w:ascii="Courier New" w:cs="Courier New" w:eastAsia="Courier New" w:hAnsi="Courier New"/>
                <w:b w:val="false"/>
                <w:bCs w:val="false"/>
                <w:color w:val="1F2937"/>
                <w:sz w:val="16"/>
                <w:szCs w:val="16"/>
                <w:shd w:fill="F1F3F5" w:color="auto" w:val="clear"/>
                <w:rtl/>
              </w:rPr>
              <w:t xml:space="preserve">‎db/tests/reference_data_tests.sql‎</w:t>
            </w:r>
            <w:r>
              <w:rPr>
                <w:rFonts w:ascii="Arial" w:cs="Arial" w:eastAsia="Arial" w:hAnsi="Arial"/>
                <w:b w:val="false"/>
                <w:bCs w:val="false"/>
                <w:sz w:val="18"/>
                <w:szCs w:val="18"/>
                <w:rtl/>
              </w:rPr>
              <w:t xml:space="preserve"> 4 حالات (قراءة المشترك للقوائم العالمية ومواد UCP، ومنعه من كتابتها) و</w:t>
            </w:r>
            <w:r>
              <w:rPr>
                <w:rFonts w:ascii="Courier New" w:cs="Courier New" w:eastAsia="Courier New" w:hAnsi="Courier New"/>
                <w:b w:val="false"/>
                <w:bCs w:val="false"/>
                <w:color w:val="1F2937"/>
                <w:sz w:val="16"/>
                <w:szCs w:val="16"/>
                <w:shd w:fill="F1F3F5" w:color="auto" w:val="clear"/>
                <w:rtl/>
              </w:rPr>
              <w:t xml:space="preserve">‎db/tests/audit_trail_tests.sql‎</w:t>
            </w:r>
            <w:r>
              <w:rPr>
                <w:rFonts w:ascii="Arial" w:cs="Arial" w:eastAsia="Arial" w:hAnsi="Arial"/>
                <w:b w:val="false"/>
                <w:bCs w:val="false"/>
                <w:sz w:val="18"/>
                <w:szCs w:val="18"/>
                <w:rtl/>
              </w:rPr>
              <w:t xml:space="preserve"> 7 حالات (صفوف التدقيق التي تكتبها القاعدة، ADR 0007) و</w:t>
            </w:r>
            <w:r>
              <w:rPr>
                <w:rFonts w:ascii="Courier New" w:cs="Courier New" w:eastAsia="Courier New" w:hAnsi="Courier New"/>
                <w:b w:val="false"/>
                <w:bCs w:val="false"/>
                <w:color w:val="1F2937"/>
                <w:sz w:val="16"/>
                <w:szCs w:val="16"/>
                <w:shd w:fill="F1F3F5" w:color="auto" w:val="clear"/>
                <w:rtl/>
              </w:rPr>
              <w:t xml:space="preserve">‎db/tests/data_export_tests.sql‎</w:t>
            </w:r>
            <w:r>
              <w:rPr>
                <w:rFonts w:ascii="Arial" w:cs="Arial" w:eastAsia="Arial" w:hAnsi="Arial"/>
                <w:b w:val="false"/>
                <w:bCs w:val="false"/>
                <w:sz w:val="18"/>
                <w:szCs w:val="18"/>
                <w:rtl/>
              </w:rPr>
              <w:t xml:space="preserve"> 6 حالات (التصدير في المعلّق والمغلق، ADR 0008) و</w:t>
            </w:r>
            <w:r>
              <w:rPr>
                <w:rFonts w:ascii="Courier New" w:cs="Courier New" w:eastAsia="Courier New" w:hAnsi="Courier New"/>
                <w:b w:val="false"/>
                <w:bCs w:val="false"/>
                <w:color w:val="1F2937"/>
                <w:sz w:val="16"/>
                <w:szCs w:val="16"/>
                <w:shd w:fill="F1F3F5" w:color="auto" w:val="clear"/>
                <w:rtl/>
              </w:rPr>
              <w:t xml:space="preserve">‎tools/ci/service_logins_check.sh‎</w:t>
            </w:r>
            <w:r>
              <w:rPr>
                <w:rFonts w:ascii="Arial" w:cs="Arial" w:eastAsia="Arial" w:hAnsi="Arial"/>
                <w:b w:val="false"/>
                <w:bCs w:val="false"/>
                <w:sz w:val="18"/>
                <w:szCs w:val="18"/>
                <w:rtl/>
              </w:rPr>
              <w:t xml:space="preserve"> 6 فحوص (حسابات الخدمة بأسرارها وصلاحياتها، ADR 0009) و</w:t>
            </w:r>
            <w:r>
              <w:rPr>
                <w:rFonts w:ascii="Courier New" w:cs="Courier New" w:eastAsia="Courier New" w:hAnsi="Courier New"/>
                <w:b w:val="false"/>
                <w:bCs w:val="false"/>
                <w:color w:val="1F2937"/>
                <w:sz w:val="16"/>
                <w:szCs w:val="16"/>
                <w:shd w:fill="F1F3F5" w:color="auto" w:val="clear"/>
                <w:rtl/>
              </w:rPr>
              <w:t xml:space="preserve">‎db/tests/fac_share_rule_tests.sql‎</w:t>
            </w:r>
            <w:r>
              <w:rPr>
                <w:rFonts w:ascii="Arial" w:cs="Arial" w:eastAsia="Arial" w:hAnsi="Arial"/>
                <w:b w:val="false"/>
                <w:bCs w:val="false"/>
                <w:sz w:val="18"/>
                <w:szCs w:val="18"/>
                <w:rtl/>
              </w:rPr>
              <w:t xml:space="preserve"> 6 حالات، وكلها تمر في CI</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تُكتب بعد: التدفق المالي (الحجز والاستغلال) خارج قاعدة الحصص</w:t>
            </w:r>
          </w:p>
        </w:tc>
      </w:tr>
    </w:tbl>
    <w:p>
      <w:pPr>
        <w:bidi/>
        <w:spacing w:after="120" w:before="0"/>
      </w:pPr>
    </w:p>
    <w:p>
      <w:pPr>
        <w:pStyle w:val="Heading1"/>
        <w:bidi/>
      </w:pPr>
      <w:bookmarkStart w:name="_sec108" w:id="108"/>
      <w:r>
        <w:rPr>
          <w:rFonts w:ascii="Arial" w:cs="Arial" w:eastAsia="Arial" w:hAnsi="Arial"/>
          <w:b/>
          <w:bCs/>
          <w:color w:val="1F3A5F"/>
          <w:sz w:val="32"/>
          <w:szCs w:val="32"/>
          <w:rtl/>
        </w:rPr>
        <w:t xml:space="preserve">15. القرارات المتخذة (تُعتمد ما لم تعترض)</w:t>
      </w:r>
      <w:bookmarkEnd w:id="1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4217"/>
        <w:gridCol w:w="4670"/>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2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6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داخل القاعدة وربط الاتصال برمز الجلسة (ADR 0002)؛ إجراءات 030 تعمل بصفة </w:t>
            </w:r>
            <w:r>
              <w:rPr>
                <w:rFonts w:ascii="Courier New" w:cs="Courier New" w:eastAsia="Courier New" w:hAnsi="Courier New"/>
                <w:b w:val="false"/>
                <w:bCs w:val="false"/>
                <w:color w:val="1F2937"/>
                <w:sz w:val="16"/>
                <w:szCs w:val="16"/>
                <w:shd w:fill="F1F3F5" w:color="auto" w:val="clear"/>
                <w:rtl/>
              </w:rPr>
              <w:t xml:space="preserve">‎tp_auth_exec‎</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الإصلاحات الحرجة العشرة</w:t>
            </w:r>
            <w:r>
              <w:rPr>
                <w:rFonts w:ascii="Arial" w:cs="Arial" w:eastAsia="Arial" w:hAnsi="Arial"/>
                <w:b w:val="false"/>
                <w:bCs w:val="false"/>
                <w:sz w:val="18"/>
                <w:szCs w:val="18"/>
                <w:rtl/>
              </w:rPr>
              <w:t xml:space="preserve"> (DR-01 إلى DR-10، C-12)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مُعتمدة ومُطبَّقة: كتالوجات مملوكة للمشترك بنسخ لكل مشترك (§11.3)، ومفتاح الغرض في مفاتيح التشفير، وأقواس المالك الخارجية والمراجع المركّبة (§11.2)،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w:t>
            </w:r>
          </w:p>
        </w:tc>
      </w:tr>
    </w:tbl>
    <w:p>
      <w:pPr>
        <w:bidi/>
        <w:spacing w:after="120" w:before="0"/>
      </w:pPr>
    </w:p>
    <w:p>
      <w:pPr>
        <w:pStyle w:val="Heading1"/>
        <w:bidi/>
      </w:pPr>
      <w:bookmarkStart w:name="_sec109" w:id="109"/>
      <w:r>
        <w:rPr>
          <w:rFonts w:ascii="Arial" w:cs="Arial" w:eastAsia="Arial" w:hAnsi="Arial"/>
          <w:b/>
          <w:bCs/>
          <w:color w:val="1F3A5F"/>
          <w:sz w:val="32"/>
          <w:szCs w:val="32"/>
          <w:rtl/>
        </w:rPr>
        <w:t xml:space="preserve">16. حدود معروفة ونقاط مفتوحة</w:t>
      </w:r>
      <w:bookmarkEnd w:id="1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2"/>
        <w:gridCol w:w="3998"/>
        <w:gridCol w:w="1486"/>
        <w:gridCol w:w="3438"/>
      </w:tblGrid>
      <w:tr>
        <w:trPr>
          <w:cantSplit/>
          <w:tblHeader/>
        </w:trPr>
        <w:tc>
          <w:tcPr>
            <w:tcW w:type="dxa" w:w="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w:t>
            </w:r>
            <w:r>
              <w:rPr>
                <w:rFonts w:ascii="Arial" w:cs="Arial" w:eastAsia="Arial" w:hAnsi="Arial"/>
                <w:b w:val="false"/>
                <w:bCs w:val="false"/>
                <w:sz w:val="18"/>
                <w:szCs w:val="18"/>
                <w:rtl/>
              </w:rPr>
              <w:t xml:space="preserve"> (§14)</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في بيئة التطوير:</w:t>
            </w:r>
            <w:r>
              <w:rPr>
                <w:rFonts w:ascii="Arial" w:cs="Arial" w:eastAsia="Arial" w:hAnsi="Arial"/>
                <w:b w:val="false"/>
                <w:bCs w:val="false"/>
                <w:sz w:val="18"/>
                <w:szCs w:val="18"/>
                <w:rtl/>
              </w:rPr>
              <w:t xml:space="preserve"> النشر الكامل على SQL Server 2025 يمر في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مع 41 حالة عزل و6 لقاعدة الحصص</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يمر أيضًا على GitHub (</w:t>
            </w:r>
            <w:r>
              <w:rPr>
                <w:rFonts w:ascii="Courier New" w:cs="Courier New" w:eastAsia="Courier New" w:hAnsi="Courier New"/>
                <w:b w:val="false"/>
                <w:bCs w:val="false"/>
                <w:color w:val="1F2937"/>
                <w:sz w:val="16"/>
                <w:szCs w:val="16"/>
                <w:shd w:fill="F1F3F5" w:color="auto" w:val="clear"/>
                <w:rtl/>
              </w:rPr>
              <w:t xml:space="preserve">‎.github/workflows/treasury-db-ci.yml‎</w:t>
            </w:r>
            <w:r>
              <w:rPr>
                <w:rFonts w:ascii="Arial" w:cs="Arial" w:eastAsia="Arial" w:hAnsi="Arial"/>
                <w:b w:val="false"/>
                <w:bCs w:val="false"/>
                <w:sz w:val="18"/>
                <w:szCs w:val="18"/>
                <w:rtl/>
              </w:rPr>
              <w:t xml:space="preserve"> في جذر المستودع)؛ يبقى النشر على خادم الإنتاج (O-02، erd_open_items)</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(DbUp أو Flyway) عند أول نشر فعلي على بيانات حقيقية</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(§13)</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البذر العالمي منفّذ (2026-10-13):</w:t>
            </w:r>
            <w:r>
              <w:rPr>
                <w:rFonts w:ascii="Arial" w:cs="Arial" w:eastAsia="Arial" w:hAnsi="Arial"/>
                <w:b w:val="false"/>
                <w:bCs w:val="false"/>
                <w:sz w:val="18"/>
                <w:szCs w:val="18"/>
                <w:rtl/>
              </w:rPr>
              <w:t xml:space="preserve"> الإعدادات والمهام والباقة والعناوين المحجوزة والدول والعملات والصلاحيات وIncoterms ومواد UCP 600 (ADR 0004 و0005)</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 حزم المشترك في التطبيق (DOC-B05 §5)، والتحقق من مواد UCP على النص الرسمي (O-06)</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(3)</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إجراءات ضيقة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‎usp_SetAuthContext‎</w:t>
            </w:r>
            <w:r>
              <w:rPr>
                <w:rFonts w:ascii="Arial" w:cs="Arial" w:eastAsia="Arial" w:hAnsi="Arial"/>
                <w:b w:val="false"/>
                <w:bCs w:val="false"/>
                <w:sz w:val="18"/>
                <w:szCs w:val="18"/>
                <w:rtl/>
              </w:rPr>
              <w:t xml:space="preserve"> (ADR 0002 وADR 0003، DQ-F03-1): </w:t>
            </w:r>
            <w:r>
              <w:rPr>
                <w:rFonts w:ascii="Courier New" w:cs="Courier New" w:eastAsia="Courier New" w:hAnsi="Courier New"/>
                <w:b w:val="false"/>
                <w:bCs w:val="false"/>
                <w:color w:val="1F2937"/>
                <w:sz w:val="16"/>
                <w:szCs w:val="16"/>
                <w:shd w:fill="F1F3F5" w:color="auto" w:val="clear"/>
                <w:rtl/>
              </w:rPr>
              <w:t xml:space="preserve">‎usp_ResolveTenant‎</w:t>
            </w:r>
            <w:r>
              <w:rPr>
                <w:rFonts w:ascii="Arial" w:cs="Arial" w:eastAsia="Arial" w:hAnsi="Arial"/>
                <w:b w:val="false"/>
                <w:bCs w:val="false"/>
                <w:sz w:val="18"/>
                <w:szCs w:val="18"/>
                <w:rtl/>
              </w:rPr>
              <w:t xml:space="preserve"> والدخول وMFA والدعوة وإعادة التعيين في 030 و035</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تتبع قرار الإقفال، والمواصفة ما زالت تقول إن الإكمال تلقائي عند المرحلة الأخيرة</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(حقل </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جدول الحالات، </w:t>
            </w:r>
            <w:r>
              <w:rPr>
                <w:rFonts w:ascii="Courier New" w:cs="Courier New" w:eastAsia="Courier New" w:hAnsi="Courier New"/>
                <w:b w:val="false"/>
                <w:bCs w:val="false"/>
                <w:color w:val="1F2937"/>
                <w:sz w:val="16"/>
                <w:szCs w:val="16"/>
                <w:shd w:fill="F1F3F5" w:color="auto" w:val="clear"/>
                <w:rtl/>
              </w:rPr>
              <w:t xml:space="preserve">‎ExternalPhase‎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‎FR-WFL‎</w:t>
            </w:r>
            <w:r>
              <w:rPr>
                <w:rFonts w:ascii="Arial" w:cs="Arial" w:eastAsia="Arial" w:hAnsi="Arial"/>
                <w:b w:val="false"/>
                <w:bCs w:val="false"/>
                <w:sz w:val="18"/>
                <w:szCs w:val="18"/>
                <w:rtl/>
              </w:rPr>
              <w:t xml:space="preserve">) بعد موافقتك؛ </w:t>
            </w:r>
            <w:r>
              <w:rPr>
                <w:rFonts w:ascii="Arial" w:cs="Arial" w:eastAsia="Arial" w:hAnsi="Arial"/>
                <w:b/>
                <w:bCs/>
                <w:sz w:val="18"/>
                <w:szCs w:val="18"/>
                <w:rtl/>
              </w:rPr>
              <w:t xml:space="preserve">أكّد أيضًا أن الرفض والإلغاء يبقيان فوريين</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الربط برمز جلسة يصدره الدخول داخل القاعدة (ADR 0002، O-17 erd_open_items)؛ ومخاطر داخل المشترك (O-24) أُغلقت بـ ADR 0003 عدا ما يذكره</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للتهيئة والحالة والدعم (2026-10-12،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إجراءات الإصلاح تُكتب عند الحاجة، كل منها بإجراء مُراجَع</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غير قابل للتعديل أو تجزئة منشورة دوريًا؛ قرار تشغيلي</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O-15</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36 نتيجة رئيسية و4 طفيفة</w:t>
            </w:r>
            <w:r>
              <w:rPr>
                <w:rFonts w:ascii="Arial" w:cs="Arial" w:eastAsia="Arial" w:hAnsi="Arial"/>
                <w:b w:val="false"/>
                <w:bCs w:val="false"/>
                <w:sz w:val="18"/>
                <w:szCs w:val="18"/>
                <w:rtl/>
              </w:rPr>
              <w:t xml:space="preserve"> من المراجعة (</w:t>
            </w:r>
            <w:r>
              <w:rPr>
                <w:rFonts w:ascii="Courier New" w:cs="Courier New" w:eastAsia="Courier New" w:hAnsi="Courier New"/>
                <w:b w:val="false"/>
                <w:bCs w:val="false"/>
                <w:color w:val="1F2937"/>
                <w:sz w:val="16"/>
                <w:szCs w:val="16"/>
                <w:shd w:fill="F1F3F5" w:color="auto" w:val="clear"/>
                <w:rtl/>
              </w:rPr>
              <w:t xml:space="preserve">‎docs/review/design-review-2026-10-11.json‎</w:t>
            </w:r>
            <w:r>
              <w:rPr>
                <w:rFonts w:ascii="Arial" w:cs="Arial" w:eastAsia="Arial" w:hAnsi="Arial"/>
                <w:b w:val="false"/>
                <w:bCs w:val="false"/>
                <w:sz w:val="18"/>
                <w:szCs w:val="18"/>
                <w:rtl/>
              </w:rPr>
              <w:t xml:space="preserve">)</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بعضها يغيّر أعمدة أو قيودًا</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 ADR 0011):</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الدفعة (أ) مُطبَّقة في 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r>
              <w:rPr>
                <w:rFonts w:ascii="Arial" w:cs="Arial" w:eastAsia="Arial" w:hAnsi="Arial"/>
                <w:b w:val="false"/>
                <w:bCs w:val="false"/>
                <w:sz w:val="18"/>
                <w:szCs w:val="18"/>
                <w:rtl/>
              </w:rPr>
              <w:t xml:space="preserve">، الاختبارات RF1 إلى RF18،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في CI)؛ ست نتائج والأجزاء الباقية شروط دخول لشرائحها (S1 إلى S4)، وDR-20 محلولة بـ DR-02</w:t>
            </w:r>
          </w:p>
        </w:tc>
      </w:tr>
    </w:tbl>
    <w:p>
      <w:pPr>
        <w:bidi/>
        <w:spacing w:after="120" w:before="0"/>
      </w:pPr>
    </w:p>
    <w:p>
      <w:pPr>
        <w:pStyle w:val="Heading1"/>
        <w:bidi/>
      </w:pPr>
      <w:bookmarkStart w:name="_sec110" w:id="110"/>
      <w:r>
        <w:rPr>
          <w:rFonts w:ascii="Arial" w:cs="Arial" w:eastAsia="Arial" w:hAnsi="Arial"/>
          <w:b/>
          <w:bCs/>
          <w:color w:val="1F3A5F"/>
          <w:sz w:val="32"/>
          <w:szCs w:val="32"/>
          <w:rtl/>
        </w:rPr>
        <w:t xml:space="preserve">17. الخطوة التالية</w:t>
      </w:r>
      <w:bookmarkEnd w:id="110"/>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DB-21 والنقاط O-9 إلى O-13 و O-15، والأسئلة التي تحتاج قرارك: </w:t>
      </w:r>
      <w:r>
        <w:rPr>
          <w:rFonts w:ascii="Arial" w:cs="Arial" w:eastAsia="Arial" w:hAnsi="Arial"/>
          <w:b/>
          <w:bCs/>
          <w:sz w:val="21"/>
          <w:szCs w:val="21"/>
          <w:rtl/>
        </w:rPr>
        <w:t xml:space="preserve">هل تعتمد تعديل المواصفة 13 (O-10)؟</w:t>
      </w:r>
      <w:r>
        <w:rPr>
          <w:rFonts w:ascii="Arial" w:cs="Arial" w:eastAsia="Arial" w:hAnsi="Arial"/>
          <w:b w:val="false"/>
          <w:bCs w:val="false"/>
          <w:sz w:val="21"/>
          <w:szCs w:val="21"/>
          <w:rtl/>
        </w:rPr>
        <w:t xml:space="preserve"> نتائج المراجعة الـ40 (O-15) قُرّرت وطُبّقت دفعتها الأولى (ADR 0011).</w:t>
      </w:r>
    </w:p>
    <w:p>
      <w:pPr>
        <w:pStyle w:val="ListParagraph"/>
        <w:numPr>
          <w:ilvl w:val="0"/>
          <w:numId w:val="6"/>
        </w:numPr>
        <w:bidi/>
        <w:spacing w:after="70" w:before="0" w:line="300"/>
      </w:pPr>
      <w:r>
        <w:rPr>
          <w:rFonts w:ascii="Arial" w:cs="Arial" w:eastAsia="Arial" w:hAnsi="Arial"/>
          <w:b w:val="false"/>
          <w:bCs w:val="false"/>
          <w:sz w:val="21"/>
          <w:szCs w:val="21"/>
          <w:rtl/>
        </w:rPr>
        <w:t xml:space="preserve">النشر على SQL Server 2025 تم في بيئة التطوير ويمر CI (O-1)؛ ويمر على GitHub أيضًا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يبقى النشر على خادم الإنتاج (O-02، erd_open_items).</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الواجهات والشريحة الرأسية S0. O-9 وO-11 محلولان بـ ADR 0002 وADR 0003، وO-12 للتهيئة والدعم بـ ADR 0004.</w:t>
      </w:r>
    </w:p>
    <w:p>
      <w:pPr>
        <w:bidi/>
        <w:spacing w:after="60" w:before="0"/>
      </w:pPr>
    </w:p>
    <w:p>
      <w:pPr>
        <w:pStyle w:val="Heading1"/>
        <w:bidi/>
      </w:pPr>
      <w:bookmarkStart w:name="_sec111" w:id="111"/>
      <w:r>
        <w:rPr>
          <w:rFonts w:ascii="Arial" w:cs="Arial" w:eastAsia="Arial" w:hAnsi="Arial"/>
          <w:b/>
          <w:bCs/>
          <w:color w:val="1F3A5F"/>
          <w:sz w:val="32"/>
          <w:szCs w:val="32"/>
          <w:rtl/>
        </w:rPr>
        <w:t xml:space="preserve">18. مراجعة التصميم (Design review)</w:t>
      </w:r>
      <w:bookmarkEnd w:id="111"/>
    </w:p>
    <w:p>
      <w:pPr>
        <w:bidi/>
        <w:spacing w:after="110" w:before="0" w:line="312"/>
      </w:pPr>
      <w:r>
        <w:rPr>
          <w:rFonts w:ascii="Arial" w:cs="Arial" w:eastAsia="Arial" w:hAnsi="Arial"/>
          <w:b w:val="false"/>
          <w:bCs w:val="false"/>
          <w:sz w:val="21"/>
          <w:szCs w:val="21"/>
          <w:rtl/>
        </w:rPr>
        <w:t xml:space="preserve">أجرى فريق من خمسة مهندسي قواعد بيانات مراجعة مستقلة لكل مجموعة وحدات، فحصت كل جدول وكل علاقة مفتاح أجنبي على أسس النمذجة العلائقية: التطبيع، والمفاتيح، والإلزام والعدد، وسلامة المرجع، والعزل بين المشتركين، والتكرار، والفهرسة، والحساسية، ودلالات دورة العمل. النتائج مسجَّلة بمعرّفاتها في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 وتحمل كل نتيجة مرجع السطر في النموذج أو في DDL.</w:t>
      </w:r>
    </w:p>
    <w:p>
      <w:pPr>
        <w:bidi/>
        <w:spacing w:after="110" w:before="0" w:line="312"/>
      </w:pPr>
      <w:r>
        <w:rPr>
          <w:rFonts w:ascii="Arial" w:cs="Arial" w:eastAsia="Arial" w:hAnsi="Arial"/>
          <w:b/>
          <w:bCs/>
          <w:sz w:val="21"/>
          <w:szCs w:val="21"/>
          <w:rtl/>
        </w:rPr>
        <w:t xml:space="preserve">الإجمالي: 50 نتيجة — حرجة 10 · رئيسية 36 · طفيفة 4.</w:t>
      </w:r>
      <w:r>
        <w:rPr>
          <w:rFonts w:ascii="Arial" w:cs="Arial" w:eastAsia="Arial" w:hAnsi="Arial"/>
          <w:b w:val="false"/>
          <w:bCs w:val="false"/>
          <w:sz w:val="21"/>
          <w:szCs w:val="21"/>
          <w:rtl/>
        </w:rPr>
        <w:t xml:space="preserve"> الحرجة مُطبَّقة في النموذج والـDDL (C-12)، والرئيسية والطفيفة قرّرها المالك في 2026-10-13 (O-15، §18.3)، ويتحقق من التصريحي منها آليًا.</w:t>
      </w:r>
    </w:p>
    <w:p>
      <w:pPr>
        <w:pStyle w:val="Heading2"/>
        <w:bidi/>
      </w:pPr>
      <w:bookmarkStart w:name="_sec112" w:id="112"/>
      <w:r>
        <w:rPr>
          <w:rFonts w:ascii="Arial" w:cs="Arial" w:eastAsia="Arial" w:hAnsi="Arial"/>
          <w:b/>
          <w:bCs/>
          <w:color w:val="2B5C8A"/>
          <w:sz w:val="26"/>
          <w:szCs w:val="26"/>
          <w:rtl/>
        </w:rPr>
        <w:t xml:space="preserve">18.1 النتائج الحرجة</w:t>
      </w:r>
      <w:bookmarkEnd w:id="1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2"/>
        <w:gridCol w:w="2687"/>
        <w:gridCol w:w="882"/>
        <w:gridCol w:w="2683"/>
        <w:gridCol w:w="1848"/>
        <w:gridCol w:w="882"/>
      </w:tblGrid>
      <w:tr>
        <w:trPr>
          <w:cantSplit/>
          <w:tblHeader/>
        </w:trPr>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الدلالة</w:t>
            </w:r>
          </w:p>
        </w:tc>
        <w:tc>
          <w:tcPr>
            <w:tcW w:type="dxa" w:w="2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(ملخص)</w:t>
            </w:r>
          </w:p>
        </w:tc>
        <w:tc>
          <w:tcPr>
            <w:tcW w:type="dxa" w:w="1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المقترح (ملخص)</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DR-01</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‎plat.TenantModule.IsEnabled‎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Entitlement rows are tenant-owned (no global flag;</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TenantModule platform-owned: declare it global with an explicit TenantId FK to plat.Tenant (global noapp is a legal target), expose it to tp_app only through a view filtered on SESSION_CONTEXT('TenantId') with SELECT only, a…</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DR-02</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‎sec.AppUser.MfaKeyId‎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MfaKeyId (model line 126, comment 'DATA key that encrypted the MFA secret') and doc.DocumentVersion.KeyId (line 378, 'file encryption key') reference sec.TenantKey through a composite FK on (TenantId, TenantKeyId) only (db/genera…</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UNIQUE (TenantId, TenantKeyId, Purpose) on sec.TenantKey.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DR-03</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‎cat.LookupItem.LookupItemId (targeted by 13 in-scope FKs)‎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is 'mixed' (12-institutions-accounts-catalogs.model:255;</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referenced items tenant-owned: materialise the seeded global items per tenant so every LookupItem row has TenantId NOT NULL, and emit composite FKs (TenantId, X) -&gt; (TenantId, LookupItemId).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DR-04</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‎pty.Address.OwnerType, OwnerId‎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OwnerType+OwnerId is a polymorphic owner (PARTY/INSTITUTION/UNIT/CONTACT;</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the OwnerType/OwnerId pair with exclusive-arc columns (PartyId, InstitutionId, UnitId, ContactId), each a composite FK (TenantId, X) -&gt; (TenantId, X), with a CHECK that exactly one is non-null;</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DR-05</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 (mixed) and cat.LookupList (mixed); 13 tenant tables reference LookupItem.LookupListId / *ItemId referencing columns‎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and cat.LookupList are mixed (model 12:247-256), so their references are simple FKs with no TenantId (DDL 002:232 FK_LookupItem_LookupListId;</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cat.LookupItem tenant-owned.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DR-06</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 (ScopeLimitProductLineId); cmp.TermValue (LimitProductLineId).ScopeLimitProductLineId, LimitProductLineId‎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Both are declared via=FacilityId only (model 13:438 and 13:561;</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 both to via=FacilityId,LimitId so the composite key is (TenantId, FacilityId, LimitId, LimitProductLineId).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DR-07</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is declared mixed (db/model/12 line 255: TenantId NULL = global, otherwise tenant-owned), but the generator emits FKs into it as simple keys on LookupItemId alone: db/generated/tsql/002_foreign_keys.sql:524 (fin.Ba…</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Give each tenant its own copies of the global lookup items it uses (section 13 tenant initialisation already creates per-tenant catalogs), then make the references composite (TenantId, LookupItemId) to cat.LookupItem(TenantId, Lo…</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Attributes is an unclassified json column (db/model/14 line 32).</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 the cash-margin account as a typed FK to acc.BankAccount using the via pattern of acc.BankAccount.RelationshipId.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DR-09</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stage reference is bound to the tenant only.</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TemplateId (req, copied from the request at entry) to wfl.RequestStageInstance and declare StageId and ResumeStageId as -&gt;wfl.WorkflowStage via=TemplateId (the WorkflowStage scope unique already exists, DDL 001_tables.sql:467…</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DR-10</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-&gt; lc.LetterOfCredit is generated as (TenantId, LcId) only (DDL 002_foreign_keys.sql:587), so a request of company A can be linked to a letter of credit of company B inside the same tenant.</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Request.LcId -&gt;lc.LetterOfCredit via=CompanyId.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bl>
    <w:p>
      <w:pPr>
        <w:bidi/>
        <w:spacing w:after="120" w:before="0"/>
      </w:pPr>
    </w:p>
    <w:p>
      <w:pPr>
        <w:pStyle w:val="Heading2"/>
        <w:bidi/>
      </w:pPr>
      <w:bookmarkStart w:name="_sec113" w:id="113"/>
      <w:r>
        <w:rPr>
          <w:rFonts w:ascii="Arial" w:cs="Arial" w:eastAsia="Arial" w:hAnsi="Arial"/>
          <w:b/>
          <w:bCs/>
          <w:color w:val="2B5C8A"/>
          <w:sz w:val="26"/>
          <w:szCs w:val="26"/>
          <w:rtl/>
        </w:rPr>
        <w:t xml:space="preserve">18.2 النتائج الرئيسية والطفيفة</w:t>
      </w:r>
      <w:bookmarkEnd w:id="1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0"/>
        <w:gridCol w:w="1954"/>
        <w:gridCol w:w="840"/>
        <w:gridCol w:w="858"/>
        <w:gridCol w:w="2145"/>
        <w:gridCol w:w="2387"/>
        <w:gridCol w:w="840"/>
      </w:tblGrid>
      <w:tr>
        <w:trPr>
          <w:cantSplit/>
          <w:tblHeader/>
        </w:trPr>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الدلالة</w:t>
            </w:r>
          </w:p>
        </w:tc>
        <w:tc>
          <w:tcPr>
            <w:tcW w:type="dxa" w:w="2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(ملخص)</w:t>
            </w:r>
          </w:p>
        </w:tc>
        <w:tc>
          <w:tcPr>
            <w:tcW w:type="dxa" w:w="2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المقترح (ملخص)</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‎doc.DocumentVersion.StorageKey‎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storage path is unique only per tenant (UQ_DocumentVersion_StorageKey = UNIQUE (TenantId, StorageKey), db/generated/tsql/001_tables.sql:609), yet the design (6.4) describes one shared file store.</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StorageKey globally unique and add CHECK (StorageKey LIKE CAST(TenantId AS varchar(10)) + '/%').</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‎aud.SensitiveAccessLog.AuditLogId‎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AuditLogId is a bare bigint commented 'the corresponding event in AuditLog' (model line 332) with no reference.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composite FK (TenantId, AuditLogId) -&gt; aud.AuditLog (TenantId, AuditLogId);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‎cfg.DataExportJob.ApprovedBy‎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restricted export (IncludesRestricted = 1: identity numbers and images) can be approved by its own requester.</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(ApprovedBy IS NULL OR ApprovedBy &lt;&gt; RequestedBy), a pairing CHECK between ApprovedBy and ApprovedAt, and CHECK (Status &lt;&gt; 'READY' OR ExpiresAt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‎cfg.OutboxEvent.Status‎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has five values, but no CHECK ties the lease and completion fields to them;</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(Status &lt;&gt; 'PROCESSING' OR (LockedBy IS NOT NULL AND LockedUntil IS NOT NULL)), CHECK (Status &lt;&gt; 'DELIVERED' OR DeliveredAt IS NOT NULL) and CHECK (Status &lt;&gt; 'DEAD' OR LastError IS NOT NULL).</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‎plat.SupportAccessGrant.EndsAt‎</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1 to 72 hour window (BR-PLT-017) is enforced only in the application;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(DATEDIFF(MINUTE, StartsAt, EndsAt) BETWEEN 60 AND 4320).</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‎sec.Permission.LockedToRoleCodes‎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LockedToRoleCodes (json, e.g.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the lock with a junction table keyed on a stable role identity (SeedKey or a global role catalog) and enforce it with a trigger on sec.RolePermission.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جزئيًا (ADR 0011)؛ الباقي قبل S1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‎cfg.TenantSetting.Key‎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TenantSetting.Key (ascii(100), unique per tenant) has no foreign key to cfg.SettingDefinition.Key.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a simple FK (Key) -&gt; cfg.SettingDefinition (Key).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 is a stored copy of a rule the database never evaluates: the model comment says RESTRICTED if the type is IsSensitive (line 354), but the only CHECK is enum membership (CK_Document_Sensitivity), and the default is CON…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Enforce a sensitivity floor with a trigger on doc.Document, and on cat.DocumentType updates, that raises Sensitivity to RESTRICTED when IsSensitive is set.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‎acc.Signatory.Status‎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(12-institutions-accounts-catalogs.model:447) includes SUSPENDED, EXPIRED and REVOKED, but the table has no timestamp, actor or reason for any transition.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SuspendedAt, RevokedAt, RevokedBy and RevocationReason.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‎acc.BankAccount.EncKeyId, HashKeyId‎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EncKeyId and HashKeyId reference sec.TenantKey by key id only (generated as (TenantId, EncKeyId) -&gt; (TenantId, TenantKeyId)).</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Store the purpose on the row as a constant column (e.g.</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 بـ DR-02</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‎org.AuthorityGrant.ApprovedBy, ApprovedAt, SupersedesGrantId‎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ApprovedBy and ApprovedAt (11-organization-party.model:143-144) are nullable, and the status CHECK (line 156) requires only a source document or an exception reason for ACTIVE/SUPERSEDED/REVOKED.</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(Status IN ('DRAFT','PENDING_APPROVAL') OR (ApprovedBy IS NOT NULL AND ApprovedAt IS NOT NULL)) and CHECK (ApprovedBy IS NULL OR ApprovedAt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‎org.Shareholding.Layer, HolderPartyId, CompanyId‎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cardinality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Layer &gt;= 2 means 'indirect, through intermediate entities' (11-organization-party.model:78), but no column identifies the intermediate holder or the parent holding.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a self-referencing ViaShareholdingId (or IntermediatePartyId) with via=CompanyId pointing to the intermediate's layer-1 row, and key the uniqueness and the open-row filter on (CompanyId, HolderPartyId, ViaShareholdingId, Effe…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(ADR 0011)؛ يُطبَّق قبل S1-b</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‎pty.IdentityDocument.SupersededById, IsSuperseded‎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SupersededById (11-organization-party.model:305) is generated as (TenantId, SupersededById) only (002_foreign_keys.sql:156), so a document can be superseded by a document belonging to a different party.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via=PartyId to SupersededById so the successor must belong to the same party.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‎org.Company.PartyId‎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company-party mirror is stored twice: org.Company.PartyId (11-organization-party.model:16, unique line 34) and pty.Party.LinkedCompanyId (line 274, unique line 278).</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one pointer and derive the other, or enforce equality declaratively: add a unique key (TenantId, CompanyId, PartyId) on org.Company and make pty.Party's link a composite FK (TenantId, LinkedCompanyId, PartyId) -&gt; org.Company…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org.Company.TaxNumber (11-organization-party.model:26) is a plain ascii(30) column with no sens tag, on a 'public' aggregate root (line 12) whose PublicId is exposed through the API (docs/20 sections 1 and 4).</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Drop org.Company.TaxNumber and read the current TaxIdentity row (CountryId = the company's CountryId, IsCurrent = 1) through a view.</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جزئيًا (ADR 0011)؛ الباقي قبل S1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 (and lc.LetterOfCredit link, file 16).SourceType, SourceRefId‎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SourceRefId is a bigint that holds an LcId or a RequestId depending on SourceType (13:254-255).</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SourceRefId with typed nullable FKs (for example a request FK to wfl.Request, and the LC link kept on one side only).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‎fac.ValueConflict.TargetEntity, TargetId, FacilityId‎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conflict targets an entity through free text TargetEntity ascii(60) (13:328) and bigint TargetId (13:329), with no FK and no domain CHECK (DDL 001 has only the NOT NULL).</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typed nullable target FKs with (TenantId, FacilityId, ...) composite keys and an exactly-one CHECK, as LimitMovement does.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جزئيًا (ADR 0011)؛ الباقي قبل S2</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 (header); fac.Limit, fac.LimitProductLine, fac.LimitCompanyRule, prc.PricingRule, cmp.TermValue (rev children).ApprovedRevisionNo, ParentLimitId, LimitId, ToRevision‎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Revision integrity is left to the application.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Separate stable identity from versions.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(ADR 0011)؛ يُطبَّق قبل S2</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 (with cat.BaseRateValue and cat.BaseRateAlias).InstitutionId (MARKET rows), CurrencyId, Code, BaseRateAlias.InstitutionId‎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is tenant-owned (no global/mixed flag, model 12:210;</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MARKET base rates and their values global or mixed (TenantId NULL, platform-written, tenant read-only) and keep BANK_INTERNAL tenant-owned, with a justification line per table.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 cat.ProductFinancingType (with cat.Product and cat.FacilityType).IsIslamic, Compliance‎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Shariah classification is modelled three ways.</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IsIslamic with the same Compliance enum.</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(ADR 0011)؛ يُطبَّق قبل S1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 fac.LimitProductLine, fac.LimitCompanyRule, fac.ProductLineTerm, fac.OutstandingSnapshot, fac.ValueConflict, prc.PricingRule, cmp.TermValue (src tables).OriginalText (and CandidateAOriginalText, Reason, Notes, ChangeSummary)‎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src flag adds OriginalText NVARCHAR(2000) to each sourced row (DDL 001:2969, 3020, 3070, 3114 and others) and ValueConflict.CandidateA/BOriginalText (13:335, 13:341).</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Flag OriginalText and the free-text columns in src and rev tables as sens=confidential, and add DENY SELECT for tp_readonly on them.</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جزئيًا (ADR 0011)؛ الباقي قبل S2</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 fac.FacilityLender; fac.Facility; ref.Country; cat.LegalEntityType; cat.Position.AppliesTo, Roles, AlertLeadDays, BankUnilateralRights, WeekendDays, DefaultBodyTypes, ApplicableBodyTypes‎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Multi-valued columns are not domain-checked.</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Have dbgen emit a membership CHECK for every set{} column (wrap the value in commas and reject any token outside the list, plus duplicates).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‎col.Guarantee.GuarantorIdentityDocumentId‎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generated FK is (TenantId, GuarantorIdentityDocumentId) to pty.IdentityDocument only (002_foreign_keys.sql:444).</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GuarantorIdentityDocumentId -&gt;pty.IdentityDocument via=GuarantorPartyId, with a unique (TenantId, PartyId, IdentityDocumentId) on pty.IdentityDocument.</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‎fin.FinancialStatement.SupersedesId‎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version-chain FK is (TenantId, SupersedesId) to fin.FinancialStatement only (002_foreign_keys.sql:510) with no via= on CompanyId or on the period key.</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SupersedesId -&gt;fin.FinancialStatement via=CompanyId,Basis,Assurance,PeriodType,PeriodEnd (the columns of the approved-uniqueness key), with a unique on the target (TenantId, those columns, FinancialStatementId).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‎prc.PricingRule.ScopeLimitProductLineId‎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ScopeLimitProductLineId (db/model/13 line 438), cmp.TermValue.LimitProductLineId (line 561) and obl.Obligation.ScopeProductLineId (db/model/14 line 167) use via=FacilityId only.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via=FacilityId,ScopeLimitId for PricingRule and Obligation, and via=FacilityId,LimitId for TermValue.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‎col.Collateral.Status‎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is {DRAFT, ACTIVE, RELEASED, EXPIRED} (db/model/14 line 33), and it has no value for a replaced version.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SUPERSEDED to Status and set it in the approval transaction.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(ADR 0011)؛ يُطبَّق قبل S2</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‎fin.AccountMonthlyStat.MonthEnd‎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Both fin.AccountMonthlyStat and fin.BankFlowEntry key on MonthEnd (db/model/14 line 456 unique BankAccountId,MonthEnd;</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(MonthEnd = EOMONTH(MonthEnd)) to both tables, and apply the same rule to any other MonthEnd used as a 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‎obl.Covenant.ThresholdUnit‎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CK_Covenant_3 (001_tables.sql:4144) requires Operator and ThresholdValue when ThresholdState = 'SET', but not ThresholdUnit (model lines 286-288).</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(ThresholdState &lt;&gt; 'SET' OR ThresholdUnit IS NOT NULL) and CHECK (MeasureKind NOT IN ('RATIO','AMOUNT','PERCENT_OF_REVENUE') OR StatementBasis IS NOT NULL), and review RequiredAssurance the same way.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جزئيًا (ADR 0011)؛ الباقي قبل S2</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‎obl.CovenantTest.CovenantId‎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The model says stored results are not edited (المخزَّن لا يُعدَّل, db/model/14 line 300) and InputsSnapshot is fixed after saving (line 314, BR-FIN-010).</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a GoverningCovenantId (and GoverningReportingObligationId on ReportingInstance) that is never re-pointed, and resolve the current revision through the logical chain.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(ADR 0011)؛ يُطبَّق قبل S2-b</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‎col.Guarantee.CollateralId‎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Subtype rows (Guarantee, PromissoryNote, InsurancePolicyAssignment, ValuationSchedule;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the typed-FK pattern.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‎lc.LcTerms.Status‎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legal content is mutable at the database level.</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Separate mutable draft from issued content: keep LcTerms mutable only while DRAFT and insert a new immutable row on lock, with DENY UPDATE/DELETE to tp_app and tp_platform on the locked table (the append mechanism already used in…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جزئيًا (ADR 0011)؛ الباقي قبل S3</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‎lc.LetterOfCredit.CurrentTermsId‎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LcTerms.OwnerType/OwnerId is polymorphic with no FK (16:162-163), and the generated FK for CurrentTermsId is (TenantId, CurrentTermsId) only (DDL 002_foreign_keys.sql:709).</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OwnerType/OwnerId with typed nullable owner keys (RequestId, ProformaInvoiceId, LetterOfCreditId, LcAmendmentId) and a check that exactly one applies for the Purpose, so each terms row has a real FK.</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‎wfl.HookExecution.ActionFilter‎</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idempotency key omits ActionFilter.</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Include ActionFilter in the unique key (SQL Server treats NULLs as equal in unique constraints, so ON_ENTER and ON_EXIT rows stay unique).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‎wfl.Request.DueAt‎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duplicates the open stage instance.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RequestStageInstance the single source of stage, assignee and SLA state, and build the queue and SLA indexes on it (it already indexes DueAt where ExitedAt IS NULL, 15:405).</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(ADR 0011)؛ يُطبَّق قبل S3</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‎lc.LetterOfCredit.InstitutionId‎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is optional (16:397;</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(LcClass = 'SALES' OR InstitutionId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restricted IBAN is encrypted in one column, but comparison and diff storage writes field values in plaintext with no sensitivity tag.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Exclude sens=restricted FieldKeys from comparison and diff at write time, storing only the mask and an HMAC for changed restricted fields, or encrypt those values with the §6.2 envelope.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جزئيًا (ADR 0011)؛ الباقي قبل S3</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‎org.Company.ErpCodeNormalized‎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ErpCodeNormalized (11-organization-party.model:28) is a stored derivation of ErpCompanyCode (the comment says it implements the BR-LCE-002 formula).</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ErpCodeNormalized as a calc column with a persisted expression, e.g.</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 ref.Currency, and every cat.* table with a Code check (for example cat.BaseRate, cat.LookupItem).Iso2, Iso3, Code‎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database collation is Arabic_100_CI_AS_SC (db/deploy.sql:9).</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COLLATE Latin1_General_100_BIN2 inside each Code CHECK, for example Iso2 COLLATE Latin1_General_100_BIN2 NOT LIKE '%[^A-Z]%'.</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‎wfl.RequestType.AmountFieldKey‎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 repeats facts that other tables already own.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Derive field keys from TemplateField.IndexRole of the current template, derive the default template from WorkflowTemplate.IsCurrent, and make NumberSequenceKey a computed column or a check equal to 'req:' + Code.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جزئيًا (ADR 0011)؛ الباقي قبل S3</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DR-50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‎wfl.Request.OutcomeReason‎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Several state columns lack the evidence that their state implies.</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CHECKs: Status IN ('REJECTED','CANCELLED') implies OutcomeReason IS NOT NULL;</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bl>
    <w:p>
      <w:pPr>
        <w:bidi/>
        <w:spacing w:after="120" w:before="0"/>
      </w:pPr>
    </w:p>
    <w:p>
      <w:pPr>
        <w:pStyle w:val="Heading2"/>
        <w:bidi/>
      </w:pPr>
      <w:bookmarkStart w:name="_sec114" w:id="114"/>
      <w:r>
        <w:rPr>
          <w:rFonts w:ascii="Arial" w:cs="Arial" w:eastAsia="Arial" w:hAnsi="Arial"/>
          <w:b/>
          <w:bCs/>
          <w:color w:val="2B5C8A"/>
          <w:sz w:val="26"/>
          <w:szCs w:val="26"/>
          <w:rtl/>
        </w:rPr>
        <w:t xml:space="preserve">18.3 القرار</w:t>
      </w:r>
      <w:bookmarkEnd w:id="114"/>
    </w:p>
    <w:p>
      <w:pPr>
        <w:pStyle w:val="ListParagraph"/>
        <w:numPr>
          <w:ilvl w:val="0"/>
          <w:numId w:val="7"/>
        </w:numPr>
        <w:bidi/>
        <w:spacing w:after="70" w:before="0" w:line="300"/>
      </w:pPr>
      <w:r>
        <w:rPr>
          <w:rFonts w:ascii="Arial" w:cs="Arial" w:eastAsia="Arial" w:hAnsi="Arial"/>
          <w:b/>
          <w:bCs/>
          <w:sz w:val="21"/>
          <w:szCs w:val="21"/>
          <w:rtl/>
        </w:rPr>
        <w:t xml:space="preserve">الحرجة (10): مُعتمدة ومُطبَّقة</w:t>
      </w:r>
      <w:r>
        <w:rPr>
          <w:rFonts w:ascii="Arial" w:cs="Arial" w:eastAsia="Arial" w:hAnsi="Arial"/>
          <w:b w:val="false"/>
          <w:bCs w:val="false"/>
          <w:sz w:val="21"/>
          <w:szCs w:val="21"/>
          <w:rtl/>
        </w:rPr>
        <w:t xml:space="preserve"> في النموذج والـDDL بالتغيير C-12، ويتحقق منها </w:t>
      </w:r>
      <w:r>
        <w:rPr>
          <w:rFonts w:ascii="Courier New" w:cs="Courier New" w:eastAsia="Courier New" w:hAnsi="Courier New"/>
          <w:b w:val="false"/>
          <w:bCs w:val="false"/>
          <w:color w:val="1F2937"/>
          <w:sz w:val="18"/>
          <w:szCs w:val="18"/>
          <w:shd w:fill="F1F3F5" w:color="auto" w:val="clear"/>
          <w:rtl/>
        </w:rPr>
        <w:t xml:space="preserve">‎tools/dbgen/check_review_fixes.py‎</w:t>
      </w:r>
      <w:r>
        <w:rPr>
          <w:rFonts w:ascii="Arial" w:cs="Arial" w:eastAsia="Arial" w:hAnsi="Arial"/>
          <w:b w:val="false"/>
          <w:bCs w:val="false"/>
          <w:sz w:val="21"/>
          <w:szCs w:val="21"/>
          <w:rtl/>
        </w:rPr>
        <w:t xml:space="preserve"> آليًا على DDL المولَّد.</w:t>
      </w:r>
    </w:p>
    <w:p>
      <w:pPr>
        <w:pStyle w:val="ListParagraph"/>
        <w:numPr>
          <w:ilvl w:val="0"/>
          <w:numId w:val="7"/>
        </w:numPr>
        <w:bidi/>
        <w:spacing w:after="70" w:before="0" w:line="300"/>
      </w:pPr>
      <w:r>
        <w:rPr>
          <w:rFonts w:ascii="Arial" w:cs="Arial" w:eastAsia="Arial" w:hAnsi="Arial"/>
          <w:b/>
          <w:bCs/>
          <w:sz w:val="21"/>
          <w:szCs w:val="21"/>
          <w:rtl/>
        </w:rPr>
        <w:t xml:space="preserve">الرئيسية (36) والطفيفة (4): قرّرها المالك في 2026-10-13</w:t>
      </w:r>
      <w:r>
        <w:rPr>
          <w:rFonts w:ascii="Arial" w:cs="Arial" w:eastAsia="Arial" w:hAnsi="Arial"/>
          <w:b w:val="false"/>
          <w:bCs w:val="false"/>
          <w:sz w:val="21"/>
          <w:szCs w:val="21"/>
          <w:rtl/>
        </w:rPr>
        <w:t xml:space="preserve"> بسجل </w:t>
      </w:r>
      <w:r>
        <w:rPr>
          <w:rFonts w:ascii="Courier New" w:cs="Courier New" w:eastAsia="Courier New" w:hAnsi="Courier New"/>
          <w:b w:val="false"/>
          <w:bCs w:val="false"/>
          <w:color w:val="1F2937"/>
          <w:sz w:val="18"/>
          <w:szCs w:val="18"/>
          <w:shd w:fill="F1F3F5" w:color="auto" w:val="clear"/>
          <w:rtl/>
        </w:rPr>
        <w:t xml:space="preserve">‎docs/32-review-findings-decisions.md‎</w:t>
      </w:r>
      <w:r>
        <w:rPr>
          <w:rFonts w:ascii="Arial" w:cs="Arial" w:eastAsia="Arial" w:hAnsi="Arial"/>
          <w:b w:val="false"/>
          <w:bCs w:val="false"/>
          <w:sz w:val="21"/>
          <w:szCs w:val="21"/>
          <w:rtl/>
        </w:rPr>
        <w:t xml:space="preserve"> (O-15). الدفعة (أ) مُطبَّقة كلها أو جزئيًا في 33 نتيجة (</w:t>
      </w:r>
      <w:r>
        <w:rPr>
          <w:rFonts w:ascii="Courier New" w:cs="Courier New" w:eastAsia="Courier New" w:hAnsi="Courier New"/>
          <w:b w:val="false"/>
          <w:bCs w:val="false"/>
          <w:color w:val="1F2937"/>
          <w:sz w:val="18"/>
          <w:szCs w:val="18"/>
          <w:shd w:fill="F1F3F5" w:color="auto" w:val="clear"/>
          <w:rtl/>
        </w:rPr>
        <w:t xml:space="preserve">‎docs/adr/0011-design-review-fixes.md‎</w:t>
      </w:r>
      <w:r>
        <w:rPr>
          <w:rFonts w:ascii="Arial" w:cs="Arial" w:eastAsia="Arial" w:hAnsi="Arial"/>
          <w:b w:val="false"/>
          <w:bCs w:val="false"/>
          <w:sz w:val="21"/>
          <w:szCs w:val="21"/>
          <w:rtl/>
        </w:rPr>
        <w:t xml:space="preserve">، الاختبارات RF1 إلى RF18)، وست نتائج والأجزاء الباقية شروط دخول لشرائحها، وDR-20 محلولة بـ DR-02.</w:t>
      </w:r>
    </w:p>
    <w:p>
      <w:pPr>
        <w:pStyle w:val="ListParagraph"/>
        <w:numPr>
          <w:ilvl w:val="0"/>
          <w:numId w:val="7"/>
        </w:numPr>
        <w:bidi/>
        <w:spacing w:after="70" w:before="0" w:line="300"/>
      </w:pPr>
      <w:r>
        <w:rPr>
          <w:rFonts w:ascii="Arial" w:cs="Arial" w:eastAsia="Arial" w:hAnsi="Arial"/>
          <w:b/>
          <w:bCs/>
          <w:sz w:val="21"/>
          <w:szCs w:val="21"/>
          <w:rtl/>
        </w:rPr>
        <w:t xml:space="preserve">بعد أي تغيير</w:t>
      </w:r>
      <w:r>
        <w:rPr>
          <w:rFonts w:ascii="Arial" w:cs="Arial" w:eastAsia="Arial" w:hAnsi="Arial"/>
          <w:b w:val="false"/>
          <w:bCs w:val="false"/>
          <w:sz w:val="21"/>
          <w:szCs w:val="21"/>
          <w:rtl/>
        </w:rPr>
        <w:t xml:space="preserve"> في النموذج: </w:t>
      </w:r>
      <w:r>
        <w:rPr>
          <w:rFonts w:ascii="Courier New" w:cs="Courier New" w:eastAsia="Courier New" w:hAnsi="Courier New"/>
          <w:b w:val="false"/>
          <w:bCs w:val="false"/>
          <w:color w:val="1F2937"/>
          <w:sz w:val="18"/>
          <w:szCs w:val="18"/>
          <w:shd w:fill="F1F3F5" w:color="auto" w:val="clear"/>
          <w:rtl/>
        </w:rPr>
        <w:t xml:space="preserve">‎dbgen check‎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‎dbgen build‎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‎pg_validate.sh‎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‎check_review_fixes.py‎</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‎erd_mermaid.py‎</w:t>
      </w:r>
      <w:r>
        <w:rPr>
          <w:rFonts w:ascii="Arial" w:cs="Arial" w:eastAsia="Arial" w:hAnsi="Arial"/>
          <w:b w:val="false"/>
          <w:bCs w:val="false"/>
          <w:sz w:val="21"/>
          <w:szCs w:val="21"/>
          <w:rtl/>
        </w:rPr>
        <w:t xml:space="preserve"> لتحديث المخططات، ثم إعادة بناء هذه الوثيقة.</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DATABASE DESIGN AND ERD · BankFas · v0.3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394afd22ce9e6c7945c20880b9406609bf5a77f0.png"/><Relationship Id="rId11" Type="http://schemas.openxmlformats.org/officeDocument/2006/relationships/image" Target="media/b75998481ab0ef1db4e242cf4d90e3edd0b0a4e1.png"/><Relationship Id="rId12" Type="http://schemas.openxmlformats.org/officeDocument/2006/relationships/image" Target="media/1781bdbdd09e6bb16a8ad18b0df2fc39768458f3.png"/><Relationship Id="rId13" Type="http://schemas.openxmlformats.org/officeDocument/2006/relationships/image" Target="media/c842c9051cd134a0e972866c6c1d833dc2e2fa86.png"/><Relationship Id="rId14" Type="http://schemas.openxmlformats.org/officeDocument/2006/relationships/image" Target="media/f138ff820713f546089e628bcf21fdcb667bfa91.png"/><Relationship Id="rId15" Type="http://schemas.openxmlformats.org/officeDocument/2006/relationships/image" Target="media/1ffc1d2252b4b598b1afe0d227267fc517051315.png"/><Relationship Id="rId16" Type="http://schemas.openxmlformats.org/officeDocument/2006/relationships/image" Target="media/9b3786f8184a09b5f1368696fc307318687913db.png"/><Relationship Id="rId17" Type="http://schemas.openxmlformats.org/officeDocument/2006/relationships/image" Target="media/badc69daba83dbe5931f68b48317c53ab6966240.png"/><Relationship Id="rId18" Type="http://schemas.openxmlformats.org/officeDocument/2006/relationships/image" Target="media/d3f2179fc08ce0eacd8158922885beb09b1d8d13.png"/><Relationship Id="rId19" Type="http://schemas.openxmlformats.org/officeDocument/2006/relationships/image" Target="media/c76002d011352f5395eb0b6c31f09f1d67c59208.png"/><Relationship Id="rId20" Type="http://schemas.openxmlformats.org/officeDocument/2006/relationships/image" Target="media/f4c50df974498ead537ccfd6ca29a95a98fa7484.png"/><Relationship Id="rId21" Type="http://schemas.openxmlformats.org/officeDocument/2006/relationships/image" Target="media/29eb4df0aacf9c0072e337a761f788843d7a80cf.png"/><Relationship Id="rId22" Type="http://schemas.openxmlformats.org/officeDocument/2006/relationships/image" Target="media/f9a45911f4a0e9ba0436c6f466551ae3eec11036.png"/><Relationship Id="rId23" Type="http://schemas.openxmlformats.org/officeDocument/2006/relationships/image" Target="media/eb0c5f1e5172f7eb8c8ad5fb053e88a23dc962c0.png"/><Relationship Id="rId24" Type="http://schemas.openxmlformats.org/officeDocument/2006/relationships/image" Target="media/790e0de2e3a08e27b7bbc333d90c77b7a62663a4.png"/><Relationship Id="rId25" Type="http://schemas.openxmlformats.org/officeDocument/2006/relationships/image" Target="media/a4ab6813a81f52dfa402ad0ec6238b975af79479.png"/><Relationship Id="rId26" Type="http://schemas.openxmlformats.org/officeDocument/2006/relationships/image" Target="media/101438c2eebfd0717141bb568e77a17547d945d5.png"/><Relationship Id="rId27" Type="http://schemas.openxmlformats.org/officeDocument/2006/relationships/image" Target="media/cb080cd65b607f7f9633ce1ddc6d1fe9caa73fd5.png"/><Relationship Id="rId28" Type="http://schemas.openxmlformats.org/officeDocument/2006/relationships/image" Target="media/a7b8ed1cdeea67cf394d53d30f27f2b03d16b086.png"/><Relationship Id="rId29" Type="http://schemas.openxmlformats.org/officeDocument/2006/relationships/image" Target="media/fafbd534482467ca795a619256cc040d809678d7.png"/><Relationship Id="rId30" Type="http://schemas.openxmlformats.org/officeDocument/2006/relationships/image" Target="media/19ed210285c6be503a282437430627d0141bf437.png"/><Relationship Id="rId31" Type="http://schemas.openxmlformats.org/officeDocument/2006/relationships/image" Target="media/6151074b201dee05eb38162f85390b819d75990b.png"/><Relationship Id="rId32" Type="http://schemas.openxmlformats.org/officeDocument/2006/relationships/image" Target="media/49cb5193cf21a99ab8f6c97029a00bf1bad3271a.png"/><Relationship Id="rId33" Type="http://schemas.openxmlformats.org/officeDocument/2006/relationships/image" Target="media/e67035773addbfd0d234ddf7bdbd3703eb7b2d01.png"/><Relationship Id="rId34" Type="http://schemas.openxmlformats.org/officeDocument/2006/relationships/image" Target="media/8d5d972816be1a4f7fb7bd461a82351be911260c.png"/><Relationship Id="rId35" Type="http://schemas.openxmlformats.org/officeDocument/2006/relationships/image" Target="media/1dfa69fe80e24e4114061f8d82f7a15cdf46b836.png"/><Relationship Id="rId36" Type="http://schemas.openxmlformats.org/officeDocument/2006/relationships/image" Target="media/22eea4621d189d2ec2ce3de64049d504827489ba.png"/><Relationship Id="rId37" Type="http://schemas.openxmlformats.org/officeDocument/2006/relationships/image" Target="media/51418d538b6808035e0db5c469ea7ba46dffa8f3.png"/><Relationship Id="rId38" Type="http://schemas.openxmlformats.org/officeDocument/2006/relationships/image" Target="media/46a0f19f17d64fe26b4c36522e53db828d08c0e2.png"/><Relationship Id="rId39" Type="http://schemas.openxmlformats.org/officeDocument/2006/relationships/image" Target="media/be2422664b11cc849ef3d82a92cb61fbd44ff584.png"/><Relationship Id="rId40" Type="http://schemas.openxmlformats.org/officeDocument/2006/relationships/image" Target="media/93dccc242007585c67c314a8ec0d81704fe3501f.png"/><Relationship Id="rId41" Type="http://schemas.openxmlformats.org/officeDocument/2006/relationships/image" Target="media/6e4faef8ac35f9cf67360b56acf8ed5d4428738e.png"/><Relationship Id="rId42" Type="http://schemas.openxmlformats.org/officeDocument/2006/relationships/image" Target="media/1e2b41f142148e53cebb38d8af332c67607f10e7.png"/><Relationship Id="rId43" Type="http://schemas.openxmlformats.org/officeDocument/2006/relationships/image" Target="media/76e546e477c4da7d3bb36259438ed6a4d3726402.png"/><Relationship Id="rId44" Type="http://schemas.openxmlformats.org/officeDocument/2006/relationships/image" Target="media/271e0b36918d1081cbb0fb919ffdbe0b3739a561.png"/><Relationship Id="rId45" Type="http://schemas.openxmlformats.org/officeDocument/2006/relationships/image" Target="media/63d48754eed442470525e2402aba12e000d32da3.png"/><Relationship Id="rId46" Type="http://schemas.openxmlformats.org/officeDocument/2006/relationships/image" Target="media/f1c2c34bf83df820e0c42dc07d3ff28846823b78.png"/><Relationship Id="rId47" Type="http://schemas.openxmlformats.org/officeDocument/2006/relationships/image" Target="media/ecced7fb41ae595ff9c4380026278d487161498d.png"/><Relationship Id="rId48" Type="http://schemas.openxmlformats.org/officeDocument/2006/relationships/image" Target="media/719dcfc4d1a2bb585edcb893ae4bea494650a0f2.png"/><Relationship Id="rId49" Type="http://schemas.openxmlformats.org/officeDocument/2006/relationships/image" Target="media/e017a7b7068131182508c2f4a525c30806afc22f.png"/><Relationship Id="rId50" Type="http://schemas.openxmlformats.org/officeDocument/2006/relationships/image" Target="media/501b67cbb32f47b51061a57cae996b54871e0ca6.png"/><Relationship Id="rId51" Type="http://schemas.openxmlformats.org/officeDocument/2006/relationships/image" Target="media/5603e99f8f2a7cc1938496761df70c8a63a82ac9.png"/><Relationship Id="rId52" Type="http://schemas.openxmlformats.org/officeDocument/2006/relationships/image" Target="media/05f53dc88ad0943efaead7b4c2d5ab1aa080fc4a.png"/><Relationship Id="rId53" Type="http://schemas.openxmlformats.org/officeDocument/2006/relationships/image" Target="media/2b2144d7fc608f1fdad5d8fbd5bcb05af47ed3a2.png"/><Relationship Id="rId54" Type="http://schemas.openxmlformats.org/officeDocument/2006/relationships/image" Target="media/d5d06d0ed7e79795ab5ed0ed5dbdf50949842418.png"/><Relationship Id="rId55" Type="http://schemas.openxmlformats.org/officeDocument/2006/relationships/image" Target="media/4982395d76e0d33b7f30ab097273feccdf168e04.png"/><Relationship Id="rId56" Type="http://schemas.openxmlformats.org/officeDocument/2006/relationships/image" Target="media/494c0f4a1326e3bbc19667850012a84e52403045.png"/><Relationship Id="rId57" Type="http://schemas.openxmlformats.org/officeDocument/2006/relationships/image" Target="media/f3c6a99e2f66df4dbe72197e44ae37e9973bbd72.png"/><Relationship Id="rId58" Type="http://schemas.openxmlformats.org/officeDocument/2006/relationships/image" Target="media/d539d1be88e22a9ddb39b43fe087de6d95fef4aa.png"/><Relationship Id="rId59" Type="http://schemas.openxmlformats.org/officeDocument/2006/relationships/image" Target="media/7ff803ad906bcfa2ebcbadf7dabb9605bc925441.png"/><Relationship Id="rId60" Type="http://schemas.openxmlformats.org/officeDocument/2006/relationships/image" Target="media/32e4178cfcb0982981bc4df131be60ca723fa475.png"/><Relationship Id="rId61" Type="http://schemas.openxmlformats.org/officeDocument/2006/relationships/image" Target="media/7300a75f1e07f1ea9aec9b51ff08678436fe43ba.png"/><Relationship Id="rId62" Type="http://schemas.openxmlformats.org/officeDocument/2006/relationships/image" Target="media/96ebc6fa69822558c7c239d6a27c23f8a70b39d4.png"/><Relationship Id="rId63" Type="http://schemas.openxmlformats.org/officeDocument/2006/relationships/image" Target="media/29590e30561ea7b950cc1ca528df7a1885be854b.png"/><Relationship Id="rId64" Type="http://schemas.openxmlformats.org/officeDocument/2006/relationships/image" Target="media/c3923270745ec1d61733243ee7111b3b6e68e05d.png"/><Relationship Id="rId65" Type="http://schemas.openxmlformats.org/officeDocument/2006/relationships/image" Target="media/fe9d9a8186638b18fae1e422875fcbe2eb728097.png"/><Relationship Id="rId66" Type="http://schemas.openxmlformats.org/officeDocument/2006/relationships/image" Target="media/b0939dc5f64d9418898980eb654a0547e53d205d.png"/><Relationship Id="rId67" Type="http://schemas.openxmlformats.org/officeDocument/2006/relationships/image" Target="media/2d58dca6be24cc25e139c5a76e2a4aecf89a044f.png"/><Relationship Id="rId68" Type="http://schemas.openxmlformats.org/officeDocument/2006/relationships/image" Target="media/c08708dd425ff7caf905c156d869c26b83ec0603.png"/><Relationship Id="rId69" Type="http://schemas.openxmlformats.org/officeDocument/2006/relationships/image" Target="media/c07c181f6bb574f7b888c1c4f10db1da4b196022.png"/><Relationship Id="rId70" Type="http://schemas.openxmlformats.org/officeDocument/2006/relationships/image" Target="media/7008bc244f86ea28562c3e07ecd466b89506f6b3.png"/><Relationship Id="rId7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DESIGN AND ERD — BankFas</dc:title>
  <dc:creator>Claude</dc:creator>
  <dc:description>BankFas database design document</dc:description>
  <cp:lastModifiedBy>Un-named</cp:lastModifiedBy>
  <cp:revision>1</cp:revision>
  <dcterms:created xsi:type="dcterms:W3CDTF">2026-10-13T18:12:47.626Z</dcterms:created>
  <dcterms:modified xsi:type="dcterms:W3CDTF">2026-10-13T18:12:47.631Z</dcterms:modified>
</cp:coreProperties>
</file>

<file path=docProps/custom.xml><?xml version="1.0" encoding="utf-8"?>
<Properties xmlns="http://schemas.openxmlformats.org/officeDocument/2006/custom-properties" xmlns:vt="http://schemas.openxmlformats.org/officeDocument/2006/docPropsVTypes"/>
</file>