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194 جدولًا (tools/dbgen/erd_open_items.py:22)؛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لـ29 عمودًا مقيّدًا (db/generated/tsql/006_sensitive_columns.sql:7-35)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إلا لمسار الدعم (DQ-F01-2، DQ-F01-7)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2350"/>
        <w:gridCol w:w="4600"/>
        <w:gridCol w:w="194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غير منفّذ: لا إجراء يتحقق من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(O-12 في 20-database-design)</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286"/>
        <w:gridCol w:w="4863"/>
        <w:gridCol w:w="114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4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4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29 عمودًا.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(db/generated/tsql/006_sensitive_columns.sql:7-35).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23 عمودًا موسومًا،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بصيغة DQ-F12-11: لا يُنسخ شيء، وقيد يمنع قيمة IBAN في سطور المقارنة، والأعمدة الثلاثة موسومة سرّية؛ خدمة المقارنة قبل S3.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جزئيًا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الحجب عند الإدخال قبل S2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914"/>
        <w:gridCol w:w="2648"/>
        <w:gridCol w:w="3560"/>
        <w:gridCol w:w="914"/>
        <w:gridCol w:w="914"/>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5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5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الدعم غير منفّذ (DOC-F01 G-03)</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دعم عبر TB-3 بدور بلا صلاحيات حساسة (DQ-F01-7)</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5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6"/>
        <w:gridCol w:w="896"/>
        <w:gridCol w:w="3739"/>
        <w:gridCol w:w="2464"/>
        <w:gridCol w:w="973"/>
        <w:gridCol w:w="896"/>
      </w:tblGrid>
      <w:tr>
        <w:trPr>
          <w:cantSplit/>
          <w:tblHeader/>
        </w:trPr>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37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w:t>
            </w:r>
          </w:p>
        </w:tc>
        <w:tc>
          <w:tcPr>
            <w:tcW w:type="dxa" w:w="2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اعتراض الاتصال أو سكربت معدّل يعني سيطرة كاملة</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37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2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مقترحة RPO ≤ 15 دقيقة وRTO ≤ 4 ساعات (docs/10-detailed-analysis/00-overview-and-cross-cutting.md:169)</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منفّذة (O-14 في 20-database-design)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لم تُبنَ بعد، والإجراءات تستعمل قيم المنصة (30 دقيقة و12 ساعة).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2512"/>
        <w:gridCol w:w="2331"/>
        <w:gridCol w:w="1255"/>
        <w:gridCol w:w="2152"/>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2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2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13"/>
        <w:gridCol w:w="1625"/>
        <w:gridCol w:w="1768"/>
        <w:gridCol w:w="2982"/>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شرط دخول S2. المقترح: نعم، بنمط IBAN وطول الحساب، مع إبقاء الأصل في المستند</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الحجب عند الإدخال (S2) وحذف الرقم الضريبي (S1) وخدمة المقارنة (S3) شروط دخول</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5819775"/>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819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4"/>
        <w:gridCol w:w="1436"/>
        <w:gridCol w:w="4550"/>
        <w:gridCol w:w="982"/>
        <w:gridCol w:w="982"/>
      </w:tblGrid>
      <w:tr>
        <w:trPr>
          <w:cantSplit/>
          <w:tblHeader/>
        </w:trPr>
        <w:tc>
          <w:tcPr>
            <w:tcW w:type="dxa" w:w="1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862"/>
        <w:gridCol w:w="2430"/>
        <w:gridCol w:w="2572"/>
      </w:tblGrid>
      <w:tr>
        <w:trPr>
          <w:cantSplit/>
          <w:tblHeader/>
        </w:trPr>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2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2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2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المقترحة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2391"/>
        <w:gridCol w:w="5680"/>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56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 (O-14، 20-database-design)</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56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56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غير معتمد</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ملف الخط نفسه (السطور 7-20)، ويمكن تشغيله يدويًا (السطر 21)، وينفّذ أوامره داخل treasury-platform/ (السطور 26-28)، على ubuntu-24.04 (السطر 32) مع حاوية mcr.microsoft.com/mssql/server:2025-latest (السطر 37). يثبّت Pillow (pillow==12.3.0، السطور 57-59)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كلها، 6 حالات للمشغّلات و41 حالة عزل؛ والتشغيل الذي سبقه، قبل خطوة Pillow، فشل في الخطوة 3 (التشغيل 38267525934) (O-02، tools/dbgen/erd_open_items.py:22؛ docs/adr/0001-schema-work-on-linux.md:11). والسكربت tools/ci/db_ci.sh نفسه يمر كاملًا في حاوية التطوير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053"/>
        <w:gridCol w:w="540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6 سطور PASS بالضبط</w:t>
            </w:r>
          </w:p>
        </w:tc>
        <w:tc>
          <w:tcPr>
            <w:tcW w:type="dxa" w:w="5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tools/ci/db_ci.sh:59-74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41 سطر PASS بالضبط</w:t>
            </w:r>
          </w:p>
        </w:tc>
        <w:tc>
          <w:tcPr>
            <w:tcW w:type="dxa" w:w="5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tools/ci/db_ci.sh:75-92</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41 حالة (T1 إلى T38 مع T8b وT16b وT16c، tools/ci/db_ci.sh:87-88).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6 حالات لقاعدة حصص المقرضين V-FAC-02 (السطور 47 و70 و93 و113 و135 و150)، كل حالة في معاملتها (السطور 5-7).</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5583"/>
        <w:gridCol w:w="1395"/>
        <w:gridCol w:w="962"/>
        <w:gridCol w:w="962"/>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5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13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5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13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المقترح (4 ساعات)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معتمد</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160 جدولًا في DDL</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5"/>
        <w:gridCol w:w="2073"/>
        <w:gridCol w:w="1555"/>
        <w:gridCol w:w="4075"/>
        <w:gridCol w:w="976"/>
      </w:tblGrid>
      <w:tr>
        <w:trPr>
          <w:cantSplit/>
          <w:tblHeader/>
        </w:trPr>
        <w:tc>
          <w:tcPr>
            <w:tcW w:type="dxa" w:w="1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5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4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15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4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15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4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(O-14 في 20-database-design، :542)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896"/>
        <w:gridCol w:w="896"/>
        <w:gridCol w:w="1665"/>
        <w:gridCol w:w="5383"/>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بوابة S0</w:t>
            </w:r>
          </w:p>
        </w:tc>
        <w:tc>
          <w:tcPr>
            <w:tcW w:type="dxa" w:w="5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الدفعة (أ) منفّذة، والباقي شروط دخول شرائحه (ADR 0011)</w:t>
            </w:r>
          </w:p>
        </w:tc>
        <w:tc>
          <w:tcPr>
            <w:tcW w:type="dxa" w:w="5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9"/>
        <w:gridCol w:w="4038"/>
        <w:gridCol w:w="3787"/>
      </w:tblGrid>
      <w:tr>
        <w:trPr>
          <w:cantSplit/>
          <w:tblHeader/>
        </w:trPr>
        <w:tc>
          <w:tcPr>
            <w:tcW w:type="dxa" w:w="20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20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20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e638667adc93ce81d1c6f908c18ada25029b6951.png"/><Relationship Id="rId33" Type="http://schemas.openxmlformats.org/officeDocument/2006/relationships/image" Target="media/dd1c87c34c57177d9f586987d02260c870da75cb.png"/><Relationship Id="rId34" Type="http://schemas.openxmlformats.org/officeDocument/2006/relationships/image" Target="media/d6173f961449abe253665062cd335d4eeacbb6a4.png"/><Relationship Id="rId35" Type="http://schemas.openxmlformats.org/officeDocument/2006/relationships/image" Target="media/5f41d78c4d05fc3f37fd8377844ffa8a0d9fa769.png"/><Relationship Id="rId36" Type="http://schemas.openxmlformats.org/officeDocument/2006/relationships/image" Target="media/e4eb66a559e16b7d23947237d6a287a979921b13.png"/><Relationship Id="rId37" Type="http://schemas.openxmlformats.org/officeDocument/2006/relationships/image" Target="media/00c9fd2e57d481f1061c3328a265608f1e11dbdd.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98cfb42cb5a3fe52afcc99883e01e2b9b6ce1fb8.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2026-10-13T20:27:28.827Z</dcterms:created>
  <dcterms:modified xsi:type="dcterms:W3CDTF">2026-10-13T20:27:28.827Z</dcterms:modified>
</cp:coreProperties>
</file>

<file path=docProps/custom.xml><?xml version="1.0" encoding="utf-8"?>
<Properties xmlns="http://schemas.openxmlformats.org/officeDocument/2006/custom-properties" xmlns:vt="http://schemas.openxmlformats.org/officeDocument/2006/docPropsVTypes"/>
</file>