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DOC-B06 — مواصفة بيانات الاختبار والتجهيل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مجموعات البيانات</w:t>
        </w:r>
      </w:hyperlink>
    </w:p>
    <w:p>
      <w:pPr>
        <w:bidi/>
        <w:spacing w:after="50" w:before="0"/>
        <w:ind w:left="0"/>
      </w:pPr>
      <w:hyperlink w:history="1" w:anchor="_sec4">
        <w:r>
          <w:rPr>
            <w:rFonts w:ascii="Arial" w:cs="Arial" w:eastAsia="Arial" w:hAnsi="Arial"/>
            <w:b/>
            <w:bCs/>
            <w:color w:val="1F3A5F"/>
            <w:sz w:val="20"/>
            <w:szCs w:val="20"/>
            <w:rtl/>
          </w:rPr>
          <w:t xml:space="preserve">4. القواعد بحسب التصنيف</w:t>
        </w:r>
      </w:hyperlink>
    </w:p>
    <w:p>
      <w:pPr>
        <w:bidi/>
        <w:spacing w:after="50" w:before="0"/>
        <w:ind w:left="0"/>
      </w:pPr>
      <w:hyperlink w:history="1" w:anchor="_sec7">
        <w:r>
          <w:rPr>
            <w:rFonts w:ascii="Arial" w:cs="Arial" w:eastAsia="Arial" w:hAnsi="Arial"/>
            <w:b/>
            <w:bCs/>
            <w:color w:val="1F3A5F"/>
            <w:sz w:val="20"/>
            <w:szCs w:val="20"/>
            <w:rtl/>
          </w:rPr>
          <w:t xml:space="preserve">5. المولّدات</w:t>
        </w:r>
      </w:hyperlink>
    </w:p>
    <w:p>
      <w:pPr>
        <w:bidi/>
        <w:spacing w:after="50" w:before="0"/>
        <w:ind w:left="0"/>
      </w:pPr>
      <w:hyperlink w:history="1" w:anchor="_sec8">
        <w:r>
          <w:rPr>
            <w:rFonts w:ascii="Arial" w:cs="Arial" w:eastAsia="Arial" w:hAnsi="Arial"/>
            <w:b/>
            <w:bCs/>
            <w:color w:val="1F3A5F"/>
            <w:sz w:val="20"/>
            <w:szCs w:val="20"/>
            <w:rtl/>
          </w:rPr>
          <w:t xml:space="preserve">6. الاتفاقيات الأربع والنماذج الثلاثة</w:t>
        </w:r>
      </w:hyperlink>
    </w:p>
    <w:p>
      <w:pPr>
        <w:bidi/>
        <w:spacing w:after="50" w:before="0"/>
        <w:ind w:left="0"/>
      </w:pPr>
      <w:hyperlink w:history="1" w:anchor="_sec14">
        <w:r>
          <w:rPr>
            <w:rFonts w:ascii="Arial" w:cs="Arial" w:eastAsia="Arial" w:hAnsi="Arial"/>
            <w:b/>
            <w:bCs/>
            <w:color w:val="1F3A5F"/>
            <w:sz w:val="20"/>
            <w:szCs w:val="20"/>
            <w:rtl/>
          </w:rPr>
          <w:t xml:space="preserve">7. ما لا يغادر الإنتاج أبدًا</w:t>
        </w:r>
      </w:hyperlink>
    </w:p>
    <w:p>
      <w:pPr>
        <w:bidi/>
        <w:spacing w:after="50" w:before="0"/>
        <w:ind w:left="0"/>
      </w:pPr>
      <w:hyperlink w:history="1" w:anchor="_sec15">
        <w:r>
          <w:rPr>
            <w:rFonts w:ascii="Arial" w:cs="Arial" w:eastAsia="Arial" w:hAnsi="Arial"/>
            <w:b/>
            <w:bCs/>
            <w:color w:val="1F3A5F"/>
            <w:sz w:val="20"/>
            <w:szCs w:val="20"/>
            <w:rtl/>
          </w:rPr>
          <w:t xml:space="preserve">8. تهيئة بيئات الاختبار</w:t>
        </w:r>
      </w:hyperlink>
    </w:p>
    <w:p>
      <w:pPr>
        <w:bidi/>
        <w:spacing w:after="50" w:before="0"/>
        <w:ind w:left="0"/>
      </w:pPr>
      <w:hyperlink w:history="1" w:anchor="_sec16">
        <w:r>
          <w:rPr>
            <w:rFonts w:ascii="Arial" w:cs="Arial" w:eastAsia="Arial" w:hAnsi="Arial"/>
            <w:b/>
            <w:bCs/>
            <w:color w:val="1F3A5F"/>
            <w:sz w:val="20"/>
            <w:szCs w:val="20"/>
            <w:rtl/>
          </w:rPr>
          <w:t xml:space="preserve">9. التحقق من غياب القيم الحقيقية</w:t>
        </w:r>
      </w:hyperlink>
    </w:p>
    <w:p>
      <w:pPr>
        <w:bidi/>
        <w:spacing w:after="50" w:before="0"/>
        <w:ind w:left="0"/>
      </w:pPr>
      <w:hyperlink w:history="1" w:anchor="_sec17">
        <w:r>
          <w:rPr>
            <w:rFonts w:ascii="Arial" w:cs="Arial" w:eastAsia="Arial" w:hAnsi="Arial"/>
            <w:b/>
            <w:bCs/>
            <w:color w:val="1F3A5F"/>
            <w:sz w:val="20"/>
            <w:szCs w:val="20"/>
            <w:rtl/>
          </w:rPr>
          <w:t xml:space="preserve">10. من يطّلع على ماذا</w:t>
        </w:r>
      </w:hyperlink>
    </w:p>
    <w:p>
      <w:pPr>
        <w:bidi/>
        <w:spacing w:after="50" w:before="0"/>
        <w:ind w:left="0"/>
      </w:pPr>
      <w:hyperlink w:history="1" w:anchor="_sec18">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مجموعات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1"/>
        <w:bidi/>
      </w:pPr>
      <w:bookmarkStart w:name="_sec4" w:id="4"/>
      <w:r>
        <w:rPr>
          <w:rFonts w:ascii="Arial" w:cs="Arial" w:eastAsia="Arial" w:hAnsi="Arial"/>
          <w:b/>
          <w:bCs/>
          <w:color w:val="1F3A5F"/>
          <w:sz w:val="32"/>
          <w:szCs w:val="32"/>
          <w:rtl/>
        </w:rPr>
        <w:t xml:space="preserve">4. القواعد بحسب التصنيف</w:t>
      </w:r>
      <w:bookmarkEnd w:id="4"/>
    </w:p>
    <w:p>
      <w:pPr>
        <w:pStyle w:val="Heading2"/>
        <w:bidi/>
      </w:pPr>
      <w:bookmarkStart w:name="_sec5" w:id="5"/>
      <w:r>
        <w:rPr>
          <w:rFonts w:ascii="Arial" w:cs="Arial" w:eastAsia="Arial" w:hAnsi="Arial"/>
          <w:b/>
          <w:bCs/>
          <w:color w:val="2B5C8A"/>
          <w:sz w:val="26"/>
          <w:szCs w:val="26"/>
          <w:rtl/>
        </w:rPr>
        <w:t xml:space="preserve">4.1 لكل مستوى</w:t>
      </w:r>
      <w:bookmarkEnd w:id="5"/>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2"/>
        <w:bidi/>
      </w:pPr>
      <w:bookmarkStart w:name="_sec6" w:id="6"/>
      <w:r>
        <w:rPr>
          <w:rFonts w:ascii="Arial" w:cs="Arial" w:eastAsia="Arial" w:hAnsi="Arial"/>
          <w:b/>
          <w:bCs/>
          <w:color w:val="2B5C8A"/>
          <w:sz w:val="26"/>
          <w:szCs w:val="26"/>
          <w:rtl/>
        </w:rPr>
        <w:t xml:space="preserve">4.2 لكل نوع حقل</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وTaxNumber وErpCompanyCode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5. المولّدات</w:t>
      </w:r>
      <w:bookmarkEnd w:id="7"/>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1"/>
        <w:bidi/>
      </w:pPr>
      <w:bookmarkStart w:name="_sec8" w:id="8"/>
      <w:r>
        <w:rPr>
          <w:rFonts w:ascii="Arial" w:cs="Arial" w:eastAsia="Arial" w:hAnsi="Arial"/>
          <w:b/>
          <w:bCs/>
          <w:color w:val="1F3A5F"/>
          <w:sz w:val="32"/>
          <w:szCs w:val="32"/>
          <w:rtl/>
        </w:rPr>
        <w:t xml:space="preserve">6. الاتفاقيات الأربع والنماذج الثلاثة</w:t>
      </w:r>
      <w:bookmarkEnd w:id="8"/>
    </w:p>
    <w:p>
      <w:pPr>
        <w:pStyle w:val="Heading2"/>
        <w:bidi/>
      </w:pPr>
      <w:bookmarkStart w:name="_sec9" w:id="9"/>
      <w:r>
        <w:rPr>
          <w:rFonts w:ascii="Arial" w:cs="Arial" w:eastAsia="Arial" w:hAnsi="Arial"/>
          <w:b/>
          <w:bCs/>
          <w:color w:val="2B5C8A"/>
          <w:sz w:val="26"/>
          <w:szCs w:val="26"/>
          <w:rtl/>
        </w:rPr>
        <w:t xml:space="preserve">6.1 ما هي</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6.2 الإجراء</w:t>
      </w:r>
      <w:bookmarkEnd w:id="10"/>
    </w:p>
    <w:p>
      <w:pPr>
        <w:keepNext/>
        <w:bidi/>
        <w:spacing w:after="60" w:before="160"/>
        <w:jc w:val="center"/>
      </w:pPr>
      <w:r>
        <w:drawing>
          <wp:inline distT="0" distB="0" distL="0" distR="0">
            <wp:extent cx="4905375"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3"/>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2"/>
        <w:bidi/>
      </w:pPr>
      <w:bookmarkStart w:name="_sec11" w:id="11"/>
      <w:r>
        <w:rPr>
          <w:rFonts w:ascii="Arial" w:cs="Arial" w:eastAsia="Arial" w:hAnsi="Arial"/>
          <w:b/>
          <w:bCs/>
          <w:color w:val="2B5C8A"/>
          <w:sz w:val="26"/>
          <w:szCs w:val="26"/>
          <w:rtl/>
        </w:rPr>
        <w:t xml:space="preserve">6.3 ما يبقى وما يُستبدل في حزم الاتفاقيات</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6.4 النماذج الثلاثة</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2"/>
        <w:bidi/>
      </w:pPr>
      <w:bookmarkStart w:name="_sec13" w:id="13"/>
      <w:r>
        <w:rPr>
          <w:rFonts w:ascii="Arial" w:cs="Arial" w:eastAsia="Arial" w:hAnsi="Arial"/>
          <w:b/>
          <w:bCs/>
          <w:color w:val="2B5C8A"/>
          <w:sz w:val="26"/>
          <w:szCs w:val="26"/>
          <w:rtl/>
        </w:rPr>
        <w:t xml:space="preserve">6.5 قبول S2 بالاتفاقيات الأربع</w:t>
      </w:r>
      <w:bookmarkEnd w:id="13"/>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ما لا يغادر الإنتاج أبدًا</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4"/>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4"/>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4"/>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4"/>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1"/>
        <w:bidi/>
      </w:pPr>
      <w:bookmarkStart w:name="_sec15" w:id="15"/>
      <w:r>
        <w:rPr>
          <w:rFonts w:ascii="Arial" w:cs="Arial" w:eastAsia="Arial" w:hAnsi="Arial"/>
          <w:b/>
          <w:bCs/>
          <w:color w:val="1F3A5F"/>
          <w:sz w:val="32"/>
          <w:szCs w:val="32"/>
          <w:rtl/>
        </w:rPr>
        <w:t xml:space="preserve">8. تهيئة بيئات الاختبار</w:t>
      </w:r>
      <w:bookmarkEnd w:id="15"/>
    </w:p>
    <w:p>
      <w:pPr>
        <w:keepNext/>
        <w:bidi/>
        <w:spacing w:after="60" w:before="160"/>
        <w:jc w:val="center"/>
      </w:pPr>
      <w:r>
        <w:drawing>
          <wp:inline distT="0" distB="0" distL="0" distR="0">
            <wp:extent cx="206692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1"/>
        <w:bidi/>
      </w:pPr>
      <w:bookmarkStart w:name="_sec16" w:id="16"/>
      <w:r>
        <w:rPr>
          <w:rFonts w:ascii="Arial" w:cs="Arial" w:eastAsia="Arial" w:hAnsi="Arial"/>
          <w:b/>
          <w:bCs/>
          <w:color w:val="1F3A5F"/>
          <w:sz w:val="32"/>
          <w:szCs w:val="32"/>
          <w:rtl/>
        </w:rPr>
        <w:t xml:space="preserve">9. التحقق من غياب القيم الحقيقية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1"/>
        <w:bidi/>
      </w:pPr>
      <w:bookmarkStart w:name="_sec17" w:id="17"/>
      <w:r>
        <w:rPr>
          <w:rFonts w:ascii="Arial" w:cs="Arial" w:eastAsia="Arial" w:hAnsi="Arial"/>
          <w:b/>
          <w:bCs/>
          <w:color w:val="1F3A5F"/>
          <w:sz w:val="32"/>
          <w:szCs w:val="32"/>
          <w:rtl/>
        </w:rPr>
        <w:t xml:space="preserve">10. من يطّلع على ماذا</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8" w:id="18"/>
      <w:r>
        <w:rPr>
          <w:rFonts w:ascii="Arial" w:cs="Arial" w:eastAsia="Arial" w:hAnsi="Arial"/>
          <w:b/>
          <w:bCs/>
          <w:color w:val="1F3A5F"/>
          <w:sz w:val="32"/>
          <w:szCs w:val="32"/>
          <w:rtl/>
        </w:rPr>
        <w:t xml:space="preserve">11.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12. تعارضات وفجوات في المصادر</w:t>
      </w:r>
      <w:bookmarkEnd w:id="19"/>
    </w:p>
    <w:p>
      <w:pPr>
        <w:pStyle w:val="ListParagraph"/>
        <w:numPr>
          <w:ilvl w:val="0"/>
          <w:numId w:val="5"/>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5"/>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1"/>
        <w:bidi/>
      </w:pPr>
      <w:bookmarkStart w:name="_sec20" w:id="20"/>
      <w:r>
        <w:rPr>
          <w:rFonts w:ascii="Arial" w:cs="Arial" w:eastAsia="Arial" w:hAnsi="Arial"/>
          <w:b/>
          <w:bCs/>
          <w:color w:val="1F3A5F"/>
          <w:sz w:val="32"/>
          <w:szCs w:val="32"/>
          <w:rtl/>
        </w:rPr>
        <w:t xml:space="preserve">13.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DOC-B06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1701a1946de8f2eebbff68ff0b74361c757f1e.png"/><Relationship Id="rId10" Type="http://schemas.openxmlformats.org/officeDocument/2006/relationships/image" Target="media/de0d5c3024ef2c338e947458b67ec98d201ce92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DOC-B06 — مواصفة بيانات الاختبار والتجهيل</dc:title>
  <dc:creator>Claude</dc:creator>
  <dc:description>BankFas database design document</dc:description>
  <cp:lastModifiedBy>Un-named</cp:lastModifiedBy>
  <cp:revision>1</cp:revision>
  <dcterms:created xsi:type="dcterms:W3CDTF">2026-10-12T18:10:21.316Z</dcterms:created>
  <dcterms:modified xsi:type="dcterms:W3CDTF">2026-10-12T18:10:21.316Z</dcterms:modified>
</cp:coreProperties>
</file>

<file path=docProps/custom.xml><?xml version="1.0" encoding="utf-8"?>
<Properties xmlns="http://schemas.openxmlformats.org/officeDocument/2006/custom-properties" xmlns:vt="http://schemas.openxmlformats.org/officeDocument/2006/docPropsVTypes"/>
</file>