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DOC-F05 — تسلسل تهيئة المشترك ودورة حياته مع الفشل والتراجع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 في المستودع</w:t>
        </w:r>
      </w:hyperlink>
    </w:p>
    <w:p>
      <w:pPr>
        <w:bidi/>
        <w:spacing w:after="50" w:before="0"/>
        <w:ind w:left="0"/>
      </w:pPr>
      <w:hyperlink w:history="1" w:anchor="_sec3">
        <w:r>
          <w:rPr>
            <w:rFonts w:ascii="Arial" w:cs="Arial" w:eastAsia="Arial" w:hAnsi="Arial"/>
            <w:b/>
            <w:bCs/>
            <w:color w:val="1F3A5F"/>
            <w:sz w:val="20"/>
            <w:szCs w:val="20"/>
            <w:rtl/>
          </w:rPr>
          <w:t xml:space="preserve">3. المشاركون</w:t>
        </w:r>
      </w:hyperlink>
    </w:p>
    <w:p>
      <w:pPr>
        <w:bidi/>
        <w:spacing w:after="50" w:before="0"/>
        <w:ind w:left="0"/>
      </w:pPr>
      <w:hyperlink w:history="1" w:anchor="_sec4">
        <w:r>
          <w:rPr>
            <w:rFonts w:ascii="Arial" w:cs="Arial" w:eastAsia="Arial" w:hAnsi="Arial"/>
            <w:b/>
            <w:bCs/>
            <w:color w:val="1F3A5F"/>
            <w:sz w:val="20"/>
            <w:szCs w:val="20"/>
            <w:rtl/>
          </w:rPr>
          <w:t xml:space="preserve">4. تسلسل التهيئة</w:t>
        </w:r>
      </w:hyperlink>
    </w:p>
    <w:p>
      <w:pPr>
        <w:bidi/>
        <w:spacing w:after="50" w:before="0"/>
        <w:ind w:left="0"/>
      </w:pPr>
      <w:hyperlink w:history="1" w:anchor="_sec10">
        <w:r>
          <w:rPr>
            <w:rFonts w:ascii="Arial" w:cs="Arial" w:eastAsia="Arial" w:hAnsi="Arial"/>
            <w:b/>
            <w:bCs/>
            <w:color w:val="1F3A5F"/>
            <w:sz w:val="20"/>
            <w:szCs w:val="20"/>
            <w:rtl/>
          </w:rPr>
          <w:t xml:space="preserve">5. الفشل والتراجع والتعويض</w:t>
        </w:r>
      </w:hyperlink>
    </w:p>
    <w:p>
      <w:pPr>
        <w:bidi/>
        <w:spacing w:after="50" w:before="0"/>
        <w:ind w:left="0"/>
      </w:pPr>
      <w:hyperlink w:history="1" w:anchor="_sec11">
        <w:r>
          <w:rPr>
            <w:rFonts w:ascii="Arial" w:cs="Arial" w:eastAsia="Arial" w:hAnsi="Arial"/>
            <w:b/>
            <w:bCs/>
            <w:color w:val="1F3A5F"/>
            <w:sz w:val="20"/>
            <w:szCs w:val="20"/>
            <w:rtl/>
          </w:rPr>
          <w:t xml:space="preserve">6. دورة حياة المشترك</w:t>
        </w:r>
      </w:hyperlink>
    </w:p>
    <w:p>
      <w:pPr>
        <w:bidi/>
        <w:spacing w:after="50" w:before="0"/>
        <w:ind w:left="0"/>
      </w:pPr>
      <w:hyperlink w:history="1" w:anchor="_sec17">
        <w:r>
          <w:rPr>
            <w:rFonts w:ascii="Arial" w:cs="Arial" w:eastAsia="Arial" w:hAnsi="Arial"/>
            <w:b/>
            <w:bCs/>
            <w:color w:val="1F3A5F"/>
            <w:sz w:val="20"/>
            <w:szCs w:val="20"/>
            <w:rtl/>
          </w:rPr>
          <w:t xml:space="preserve">7. شرط خروج S0: تهيئة آلية قابلة للقياس</w:t>
        </w:r>
      </w:hyperlink>
    </w:p>
    <w:p>
      <w:pPr>
        <w:bidi/>
        <w:spacing w:after="50" w:before="0"/>
        <w:ind w:left="0"/>
      </w:pPr>
      <w:hyperlink w:history="1" w:anchor="_sec18">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10.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الوضع اليوم في المستودع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1"/>
        <w:bidi/>
      </w:pPr>
      <w:bookmarkStart w:name="_sec3" w:id="3"/>
      <w:r>
        <w:rPr>
          <w:rFonts w:ascii="Arial" w:cs="Arial" w:eastAsia="Arial" w:hAnsi="Arial"/>
          <w:b/>
          <w:bCs/>
          <w:color w:val="1F3A5F"/>
          <w:sz w:val="32"/>
          <w:szCs w:val="32"/>
          <w:rtl/>
        </w:rPr>
        <w:t xml:space="preserve">3. المشاركون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تسلسل التهيئة </w:t>
      </w:r>
      <w:r>
        <w:rPr>
          <w:rFonts w:ascii="Arial" w:cs="Arial" w:eastAsia="Arial" w:hAnsi="Arial"/>
          <w:color w:val="E0A800"/>
          <w:sz w:val="32"/>
          <w:szCs w:val="32"/>
          <w:rtl/>
        </w:rPr>
        <w:t xml:space="preserve">●</w:t>
      </w:r>
      <w:bookmarkEnd w:id="4"/>
    </w:p>
    <w:p>
      <w:pPr>
        <w:pStyle w:val="Heading2"/>
        <w:bidi/>
      </w:pPr>
      <w:bookmarkStart w:name="_sec5" w:id="5"/>
      <w:r>
        <w:rPr>
          <w:rFonts w:ascii="Arial" w:cs="Arial" w:eastAsia="Arial" w:hAnsi="Arial"/>
          <w:b/>
          <w:bCs/>
          <w:color w:val="2B5C8A"/>
          <w:sz w:val="26"/>
          <w:szCs w:val="26"/>
          <w:rtl/>
        </w:rPr>
        <w:t xml:space="preserve">4.1 المراحل</w:t>
      </w:r>
      <w:bookmarkEnd w:id="5"/>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2"/>
        <w:bidi/>
      </w:pPr>
      <w:bookmarkStart w:name="_sec6" w:id="6"/>
      <w:r>
        <w:rPr>
          <w:rFonts w:ascii="Arial" w:cs="Arial" w:eastAsia="Arial" w:hAnsi="Arial"/>
          <w:b/>
          <w:bCs/>
          <w:color w:val="2B5C8A"/>
          <w:sz w:val="26"/>
          <w:szCs w:val="26"/>
          <w:rtl/>
        </w:rPr>
        <w:t xml:space="preserve">4.2 المرحلة أ: التسجيل</w:t>
      </w:r>
      <w:bookmarkEnd w:id="6"/>
    </w:p>
    <w:p>
      <w:pPr>
        <w:keepNext/>
        <w:bidi/>
        <w:spacing w:after="60" w:before="160"/>
        <w:jc w:val="center"/>
      </w:pPr>
      <w:r>
        <w:drawing>
          <wp:inline distT="0" distB="0" distL="0" distR="0">
            <wp:extent cx="6096000" cy="25622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المرحلتان ب وج: البذر والدعوة</w:t>
      </w:r>
      <w:bookmarkEnd w:id="7"/>
    </w:p>
    <w:p>
      <w:pPr>
        <w:keepNext/>
        <w:bidi/>
        <w:spacing w:after="60" w:before="160"/>
        <w:jc w:val="center"/>
      </w:pPr>
      <w:r>
        <w:drawing>
          <wp:inline distT="0" distB="0" distL="0" distR="0">
            <wp:extent cx="6096000" cy="31527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2"/>
        <w:bidi/>
      </w:pPr>
      <w:bookmarkStart w:name="_sec8" w:id="8"/>
      <w:r>
        <w:rPr>
          <w:rFonts w:ascii="Arial" w:cs="Arial" w:eastAsia="Arial" w:hAnsi="Arial"/>
          <w:b/>
          <w:bCs/>
          <w:color w:val="2B5C8A"/>
          <w:sz w:val="26"/>
          <w:szCs w:val="26"/>
          <w:rtl/>
        </w:rPr>
        <w:t xml:space="preserve">4.4 العنوان الفرعي وTLS</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2"/>
        <w:bidi/>
      </w:pPr>
      <w:bookmarkStart w:name="_sec9" w:id="9"/>
      <w:r>
        <w:rPr>
          <w:rFonts w:ascii="Arial" w:cs="Arial" w:eastAsia="Arial" w:hAnsi="Arial"/>
          <w:b/>
          <w:bCs/>
          <w:color w:val="2B5C8A"/>
          <w:sz w:val="26"/>
          <w:szCs w:val="26"/>
          <w:rtl/>
        </w:rPr>
        <w:t xml:space="preserve">4.5 تفعيل الوحدات</w:t>
      </w:r>
      <w:bookmarkEnd w:id="9"/>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1"/>
        <w:bidi/>
      </w:pPr>
      <w:bookmarkStart w:name="_sec10" w:id="10"/>
      <w:r>
        <w:rPr>
          <w:rFonts w:ascii="Arial" w:cs="Arial" w:eastAsia="Arial" w:hAnsi="Arial"/>
          <w:b/>
          <w:bCs/>
          <w:color w:val="1F3A5F"/>
          <w:sz w:val="32"/>
          <w:szCs w:val="32"/>
          <w:rtl/>
        </w:rPr>
        <w:t xml:space="preserve">5. الفشل والتراجع والتعويض</w:t>
      </w:r>
      <w:bookmarkEnd w:id="10"/>
    </w:p>
    <w:p>
      <w:pPr>
        <w:keepNext/>
        <w:bidi/>
        <w:spacing w:after="60" w:before="160"/>
        <w:jc w:val="center"/>
      </w:pPr>
      <w:r>
        <w:drawing>
          <wp:inline distT="0" distB="0" distL="0" distR="0">
            <wp:extent cx="6096000" cy="39528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1"/>
        <w:bidi/>
      </w:pPr>
      <w:bookmarkStart w:name="_sec11" w:id="11"/>
      <w:r>
        <w:rPr>
          <w:rFonts w:ascii="Arial" w:cs="Arial" w:eastAsia="Arial" w:hAnsi="Arial"/>
          <w:b/>
          <w:bCs/>
          <w:color w:val="1F3A5F"/>
          <w:sz w:val="32"/>
          <w:szCs w:val="32"/>
          <w:rtl/>
        </w:rPr>
        <w:t xml:space="preserve">6. دورة حياة المشترك</w:t>
      </w:r>
      <w:bookmarkEnd w:id="11"/>
    </w:p>
    <w:p>
      <w:pPr>
        <w:pStyle w:val="Heading2"/>
        <w:bidi/>
      </w:pPr>
      <w:bookmarkStart w:name="_sec12" w:id="12"/>
      <w:r>
        <w:rPr>
          <w:rFonts w:ascii="Arial" w:cs="Arial" w:eastAsia="Arial" w:hAnsi="Arial"/>
          <w:b/>
          <w:bCs/>
          <w:color w:val="2B5C8A"/>
          <w:sz w:val="26"/>
          <w:szCs w:val="26"/>
          <w:rtl/>
        </w:rPr>
        <w:t xml:space="preserve">6.1 مخطط الحالات</w:t>
      </w:r>
      <w:bookmarkEnd w:id="12"/>
    </w:p>
    <w:p>
      <w:pPr>
        <w:keepNext/>
        <w:bidi/>
        <w:spacing w:after="60" w:before="160"/>
        <w:jc w:val="center"/>
      </w:pPr>
      <w:r>
        <w:drawing>
          <wp:inline distT="0" distB="0" distL="0" distR="0">
            <wp:extent cx="6096000" cy="668655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2"/>
        <w:bidi/>
      </w:pPr>
      <w:bookmarkStart w:name="_sec13" w:id="13"/>
      <w:r>
        <w:rPr>
          <w:rFonts w:ascii="Arial" w:cs="Arial" w:eastAsia="Arial" w:hAnsi="Arial"/>
          <w:b/>
          <w:bCs/>
          <w:color w:val="2B5C8A"/>
          <w:sz w:val="26"/>
          <w:szCs w:val="26"/>
          <w:rtl/>
        </w:rPr>
        <w:t xml:space="preserve">6.2 جدول الانتقالات</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2"/>
        <w:bidi/>
      </w:pPr>
      <w:bookmarkStart w:name="_sec14" w:id="14"/>
      <w:r>
        <w:rPr>
          <w:rFonts w:ascii="Arial" w:cs="Arial" w:eastAsia="Arial" w:hAnsi="Arial"/>
          <w:b/>
          <w:bCs/>
          <w:color w:val="2B5C8A"/>
          <w:sz w:val="26"/>
          <w:szCs w:val="26"/>
          <w:rtl/>
        </w:rPr>
        <w:t xml:space="preserve">6.3 المؤقتات والمهام </w:t>
      </w:r>
      <w:r>
        <w:rPr>
          <w:rFonts w:ascii="Arial" w:cs="Arial" w:eastAsia="Arial" w:hAnsi="Arial"/>
          <w:color w:val="E0A800"/>
          <w:sz w:val="26"/>
          <w:szCs w:val="26"/>
          <w:rtl/>
        </w:rPr>
        <w:t xml:space="preserve">●</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2"/>
        <w:bidi/>
      </w:pPr>
      <w:bookmarkStart w:name="_sec15" w:id="15"/>
      <w:r>
        <w:rPr>
          <w:rFonts w:ascii="Arial" w:cs="Arial" w:eastAsia="Arial" w:hAnsi="Arial"/>
          <w:b/>
          <w:bCs/>
          <w:color w:val="2B5C8A"/>
          <w:sz w:val="26"/>
          <w:szCs w:val="26"/>
          <w:rtl/>
        </w:rPr>
        <w:t xml:space="preserve">6.4 نافذة التصدير بعد الإغلاق</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2"/>
        <w:bidi/>
      </w:pPr>
      <w:bookmarkStart w:name="_sec16" w:id="16"/>
      <w:r>
        <w:rPr>
          <w:rFonts w:ascii="Arial" w:cs="Arial" w:eastAsia="Arial" w:hAnsi="Arial"/>
          <w:b/>
          <w:bCs/>
          <w:color w:val="2B5C8A"/>
          <w:sz w:val="26"/>
          <w:szCs w:val="26"/>
          <w:rtl/>
        </w:rPr>
        <w:t xml:space="preserve">6.5 الإتلاف وحذف البيانات</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3"/>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3"/>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3"/>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3"/>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1"/>
        <w:bidi/>
      </w:pPr>
      <w:bookmarkStart w:name="_sec17" w:id="17"/>
      <w:r>
        <w:rPr>
          <w:rFonts w:ascii="Arial" w:cs="Arial" w:eastAsia="Arial" w:hAnsi="Arial"/>
          <w:b/>
          <w:bCs/>
          <w:color w:val="1F3A5F"/>
          <w:sz w:val="32"/>
          <w:szCs w:val="32"/>
          <w:rtl/>
        </w:rPr>
        <w:t xml:space="preserve">7. شرط خروج S0: تهيئة آلية قابلة للقياس </w:t>
      </w:r>
      <w:r>
        <w:rPr>
          <w:rFonts w:ascii="Arial" w:cs="Arial" w:eastAsia="Arial" w:hAnsi="Arial"/>
          <w:color w:val="E0A800"/>
          <w:sz w:val="32"/>
          <w:szCs w:val="32"/>
          <w:rtl/>
        </w:rPr>
        <w:t xml:space="preserve">●</w:t>
      </w:r>
      <w:bookmarkEnd w:id="17"/>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1"/>
        <w:bidi/>
      </w:pPr>
      <w:bookmarkStart w:name="_sec18" w:id="18"/>
      <w:r>
        <w:rPr>
          <w:rFonts w:ascii="Arial" w:cs="Arial" w:eastAsia="Arial" w:hAnsi="Arial"/>
          <w:b/>
          <w:bCs/>
          <w:color w:val="1F3A5F"/>
          <w:sz w:val="32"/>
          <w:szCs w:val="32"/>
          <w:rtl/>
        </w:rPr>
        <w:t xml:space="preserve">8.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9. تعارضات وفجوات في المصادر</w:t>
      </w:r>
      <w:bookmarkEnd w:id="19"/>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4"/>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4"/>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4"/>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1"/>
        <w:bidi/>
      </w:pPr>
      <w:bookmarkStart w:name="_sec20" w:id="20"/>
      <w:r>
        <w:rPr>
          <w:rFonts w:ascii="Arial" w:cs="Arial" w:eastAsia="Arial" w:hAnsi="Arial"/>
          <w:b/>
          <w:bCs/>
          <w:color w:val="1F3A5F"/>
          <w:sz w:val="32"/>
          <w:szCs w:val="32"/>
          <w:rtl/>
        </w:rPr>
        <w:t xml:space="preserve">10.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9f1024316ed69bd2c6b7e3a67ac761781c18a4.png"/><Relationship Id="rId10" Type="http://schemas.openxmlformats.org/officeDocument/2006/relationships/image" Target="media/74ad862019af993735f4acd817054f3c9694f587.png"/><Relationship Id="rId11" Type="http://schemas.openxmlformats.org/officeDocument/2006/relationships/image" Target="media/970bb0d24a6ed7341a977d2dd36063fdbd065bb0.png"/><Relationship Id="rId12" Type="http://schemas.openxmlformats.org/officeDocument/2006/relationships/image" Target="media/6d70405e453419bedc8162733ea842163ce2ae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DOC-F05 — تسلسل تهيئة المشترك ودورة حياته مع الفشل والتراجع</dc:title>
  <dc:creator>Claude</dc:creator>
  <dc:description>BankFas database design document</dc:description>
  <cp:lastModifiedBy>Un-named</cp:lastModifiedBy>
  <cp:revision>1</cp:revision>
  <dcterms:created xsi:type="dcterms:W3CDTF">2026-10-12T18:02:57.912Z</dcterms:created>
  <dcterms:modified xsi:type="dcterms:W3CDTF">2026-10-12T18:02:57.912Z</dcterms:modified>
</cp:coreProperties>
</file>

<file path=docProps/custom.xml><?xml version="1.0" encoding="utf-8"?>
<Properties xmlns="http://schemas.openxmlformats.org/officeDocument/2006/custom-properties" xmlns:vt="http://schemas.openxmlformats.org/officeDocument/2006/docPropsVTypes"/>
</file>