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bidi/>
      </w:pPr>
      <w:r>
        <w:rPr>
          <w:rFonts w:ascii="Arial" w:cs="Arial" w:eastAsia="Arial" w:hAnsi="Arial"/>
          <w:b/>
          <w:bCs/>
          <w:color w:val="1F3A5F"/>
          <w:sz w:val="48"/>
          <w:szCs w:val="48"/>
          <w:rtl/>
        </w:rPr>
        <w:t xml:space="preserve">DOC-F07 — كتالوج حالات الاستخدام: المنصة والهيكل المؤسسي والأشخاص (M0 وM1)</w:t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60"/>
        <w:gridCol w:w="8704"/>
      </w:tblGrid>
      <w:tr>
        <w:trPr>
          <w:cantSplit/>
          <w:tblHeader/>
        </w:trPr>
        <w:tc>
          <w:tcPr>
            <w:tcW w:type="dxa" w:w="1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البند</w:t>
            </w:r>
          </w:p>
        </w:tc>
        <w:tc>
          <w:tcPr>
            <w:tcW w:type="dxa" w:w="87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القيمة</w:t>
            </w:r>
          </w:p>
        </w:tc>
      </w:tr>
      <w:tr>
        <w:trPr>
          <w:cantSplit/>
        </w:trPr>
        <w:tc>
          <w:tcPr>
            <w:tcW w:type="dxa" w:w="1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المعرّف</w:t>
            </w:r>
          </w:p>
        </w:tc>
        <w:tc>
          <w:tcPr>
            <w:tcW w:type="dxa" w:w="87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DOC-F07 (docs/30-readiness-documents.md)</w:t>
            </w:r>
          </w:p>
        </w:tc>
      </w:tr>
      <w:tr>
        <w:trPr>
          <w:cantSplit/>
        </w:trPr>
        <w:tc>
          <w:tcPr>
            <w:tcW w:type="dxa" w:w="1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الإصدار</w:t>
            </w:r>
          </w:p>
        </w:tc>
        <w:tc>
          <w:tcPr>
            <w:tcW w:type="dxa" w:w="87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0.1 — مسودة للمراجعة — 2026-10-12</w:t>
            </w:r>
          </w:p>
        </w:tc>
      </w:tr>
      <w:tr>
        <w:trPr>
          <w:cantSplit/>
        </w:trPr>
        <w:tc>
          <w:tcPr>
            <w:tcW w:type="dxa" w:w="1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المالك المقترح</w:t>
            </w:r>
          </w:p>
        </w:tc>
        <w:tc>
          <w:tcPr>
            <w:tcW w:type="dxa" w:w="87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محلل الأعمال مع مالكي الوحدات</w:t>
            </w:r>
          </w:p>
        </w:tc>
      </w:tr>
      <w:tr>
        <w:trPr>
          <w:cantSplit/>
        </w:trPr>
        <w:tc>
          <w:tcPr>
            <w:tcW w:type="dxa" w:w="1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الأولوية</w:t>
            </w:r>
          </w:p>
        </w:tc>
        <w:tc>
          <w:tcPr>
            <w:tcW w:type="dxa" w:w="87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P0 قبل S0 لقسم M0، وقبل S1 لقسم M1</w:t>
            </w:r>
          </w:p>
        </w:tc>
      </w:tr>
      <w:tr>
        <w:trPr>
          <w:cantSplit/>
        </w:trPr>
        <w:tc>
          <w:tcPr>
            <w:tcW w:type="dxa" w:w="1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يغطي</w:t>
            </w:r>
          </w:p>
        </w:tc>
        <w:tc>
          <w:tcPr>
            <w:tcW w:type="dxa" w:w="87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FR-PLT-001…047، FR-ORG-001…031، FR-PTY-001…029، BR-PLT-001…019، BR-ORG-001…016، BR-PTY-001…019</w:t>
            </w:r>
          </w:p>
        </w:tc>
      </w:tr>
      <w:tr>
        <w:trPr>
          <w:cantSplit/>
        </w:trPr>
        <w:tc>
          <w:tcPr>
            <w:tcW w:type="dxa" w:w="1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يعتمد على</w:t>
            </w:r>
          </w:p>
        </w:tc>
        <w:tc>
          <w:tcPr>
            <w:tcW w:type="dxa" w:w="87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DOC-F01 (الفاعلون)، DOC-F03 (الدخول)، DOC-F04 (ربط السياق)، DOC-F05 (التهيئة)، DOC-F06 (حالات المستخدم)، DOC-B02، DOC-B04</w:t>
            </w:r>
          </w:p>
        </w:tc>
      </w:tr>
      <w:tr>
        <w:trPr>
          <w:cantSplit/>
        </w:trPr>
        <w:tc>
          <w:tcPr>
            <w:tcW w:type="dxa" w:w="1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المصادر</w:t>
            </w:r>
          </w:p>
        </w:tc>
        <w:tc>
          <w:tcPr>
            <w:tcW w:type="dxa" w:w="87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docs/10-detailed-analysis/10-m0-m1-platform-organization.md، docs/10-detailed-analysis/00-overview-and-cross-cutting.md، db/model/10-platform.model، db/static/030_session_context.sql، docs/adr/0002-login-and-session-bound-context.md، docs/20-database-design.md</w:t>
            </w:r>
          </w:p>
        </w:tc>
      </w:tr>
    </w:tbl>
    <w:p>
      <w:pPr>
        <w:bidi/>
        <w:spacing w:after="120" w:before="0"/>
      </w:pPr>
    </w:p>
    <w:p>
      <w:pPr>
        <w:pBdr>
          <w:bottom w:val="single" w:color="1F3A5F" w:sz="8" w:space="4"/>
        </w:pBdr>
        <w:bidi/>
        <w:spacing w:after="100" w:before="280"/>
      </w:pPr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المحتويات</w:t>
      </w:r>
    </w:p>
    <w:p>
      <w:pPr>
        <w:bidi/>
        <w:spacing w:after="50" w:before="0"/>
        <w:ind w:left="0"/>
      </w:pPr>
      <w:hyperlink w:history="1" w:anchor="_sec1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1. الغرض والنطاق</w:t>
        </w:r>
      </w:hyperlink>
    </w:p>
    <w:p>
      <w:pPr>
        <w:bidi/>
        <w:spacing w:after="50" w:before="0"/>
        <w:ind w:left="0"/>
      </w:pPr>
      <w:hyperlink w:history="1" w:anchor="_sec2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2. الفاعلون</w:t>
        </w:r>
      </w:hyperlink>
    </w:p>
    <w:p>
      <w:pPr>
        <w:bidi/>
        <w:spacing w:after="50" w:before="0"/>
        <w:ind w:left="0"/>
      </w:pPr>
      <w:hyperlink w:history="1" w:anchor="_sec3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3. رموز الصلاحيات</w:t>
        </w:r>
      </w:hyperlink>
    </w:p>
    <w:p>
      <w:pPr>
        <w:bidi/>
        <w:spacing w:after="50" w:before="0"/>
        <w:ind w:left="0"/>
      </w:pPr>
      <w:hyperlink w:history="1" w:anchor="_sec4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4. مخططات حالات الاستخدام</w:t>
        </w:r>
      </w:hyperlink>
    </w:p>
    <w:p>
      <w:pPr>
        <w:bidi/>
        <w:spacing w:after="50" w:before="0"/>
        <w:ind w:left="0"/>
      </w:pPr>
      <w:hyperlink w:history="1" w:anchor="_sec11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5. حالات استخدام M0 في S0 (مكتملة)</w:t>
        </w:r>
      </w:hyperlink>
    </w:p>
    <w:p>
      <w:pPr>
        <w:bidi/>
        <w:spacing w:after="50" w:before="0"/>
        <w:ind w:left="0"/>
      </w:pPr>
      <w:hyperlink w:history="1" w:anchor="_sec39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6. حالات M0 خارج S0 (مختصرة)</w:t>
        </w:r>
      </w:hyperlink>
    </w:p>
    <w:p>
      <w:pPr>
        <w:bidi/>
        <w:spacing w:after="50" w:before="0"/>
        <w:ind w:left="0"/>
      </w:pPr>
      <w:hyperlink w:history="1" w:anchor="_sec40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7. حالات M1: الهيكل المؤسسي (ORG)</w:t>
        </w:r>
      </w:hyperlink>
    </w:p>
    <w:p>
      <w:pPr>
        <w:bidi/>
        <w:spacing w:after="50" w:before="0"/>
        <w:ind w:left="0"/>
      </w:pPr>
      <w:hyperlink w:history="1" w:anchor="_sec41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8. حالات M1: الأشخاص والجهات (PTY)</w:t>
        </w:r>
      </w:hyperlink>
    </w:p>
    <w:p>
      <w:pPr>
        <w:bidi/>
        <w:spacing w:after="50" w:before="0"/>
        <w:ind w:left="0"/>
      </w:pPr>
      <w:hyperlink w:history="1" w:anchor="_sec42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9. ما ليس حالة استخدام</w:t>
        </w:r>
      </w:hyperlink>
    </w:p>
    <w:p>
      <w:pPr>
        <w:bidi/>
        <w:spacing w:after="50" w:before="0"/>
        <w:ind w:left="0"/>
      </w:pPr>
      <w:hyperlink w:history="1" w:anchor="_sec43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10. القرارات المطلوبة</w:t>
        </w:r>
      </w:hyperlink>
    </w:p>
    <w:p>
      <w:pPr>
        <w:bidi/>
        <w:spacing w:after="50" w:before="0"/>
        <w:ind w:left="0"/>
      </w:pPr>
      <w:hyperlink w:history="1" w:anchor="_sec44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11. تعارضات وفجوات في المصادر</w:t>
        </w:r>
      </w:hyperlink>
    </w:p>
    <w:p>
      <w:pPr>
        <w:bidi/>
        <w:spacing w:after="50" w:before="0"/>
        <w:ind w:left="0"/>
      </w:pPr>
      <w:hyperlink w:history="1" w:anchor="_sec45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12. التتبع</w:t>
        </w:r>
      </w:hyperlink>
    </w:p>
    <w:p>
      <w:r>
        <w:br w:type="page"/>
      </w:r>
    </w:p>
    <w:p>
      <w:pPr>
        <w:pStyle w:val="Heading1"/>
        <w:bidi/>
      </w:pPr>
      <w:bookmarkStart w:name="_sec1" w:id="1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1. الغرض والنطاق</w:t>
      </w:r>
      <w:bookmarkEnd w:id="1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يعطي هذا الكتالوج معرّفًا ثابتًا لكل حالة استخدام في M0 (المنصة) وM1 (الهيكل المؤسسي والأشخاص). تستشهد بهذه المعرّفات سيناريوهات القبول (DOC-B02) والشاشات (DOC-B07) والاختبارات.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حالات S0 مكتملة: الفاعل، الشروط المسبقة واللاحقة، المسار الرئيسي مرقّمًا، المسارات البديلة والأخطاء، المتطلبات والقواعد، الشريحة، رمز الصلاحية.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حالات S1 وS1-ب وما بعدها مختصرة في جداول.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التسلسلات التفصيلية ليست هنا: الدخول وMFA والاسترداد في DOC-F03، وربط السياق في DOC-F04، والتهيئة والتراجع في DOC-F05، وحالات المستخدم في DOC-F06.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قواعد تسري على كل حالة ولا تتكرر فيها: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ترتيب التقييم: حالة المشترك، ثم المصادقة، ثم الصلاحية، ثم نطاق الشركات، ثم قواعد السجل؛ والرفض هو الأصل. بلا صلاحية 403، وخارج النطاق 404 </w:t>
      </w:r>
      <w:r>
        <w:rPr>
          <w:rFonts w:ascii="Arial" w:cs="Arial" w:eastAsia="Arial" w:hAnsi="Arial"/>
          <w:color w:val="2E9E44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(FR-PLT-021، docs/10-detailed-analysis/10-m0-m1-platform-organization.md:123).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كل إجراء يكتب حدث تدقيق بمحتوى FR-PLT-023، والقيم المقيّدة مقنَّعة (BR-PLT-009).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كل وظيفة متاحة عبر REST موثّق (FR-PLT-041)، وكل جدول مملوك للمشترك معزول بـ RLS (FR-PLT-036).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وحدة معطّلة تختفي من الواجهة وتعيد 403 (FR-PLT-003).</w:t>
      </w:r>
    </w:p>
    <w:p>
      <w:pPr>
        <w:bidi/>
        <w:spacing w:after="60" w:before="0"/>
      </w:pPr>
    </w:p>
    <w:p>
      <w:pPr>
        <w:pStyle w:val="Heading1"/>
        <w:bidi/>
      </w:pPr>
      <w:bookmarkStart w:name="_sec2" w:id="2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2. الفاعلون</w:t>
      </w:r>
      <w:bookmarkEnd w:id="2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القائمة المرجعية للفاعلين وحدود الثقة في DOC-F01 §3، وعمود DOC-F01 يذكر معرّف الفاعل هناك.</w:t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38"/>
        <w:gridCol w:w="946"/>
        <w:gridCol w:w="946"/>
        <w:gridCol w:w="6834"/>
      </w:tblGrid>
      <w:tr>
        <w:trPr>
          <w:cantSplit/>
          <w:tblHeader/>
        </w:trPr>
        <w:tc>
          <w:tcPr>
            <w:tcW w:type="dxa" w:w="113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الفاعل</w:t>
            </w:r>
          </w:p>
        </w:tc>
        <w:tc>
          <w:tcPr>
            <w:tcW w:type="dxa" w:w="94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الرمز</w:t>
            </w:r>
          </w:p>
        </w:tc>
        <w:tc>
          <w:tcPr>
            <w:tcW w:type="dxa" w:w="94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DOC-F01</w:t>
            </w:r>
          </w:p>
        </w:tc>
        <w:tc>
          <w:tcPr>
            <w:tcW w:type="dxa" w:w="683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الهوية والمصدر</w:t>
            </w:r>
          </w:p>
        </w:tc>
      </w:tr>
      <w:tr>
        <w:trPr>
          <w:cantSplit/>
        </w:trPr>
        <w:tc>
          <w:tcPr>
            <w:tcW w:type="dxa" w:w="113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مشغّل المنصة</w:t>
            </w:r>
          </w:p>
        </w:tc>
        <w:tc>
          <w:tcPr>
            <w:tcW w:type="dxa" w:w="94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PO</w:t>
            </w:r>
          </w:p>
        </w:tc>
        <w:tc>
          <w:tcPr>
            <w:tcW w:type="dxa" w:w="94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A-06، وA-07 في جلسة الدعم</w:t>
            </w:r>
          </w:p>
        </w:tc>
        <w:tc>
          <w:tcPr>
            <w:tcW w:type="dxa" w:w="683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حساب في plat.PlatformOperator بدور OPERATOR_ADMIN أو OPERATOR_SUPPORT (db/model/10-platform.model:64-67)</w:t>
            </w:r>
          </w:p>
        </w:tc>
      </w:tr>
      <w:tr>
        <w:trPr>
          <w:cantSplit/>
        </w:trPr>
        <w:tc>
          <w:tcPr>
            <w:tcW w:type="dxa" w:w="113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مستخدم المشترك</w:t>
            </w:r>
          </w:p>
        </w:tc>
        <w:tc>
          <w:tcPr>
            <w:tcW w:type="dxa" w:w="94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94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A-01 إلى A-04</w:t>
            </w:r>
          </w:p>
        </w:tc>
        <w:tc>
          <w:tcPr>
            <w:tcW w:type="dxa" w:w="683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حساب في sec.AppUser بأي دور (db/model/10-platform.model:113)</w:t>
            </w:r>
          </w:p>
        </w:tc>
      </w:tr>
      <w:tr>
        <w:trPr>
          <w:cantSplit/>
        </w:trPr>
        <w:tc>
          <w:tcPr>
            <w:tcW w:type="dxa" w:w="113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المدعو</w:t>
            </w:r>
          </w:p>
        </w:tc>
        <w:tc>
          <w:tcPr>
            <w:tcW w:type="dxa" w:w="94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94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A-01 إلى A-04 قبل التفعيل</w:t>
            </w:r>
          </w:p>
        </w:tc>
        <w:tc>
          <w:tcPr>
            <w:tcW w:type="dxa" w:w="683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sec.AppUser بحالة INVITED (db/model/10-platform.model:122)</w:t>
            </w:r>
          </w:p>
        </w:tc>
      </w:tr>
      <w:tr>
        <w:trPr>
          <w:cantSplit/>
        </w:trPr>
        <w:tc>
          <w:tcPr>
            <w:tcW w:type="dxa" w:w="113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مدير حساب المشترك</w:t>
            </w:r>
          </w:p>
        </w:tc>
        <w:tc>
          <w:tcPr>
            <w:tcW w:type="dxa" w:w="94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TA</w:t>
            </w:r>
          </w:p>
        </w:tc>
        <w:tc>
          <w:tcPr>
            <w:tcW w:type="dxa" w:w="94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A-01</w:t>
            </w:r>
          </w:p>
        </w:tc>
        <w:tc>
          <w:tcPr>
            <w:tcW w:type="dxa" w:w="683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دور نظام (docs/10-detailed-analysis/10-m0-m1-platform-organization.md:41)</w:t>
            </w:r>
          </w:p>
        </w:tc>
      </w:tr>
      <w:tr>
        <w:trPr>
          <w:cantSplit/>
        </w:trPr>
        <w:tc>
          <w:tcPr>
            <w:tcW w:type="dxa" w:w="113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مدير الخزينة · مسؤول التسهيلات</w:t>
            </w:r>
          </w:p>
        </w:tc>
        <w:tc>
          <w:tcPr>
            <w:tcW w:type="dxa" w:w="94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TM · FO</w:t>
            </w:r>
          </w:p>
        </w:tc>
        <w:tc>
          <w:tcPr>
            <w:tcW w:type="dxa" w:w="94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A-02</w:t>
            </w:r>
          </w:p>
        </w:tc>
        <w:tc>
          <w:tcPr>
            <w:tcW w:type="dxa" w:w="683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دورا نظام؛ يحملان الصلاحيات المقفلة </w:t>
            </w:r>
            <w:r>
              <w:rPr>
                <w:rFonts w:ascii="Arial" w:cs="Arial" w:eastAsia="Arial" w:hAnsi="Arial"/>
                <w:color w:val="7A1F1F"/>
                <w:sz w:val="18"/>
                <w:szCs w:val="18"/>
                <w:rtl/>
              </w:rPr>
              <w:t xml:space="preserve">◆</w:t>
            </w:r>
          </w:p>
        </w:tc>
      </w:tr>
      <w:tr>
        <w:trPr>
          <w:cantSplit/>
        </w:trPr>
        <w:tc>
          <w:tcPr>
            <w:tcW w:type="dxa" w:w="113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موظف الخزينة</w:t>
            </w:r>
          </w:p>
        </w:tc>
        <w:tc>
          <w:tcPr>
            <w:tcW w:type="dxa" w:w="94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TE</w:t>
            </w:r>
          </w:p>
        </w:tc>
        <w:tc>
          <w:tcPr>
            <w:tcW w:type="dxa" w:w="94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A-03</w:t>
            </w:r>
          </w:p>
        </w:tc>
        <w:tc>
          <w:tcPr>
            <w:tcW w:type="dxa" w:w="683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دور نظام</w:t>
            </w:r>
          </w:p>
        </w:tc>
      </w:tr>
      <w:tr>
        <w:trPr>
          <w:cantSplit/>
        </w:trPr>
        <w:tc>
          <w:tcPr>
            <w:tcW w:type="dxa" w:w="113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المدقق</w:t>
            </w:r>
          </w:p>
        </w:tc>
        <w:tc>
          <w:tcPr>
            <w:tcW w:type="dxa" w:w="94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AU</w:t>
            </w:r>
          </w:p>
        </w:tc>
        <w:tc>
          <w:tcPr>
            <w:tcW w:type="dxa" w:w="94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A-04</w:t>
            </w:r>
          </w:p>
        </w:tc>
        <w:tc>
          <w:tcPr>
            <w:tcW w:type="dxa" w:w="683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دور قراءة</w:t>
            </w:r>
          </w:p>
        </w:tc>
      </w:tr>
      <w:tr>
        <w:trPr>
          <w:cantSplit/>
        </w:trPr>
        <w:tc>
          <w:tcPr>
            <w:tcW w:type="dxa" w:w="113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النظام</w:t>
            </w:r>
          </w:p>
        </w:tc>
        <w:tc>
          <w:tcPr>
            <w:tcW w:type="dxa" w:w="94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SYS</w:t>
            </w:r>
          </w:p>
        </w:tc>
        <w:tc>
          <w:tcPr>
            <w:tcW w:type="dxa" w:w="94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A-05</w:t>
            </w:r>
          </w:p>
        </w:tc>
        <w:tc>
          <w:tcPr>
            <w:tcW w:type="dxa" w:w="683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مهام خلفية بحساب الخدمة IsSystemUser (db/model/10-platform.model:123)</w:t>
            </w:r>
          </w:p>
        </w:tc>
      </w:tr>
      <w:tr>
        <w:trPr>
          <w:cantSplit/>
        </w:trPr>
        <w:tc>
          <w:tcPr>
            <w:tcW w:type="dxa" w:w="113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خدمة البريد المعاملاتي</w:t>
            </w:r>
          </w:p>
        </w:tc>
        <w:tc>
          <w:tcPr>
            <w:tcW w:type="dxa" w:w="94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94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A-09</w:t>
            </w:r>
          </w:p>
        </w:tc>
        <w:tc>
          <w:tcPr>
            <w:tcW w:type="dxa" w:w="683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فاعل ثانوي لرسالتي الدعوة وإعادة التعيين فقط (FR-PLT-013)</w:t>
            </w:r>
          </w:p>
        </w:tc>
      </w:tr>
    </w:tbl>
    <w:p>
      <w:pPr>
        <w:bidi/>
        <w:spacing w:after="120" w:before="0"/>
      </w:pPr>
    </w:p>
    <w:p>
      <w:pPr>
        <w:pStyle w:val="Heading1"/>
        <w:bidi/>
      </w:pPr>
      <w:bookmarkStart w:name="_sec3" w:id="3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3. رموز الصلاحيات</w:t>
      </w:r>
      <w:bookmarkEnd w:id="3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مصفوفة الأدوار في 10-m0-m1 تسمّي سبعة رموز فقط، وبقية الصفوف بلا رمز (docs/10-detailed-analysis/10-m0-m1-platform-organization.md:43-67). الرموز </w:t>
      </w:r>
      <w:r>
        <w:rPr>
          <w:rFonts w:ascii="Arial" w:cs="Arial" w:eastAsia="Arial" w:hAnsi="Arial"/>
          <w:color w:val="E0A800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أدناه مقترحة بنمط بقية الوحدات (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‎&lt;وحدة&gt;.&lt;كائن&gt;.&lt;فعل&gt;‎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) وتُسجَّل تحت ModuleCode = CORE. اعتمادها قرار DQ-F07-1.</w:t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81"/>
        <w:gridCol w:w="2006"/>
        <w:gridCol w:w="1671"/>
        <w:gridCol w:w="2006"/>
      </w:tblGrid>
      <w:tr>
        <w:trPr>
          <w:cantSplit/>
          <w:tblHeader/>
        </w:trPr>
        <w:tc>
          <w:tcPr>
            <w:tcW w:type="dxa" w:w="418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الرمز</w:t>
            </w:r>
          </w:p>
        </w:tc>
        <w:tc>
          <w:tcPr>
            <w:tcW w:type="dxa" w:w="200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الحالة</w:t>
            </w:r>
          </w:p>
        </w:tc>
        <w:tc>
          <w:tcPr>
            <w:tcW w:type="dxa" w:w="167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الأدوار الافتراضية</w:t>
            </w:r>
          </w:p>
        </w:tc>
        <w:tc>
          <w:tcPr>
            <w:tcW w:type="dxa" w:w="200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صف المصفوفة</w:t>
            </w:r>
          </w:p>
        </w:tc>
      </w:tr>
      <w:tr>
        <w:trPr>
          <w:cantSplit/>
        </w:trPr>
        <w:tc>
          <w:tcPr>
            <w:tcW w:type="dxa" w:w="418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OPERATOR_ADMIN / OPERATOR_SUPPORT</w:t>
            </w:r>
          </w:p>
        </w:tc>
        <w:tc>
          <w:tcPr>
            <w:tcW w:type="dxa" w:w="200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2E9E44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دور مشغّل لا صلاحية مشترك (FR-PLT-006)</w:t>
            </w:r>
          </w:p>
        </w:tc>
        <w:tc>
          <w:tcPr>
            <w:tcW w:type="dxa" w:w="167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PO</w:t>
            </w:r>
          </w:p>
        </w:tc>
        <w:tc>
          <w:tcPr>
            <w:tcW w:type="dxa" w:w="200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1، 2</w:t>
            </w:r>
          </w:p>
        </w:tc>
      </w:tr>
      <w:tr>
        <w:trPr>
          <w:cantSplit/>
        </w:trPr>
        <w:tc>
          <w:tcPr>
            <w:tcW w:type="dxa" w:w="418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‎sec.user.manage‎</w:t>
            </w:r>
          </w:p>
        </w:tc>
        <w:tc>
          <w:tcPr>
            <w:tcW w:type="dxa" w:w="200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</w:p>
        </w:tc>
        <w:tc>
          <w:tcPr>
            <w:tcW w:type="dxa" w:w="167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TA</w:t>
            </w:r>
          </w:p>
        </w:tc>
        <w:tc>
          <w:tcPr>
            <w:tcW w:type="dxa" w:w="200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418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‎sec.role.manage‎</w:t>
            </w:r>
          </w:p>
        </w:tc>
        <w:tc>
          <w:tcPr>
            <w:tcW w:type="dxa" w:w="200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</w:p>
        </w:tc>
        <w:tc>
          <w:tcPr>
            <w:tcW w:type="dxa" w:w="167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TA</w:t>
            </w:r>
          </w:p>
        </w:tc>
        <w:tc>
          <w:tcPr>
            <w:tcW w:type="dxa" w:w="200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418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‎sec.support.grant‎</w:t>
            </w:r>
          </w:p>
        </w:tc>
        <w:tc>
          <w:tcPr>
            <w:tcW w:type="dxa" w:w="200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</w:p>
        </w:tc>
        <w:tc>
          <w:tcPr>
            <w:tcW w:type="dxa" w:w="167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TA</w:t>
            </w:r>
          </w:p>
        </w:tc>
        <w:tc>
          <w:tcPr>
            <w:tcW w:type="dxa" w:w="200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 (FR-PLT-007)</w:t>
            </w:r>
          </w:p>
        </w:tc>
      </w:tr>
      <w:tr>
        <w:trPr>
          <w:cantSplit/>
        </w:trPr>
        <w:tc>
          <w:tcPr>
            <w:tcW w:type="dxa" w:w="418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‎cfg.settings.manage‎</w:t>
            </w:r>
          </w:p>
        </w:tc>
        <w:tc>
          <w:tcPr>
            <w:tcW w:type="dxa" w:w="200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</w:p>
        </w:tc>
        <w:tc>
          <w:tcPr>
            <w:tcW w:type="dxa" w:w="167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TA؛ TM ◐ للعتبات</w:t>
            </w:r>
          </w:p>
        </w:tc>
        <w:tc>
          <w:tcPr>
            <w:tcW w:type="dxa" w:w="200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418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‎cfg.numbering.manage‎</w:t>
            </w:r>
          </w:p>
        </w:tc>
        <w:tc>
          <w:tcPr>
            <w:tcW w:type="dxa" w:w="200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</w:p>
        </w:tc>
        <w:tc>
          <w:tcPr>
            <w:tcW w:type="dxa" w:w="167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TA</w:t>
            </w:r>
          </w:p>
        </w:tc>
        <w:tc>
          <w:tcPr>
            <w:tcW w:type="dxa" w:w="200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418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‎cfg.alerts.manage‎</w:t>
            </w:r>
          </w:p>
        </w:tc>
        <w:tc>
          <w:tcPr>
            <w:tcW w:type="dxa" w:w="200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</w:p>
        </w:tc>
        <w:tc>
          <w:tcPr>
            <w:tcW w:type="dxa" w:w="167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TA، TM</w:t>
            </w:r>
          </w:p>
        </w:tc>
        <w:tc>
          <w:tcPr>
            <w:tcW w:type="dxa" w:w="200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418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‎cfg.jobs.view‎</w:t>
            </w:r>
          </w:p>
        </w:tc>
        <w:tc>
          <w:tcPr>
            <w:tcW w:type="dxa" w:w="200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</w:p>
        </w:tc>
        <w:tc>
          <w:tcPr>
            <w:tcW w:type="dxa" w:w="167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TA</w:t>
            </w:r>
          </w:p>
        </w:tc>
        <w:tc>
          <w:tcPr>
            <w:tcW w:type="dxa" w:w="200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 (FR-PLT-044)</w:t>
            </w:r>
          </w:p>
        </w:tc>
      </w:tr>
      <w:tr>
        <w:trPr>
          <w:cantSplit/>
        </w:trPr>
        <w:tc>
          <w:tcPr>
            <w:tcW w:type="dxa" w:w="418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‎audit.view‎</w:t>
            </w:r>
          </w:p>
        </w:tc>
        <w:tc>
          <w:tcPr>
            <w:tcW w:type="dxa" w:w="200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2E9E44"/>
                <w:sz w:val="18"/>
                <w:szCs w:val="18"/>
                <w:rtl/>
              </w:rPr>
              <w:t xml:space="preserve">●</w:t>
            </w:r>
          </w:p>
        </w:tc>
        <w:tc>
          <w:tcPr>
            <w:tcW w:type="dxa" w:w="167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TA، AU</w:t>
            </w:r>
          </w:p>
        </w:tc>
        <w:tc>
          <w:tcPr>
            <w:tcW w:type="dxa" w:w="200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418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‎audit.view.treasury‎</w:t>
            </w:r>
          </w:p>
        </w:tc>
        <w:tc>
          <w:tcPr>
            <w:tcW w:type="dxa" w:w="200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2E9E44"/>
                <w:sz w:val="18"/>
                <w:szCs w:val="18"/>
                <w:rtl/>
              </w:rPr>
              <w:t xml:space="preserve">●</w:t>
            </w:r>
          </w:p>
        </w:tc>
        <w:tc>
          <w:tcPr>
            <w:tcW w:type="dxa" w:w="167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TM</w:t>
            </w:r>
          </w:p>
        </w:tc>
        <w:tc>
          <w:tcPr>
            <w:tcW w:type="dxa" w:w="200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418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‎audit.export‎</w:t>
            </w:r>
          </w:p>
        </w:tc>
        <w:tc>
          <w:tcPr>
            <w:tcW w:type="dxa" w:w="200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</w:p>
        </w:tc>
        <w:tc>
          <w:tcPr>
            <w:tcW w:type="dxa" w:w="167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TA، AU</w:t>
            </w:r>
          </w:p>
        </w:tc>
        <w:tc>
          <w:tcPr>
            <w:tcW w:type="dxa" w:w="200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418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‎org.company.manage‎</w:t>
            </w:r>
          </w:p>
        </w:tc>
        <w:tc>
          <w:tcPr>
            <w:tcW w:type="dxa" w:w="200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</w:p>
        </w:tc>
        <w:tc>
          <w:tcPr>
            <w:tcW w:type="dxa" w:w="167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TA، TM؛ FO ◐</w:t>
            </w:r>
          </w:p>
        </w:tc>
        <w:tc>
          <w:tcPr>
            <w:tcW w:type="dxa" w:w="200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418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‎org.company.view‎</w:t>
            </w:r>
          </w:p>
        </w:tc>
        <w:tc>
          <w:tcPr>
            <w:tcW w:type="dxa" w:w="200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</w:p>
        </w:tc>
        <w:tc>
          <w:tcPr>
            <w:tcW w:type="dxa" w:w="167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الجميع ضمن النطاق</w:t>
            </w:r>
          </w:p>
        </w:tc>
        <w:tc>
          <w:tcPr>
            <w:tcW w:type="dxa" w:w="200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418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‎org.catalog.manage‎</w:t>
            </w:r>
          </w:p>
        </w:tc>
        <w:tc>
          <w:tcPr>
            <w:tcW w:type="dxa" w:w="200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</w:p>
        </w:tc>
        <w:tc>
          <w:tcPr>
            <w:tcW w:type="dxa" w:w="167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TA، TM</w:t>
            </w:r>
          </w:p>
        </w:tc>
        <w:tc>
          <w:tcPr>
            <w:tcW w:type="dxa" w:w="200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418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‎org.ownership.manage‎</w:t>
            </w:r>
          </w:p>
        </w:tc>
        <w:tc>
          <w:tcPr>
            <w:tcW w:type="dxa" w:w="200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</w:p>
        </w:tc>
        <w:tc>
          <w:tcPr>
            <w:tcW w:type="dxa" w:w="167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TM، FO</w:t>
            </w:r>
          </w:p>
        </w:tc>
        <w:tc>
          <w:tcPr>
            <w:tcW w:type="dxa" w:w="200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418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‎org.body.manage‎</w:t>
            </w:r>
          </w:p>
        </w:tc>
        <w:tc>
          <w:tcPr>
            <w:tcW w:type="dxa" w:w="200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</w:p>
        </w:tc>
        <w:tc>
          <w:tcPr>
            <w:tcW w:type="dxa" w:w="167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TM، FO</w:t>
            </w:r>
          </w:p>
        </w:tc>
        <w:tc>
          <w:tcPr>
            <w:tcW w:type="dxa" w:w="200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418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‎org.grant.create‎</w:t>
            </w:r>
          </w:p>
        </w:tc>
        <w:tc>
          <w:tcPr>
            <w:tcW w:type="dxa" w:w="200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</w:p>
        </w:tc>
        <w:tc>
          <w:tcPr>
            <w:tcW w:type="dxa" w:w="167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TM، FO</w:t>
            </w:r>
          </w:p>
        </w:tc>
        <w:tc>
          <w:tcPr>
            <w:tcW w:type="dxa" w:w="200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11</w:t>
            </w:r>
          </w:p>
        </w:tc>
      </w:tr>
      <w:tr>
        <w:trPr>
          <w:cantSplit/>
        </w:trPr>
        <w:tc>
          <w:tcPr>
            <w:tcW w:type="dxa" w:w="418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‎org.grant.approve‎</w:t>
            </w:r>
          </w:p>
        </w:tc>
        <w:tc>
          <w:tcPr>
            <w:tcW w:type="dxa" w:w="200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</w:p>
        </w:tc>
        <w:tc>
          <w:tcPr>
            <w:tcW w:type="dxa" w:w="167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TM، FO (غير المنشئ)</w:t>
            </w:r>
          </w:p>
        </w:tc>
        <w:tc>
          <w:tcPr>
            <w:tcW w:type="dxa" w:w="200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418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‎org.document.manage‎</w:t>
            </w:r>
          </w:p>
        </w:tc>
        <w:tc>
          <w:tcPr>
            <w:tcW w:type="dxa" w:w="200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</w:p>
        </w:tc>
        <w:tc>
          <w:tcPr>
            <w:tcW w:type="dxa" w:w="167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TM، FO؛ TA وTE ◐</w:t>
            </w:r>
          </w:p>
        </w:tc>
        <w:tc>
          <w:tcPr>
            <w:tcW w:type="dxa" w:w="200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13</w:t>
            </w:r>
          </w:p>
        </w:tc>
      </w:tr>
      <w:tr>
        <w:trPr>
          <w:cantSplit/>
        </w:trPr>
        <w:tc>
          <w:tcPr>
            <w:tcW w:type="dxa" w:w="418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‎org.document.view‎</w:t>
            </w:r>
          </w:p>
        </w:tc>
        <w:tc>
          <w:tcPr>
            <w:tcW w:type="dxa" w:w="200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</w:p>
        </w:tc>
        <w:tc>
          <w:tcPr>
            <w:tcW w:type="dxa" w:w="167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ضمن النطاق</w:t>
            </w:r>
          </w:p>
        </w:tc>
        <w:tc>
          <w:tcPr>
            <w:tcW w:type="dxa" w:w="200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14</w:t>
            </w:r>
          </w:p>
        </w:tc>
      </w:tr>
      <w:tr>
        <w:trPr>
          <w:cantSplit/>
        </w:trPr>
        <w:tc>
          <w:tcPr>
            <w:tcW w:type="dxa" w:w="418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‎party.manage‎</w:t>
            </w:r>
          </w:p>
        </w:tc>
        <w:tc>
          <w:tcPr>
            <w:tcW w:type="dxa" w:w="200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</w:p>
        </w:tc>
        <w:tc>
          <w:tcPr>
            <w:tcW w:type="dxa" w:w="167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TM، FO؛ TE ◐</w:t>
            </w:r>
          </w:p>
        </w:tc>
        <w:tc>
          <w:tcPr>
            <w:tcW w:type="dxa" w:w="200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15</w:t>
            </w:r>
          </w:p>
        </w:tc>
      </w:tr>
      <w:tr>
        <w:trPr>
          <w:cantSplit/>
        </w:trPr>
        <w:tc>
          <w:tcPr>
            <w:tcW w:type="dxa" w:w="418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‎party.field.manage‎</w:t>
            </w:r>
          </w:p>
        </w:tc>
        <w:tc>
          <w:tcPr>
            <w:tcW w:type="dxa" w:w="200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</w:p>
        </w:tc>
        <w:tc>
          <w:tcPr>
            <w:tcW w:type="dxa" w:w="167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TM، FO</w:t>
            </w:r>
          </w:p>
        </w:tc>
        <w:tc>
          <w:tcPr>
            <w:tcW w:type="dxa" w:w="200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 (FR-PTY-013)</w:t>
            </w:r>
          </w:p>
        </w:tc>
      </w:tr>
      <w:tr>
        <w:trPr>
          <w:cantSplit/>
        </w:trPr>
        <w:tc>
          <w:tcPr>
            <w:tcW w:type="dxa" w:w="418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‎party.identity.write‎</w:t>
            </w:r>
          </w:p>
        </w:tc>
        <w:tc>
          <w:tcPr>
            <w:tcW w:type="dxa" w:w="200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</w:p>
        </w:tc>
        <w:tc>
          <w:tcPr>
            <w:tcW w:type="dxa" w:w="167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TM، FO؛ TE ◐ إضافة فقط (Q-PTY-10)</w:t>
            </w:r>
          </w:p>
        </w:tc>
        <w:tc>
          <w:tcPr>
            <w:tcW w:type="dxa" w:w="200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16</w:t>
            </w:r>
          </w:p>
        </w:tc>
      </w:tr>
      <w:tr>
        <w:trPr>
          <w:cantSplit/>
        </w:trPr>
        <w:tc>
          <w:tcPr>
            <w:tcW w:type="dxa" w:w="418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‎party.view‎</w:t>
            </w:r>
          </w:p>
        </w:tc>
        <w:tc>
          <w:tcPr>
            <w:tcW w:type="dxa" w:w="200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</w:p>
        </w:tc>
        <w:tc>
          <w:tcPr>
            <w:tcW w:type="dxa" w:w="167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TM، FO، TE؛ AU ◐</w:t>
            </w:r>
          </w:p>
        </w:tc>
        <w:tc>
          <w:tcPr>
            <w:tcW w:type="dxa" w:w="200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17</w:t>
            </w:r>
          </w:p>
        </w:tc>
      </w:tr>
      <w:tr>
        <w:trPr>
          <w:cantSplit/>
        </w:trPr>
        <w:tc>
          <w:tcPr>
            <w:tcW w:type="dxa" w:w="418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‎party.identity.reveal‎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 w:eastAsia="Arial" w:hAnsi="Arial"/>
                <w:color w:val="7A1F1F"/>
                <w:sz w:val="18"/>
                <w:szCs w:val="18"/>
                <w:rtl/>
              </w:rPr>
              <w:t xml:space="preserve">◆</w:t>
            </w:r>
          </w:p>
        </w:tc>
        <w:tc>
          <w:tcPr>
            <w:tcW w:type="dxa" w:w="200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2E9E44"/>
                <w:sz w:val="18"/>
                <w:szCs w:val="18"/>
                <w:rtl/>
              </w:rPr>
              <w:t xml:space="preserve">●</w:t>
            </w:r>
          </w:p>
        </w:tc>
        <w:tc>
          <w:tcPr>
            <w:tcW w:type="dxa" w:w="167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TM، FO</w:t>
            </w:r>
          </w:p>
        </w:tc>
        <w:tc>
          <w:tcPr>
            <w:tcW w:type="dxa" w:w="200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18</w:t>
            </w:r>
          </w:p>
        </w:tc>
      </w:tr>
      <w:tr>
        <w:trPr>
          <w:cantSplit/>
        </w:trPr>
        <w:tc>
          <w:tcPr>
            <w:tcW w:type="dxa" w:w="418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‎party.identity.image.view‎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 w:eastAsia="Arial" w:hAnsi="Arial"/>
                <w:color w:val="7A1F1F"/>
                <w:sz w:val="18"/>
                <w:szCs w:val="18"/>
                <w:rtl/>
              </w:rPr>
              <w:t xml:space="preserve">◆</w:t>
            </w:r>
          </w:p>
        </w:tc>
        <w:tc>
          <w:tcPr>
            <w:tcW w:type="dxa" w:w="200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2E9E44"/>
                <w:sz w:val="18"/>
                <w:szCs w:val="18"/>
                <w:rtl/>
              </w:rPr>
              <w:t xml:space="preserve">●</w:t>
            </w:r>
          </w:p>
        </w:tc>
        <w:tc>
          <w:tcPr>
            <w:tcW w:type="dxa" w:w="167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TM، FO</w:t>
            </w:r>
          </w:p>
        </w:tc>
        <w:tc>
          <w:tcPr>
            <w:tcW w:type="dxa" w:w="200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19</w:t>
            </w:r>
          </w:p>
        </w:tc>
      </w:tr>
      <w:tr>
        <w:trPr>
          <w:cantSplit/>
        </w:trPr>
        <w:tc>
          <w:tcPr>
            <w:tcW w:type="dxa" w:w="418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‎party.pack.export‎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 w:eastAsia="Arial" w:hAnsi="Arial"/>
                <w:color w:val="7A1F1F"/>
                <w:sz w:val="18"/>
                <w:szCs w:val="18"/>
                <w:rtl/>
              </w:rPr>
              <w:t xml:space="preserve">◆</w:t>
            </w:r>
          </w:p>
        </w:tc>
        <w:tc>
          <w:tcPr>
            <w:tcW w:type="dxa" w:w="200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2E9E44"/>
                <w:sz w:val="18"/>
                <w:szCs w:val="18"/>
                <w:rtl/>
              </w:rPr>
              <w:t xml:space="preserve">●</w:t>
            </w:r>
          </w:p>
        </w:tc>
        <w:tc>
          <w:tcPr>
            <w:tcW w:type="dxa" w:w="167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TM، FO</w:t>
            </w:r>
          </w:p>
        </w:tc>
        <w:tc>
          <w:tcPr>
            <w:tcW w:type="dxa" w:w="200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20</w:t>
            </w:r>
          </w:p>
        </w:tc>
      </w:tr>
      <w:tr>
        <w:trPr>
          <w:cantSplit/>
        </w:trPr>
        <w:tc>
          <w:tcPr>
            <w:tcW w:type="dxa" w:w="418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‎party.pack.draft‎</w:t>
            </w:r>
          </w:p>
        </w:tc>
        <w:tc>
          <w:tcPr>
            <w:tcW w:type="dxa" w:w="200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</w:p>
        </w:tc>
        <w:tc>
          <w:tcPr>
            <w:tcW w:type="dxa" w:w="167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TM، FO، TE</w:t>
            </w:r>
          </w:p>
        </w:tc>
        <w:tc>
          <w:tcPr>
            <w:tcW w:type="dxa" w:w="200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21</w:t>
            </w:r>
          </w:p>
        </w:tc>
      </w:tr>
      <w:tr>
        <w:trPr>
          <w:cantSplit/>
        </w:trPr>
        <w:tc>
          <w:tcPr>
            <w:tcW w:type="dxa" w:w="418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‎party.merge‎</w:t>
            </w:r>
          </w:p>
        </w:tc>
        <w:tc>
          <w:tcPr>
            <w:tcW w:type="dxa" w:w="200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2E9E44"/>
                <w:sz w:val="18"/>
                <w:szCs w:val="18"/>
                <w:rtl/>
              </w:rPr>
              <w:t xml:space="preserve">●</w:t>
            </w:r>
          </w:p>
        </w:tc>
        <w:tc>
          <w:tcPr>
            <w:tcW w:type="dxa" w:w="167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TM، FO</w:t>
            </w:r>
          </w:p>
        </w:tc>
        <w:tc>
          <w:tcPr>
            <w:tcW w:type="dxa" w:w="200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22</w:t>
            </w:r>
          </w:p>
        </w:tc>
      </w:tr>
      <w:tr>
        <w:trPr>
          <w:cantSplit/>
        </w:trPr>
        <w:tc>
          <w:tcPr>
            <w:tcW w:type="dxa" w:w="418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‎party.kyc.manage‎</w:t>
            </w:r>
          </w:p>
        </w:tc>
        <w:tc>
          <w:tcPr>
            <w:tcW w:type="dxa" w:w="200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</w:p>
        </w:tc>
        <w:tc>
          <w:tcPr>
            <w:tcW w:type="dxa" w:w="167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TM، FO</w:t>
            </w:r>
          </w:p>
        </w:tc>
        <w:tc>
          <w:tcPr>
            <w:tcW w:type="dxa" w:w="200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23</w:t>
            </w:r>
          </w:p>
        </w:tc>
      </w:tr>
      <w:tr>
        <w:trPr>
          <w:cantSplit/>
        </w:trPr>
        <w:tc>
          <w:tcPr>
            <w:tcW w:type="dxa" w:w="418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‎party.export‎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/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‎party.export.sensitive‎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 w:eastAsia="Arial" w:hAnsi="Arial"/>
                <w:color w:val="7A1F1F"/>
                <w:sz w:val="18"/>
                <w:szCs w:val="18"/>
                <w:rtl/>
              </w:rPr>
              <w:t xml:space="preserve">◆</w:t>
            </w:r>
          </w:p>
        </w:tc>
        <w:tc>
          <w:tcPr>
            <w:tcW w:type="dxa" w:w="200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/ </w:t>
            </w:r>
            <w:r>
              <w:rPr>
                <w:rFonts w:ascii="Arial" w:cs="Arial" w:eastAsia="Arial" w:hAnsi="Arial"/>
                <w:color w:val="2E9E44"/>
                <w:sz w:val="18"/>
                <w:szCs w:val="18"/>
                <w:rtl/>
              </w:rPr>
              <w:t xml:space="preserve">●</w:t>
            </w:r>
          </w:p>
        </w:tc>
        <w:tc>
          <w:tcPr>
            <w:tcW w:type="dxa" w:w="167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TM، FO</w:t>
            </w:r>
          </w:p>
        </w:tc>
        <w:tc>
          <w:tcPr>
            <w:tcW w:type="dxa" w:w="200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24</w:t>
            </w:r>
          </w:p>
        </w:tc>
      </w:tr>
      <w:tr>
        <w:trPr>
          <w:cantSplit/>
        </w:trPr>
        <w:tc>
          <w:tcPr>
            <w:tcW w:type="dxa" w:w="418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‎cfg.export.request‎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/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‎cfg.retention.approve‎</w:t>
            </w:r>
          </w:p>
        </w:tc>
        <w:tc>
          <w:tcPr>
            <w:tcW w:type="dxa" w:w="200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</w:p>
        </w:tc>
        <w:tc>
          <w:tcPr>
            <w:tcW w:type="dxa" w:w="167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TA؛ TM وFO ◐</w:t>
            </w:r>
          </w:p>
        </w:tc>
        <w:tc>
          <w:tcPr>
            <w:tcW w:type="dxa" w:w="200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25</w:t>
            </w:r>
          </w:p>
        </w:tc>
      </w:tr>
    </w:tbl>
    <w:p>
      <w:pPr>
        <w:bidi/>
        <w:spacing w:after="120" w:before="0"/>
      </w:pPr>
    </w:p>
    <w:p>
      <w:pPr>
        <w:pStyle w:val="Heading1"/>
        <w:bidi/>
      </w:pPr>
      <w:bookmarkStart w:name="_sec4" w:id="4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4. مخططات حالات الاستخدام</w:t>
      </w:r>
      <w:bookmarkEnd w:id="4"/>
    </w:p>
    <w:p>
      <w:pPr>
        <w:pStyle w:val="Heading2"/>
        <w:bidi/>
      </w:pPr>
      <w:bookmarkStart w:name="_sec5" w:id="5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4.1 المشغّل</w:t>
      </w:r>
      <w:bookmarkEnd w:id="5"/>
    </w:p>
    <w:p>
      <w:pPr>
        <w:keepNext/>
        <w:bidi/>
        <w:spacing w:after="60" w:before="160"/>
        <w:jc w:val="center"/>
      </w:pPr>
      <w:r>
        <w:drawing>
          <wp:inline distT="0" distB="0" distL="0" distR="0">
            <wp:extent cx="4724400" cy="8191500"/>
            <wp:effectExtent t="0" r="0" b="0" l="0"/>
            <wp:docPr id="1" name="diagram-1.png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819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bidi/>
      </w:pPr>
      <w:bookmarkStart w:name="_sec6" w:id="6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4.2 مستخدم المشترك قبل الدخول وبعده</w:t>
      </w:r>
      <w:bookmarkEnd w:id="6"/>
    </w:p>
    <w:p>
      <w:pPr>
        <w:keepNext/>
        <w:bidi/>
        <w:spacing w:after="60" w:before="160"/>
        <w:jc w:val="center"/>
      </w:pPr>
      <w:r>
        <w:drawing>
          <wp:inline distT="0" distB="0" distL="0" distR="0">
            <wp:extent cx="6096000" cy="5057775"/>
            <wp:effectExtent t="0" r="0" b="0" l="0"/>
            <wp:docPr id="1" name="diagram-2.png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505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bidi/>
      </w:pPr>
      <w:bookmarkStart w:name="_sec7" w:id="7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4.3 مدير حساب المشترك</w:t>
      </w:r>
      <w:bookmarkEnd w:id="7"/>
    </w:p>
    <w:p>
      <w:pPr>
        <w:keepNext/>
        <w:bidi/>
        <w:spacing w:after="60" w:before="160"/>
        <w:jc w:val="center"/>
      </w:pPr>
      <w:r>
        <w:drawing>
          <wp:inline distT="0" distB="0" distL="0" distR="0">
            <wp:extent cx="5276850" cy="8191500"/>
            <wp:effectExtent t="0" r="0" b="0" l="0"/>
            <wp:docPr id="1" name="diagram-3.png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819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bidi/>
      </w:pPr>
      <w:bookmarkStart w:name="_sec8" w:id="8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4.4 الخزينة: الهيكل المؤسسي (M1 ORG)</w:t>
      </w:r>
      <w:bookmarkEnd w:id="8"/>
    </w:p>
    <w:p>
      <w:pPr>
        <w:keepNext/>
        <w:bidi/>
        <w:spacing w:after="60" w:before="160"/>
        <w:jc w:val="center"/>
      </w:pPr>
      <w:r>
        <w:drawing>
          <wp:inline distT="0" distB="0" distL="0" distR="0">
            <wp:extent cx="3781425" cy="8191500"/>
            <wp:effectExtent t="0" r="0" b="0" l="0"/>
            <wp:docPr id="1" name="diagram-4.png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425" cy="819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bidi/>
      </w:pPr>
      <w:bookmarkStart w:name="_sec9" w:id="9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4.5 الخزينة: الأشخاص والجهات (M1 PTY)</w:t>
      </w:r>
      <w:bookmarkEnd w:id="9"/>
    </w:p>
    <w:p>
      <w:pPr>
        <w:keepNext/>
        <w:bidi/>
        <w:spacing w:after="60" w:before="160"/>
        <w:jc w:val="center"/>
      </w:pPr>
      <w:r>
        <w:drawing>
          <wp:inline distT="0" distB="0" distL="0" distR="0">
            <wp:extent cx="5905500" cy="8191500"/>
            <wp:effectExtent t="0" r="0" b="0" l="0"/>
            <wp:docPr id="1" name="diagram-5.png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819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bidi/>
      </w:pPr>
      <w:bookmarkStart w:name="_sec10" w:id="10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4.6 المدقق والنظام</w:t>
      </w:r>
      <w:bookmarkEnd w:id="10"/>
    </w:p>
    <w:p>
      <w:pPr>
        <w:keepNext/>
        <w:bidi/>
        <w:spacing w:after="60" w:before="160"/>
        <w:jc w:val="center"/>
      </w:pPr>
      <w:r>
        <w:drawing>
          <wp:inline distT="0" distB="0" distL="0" distR="0">
            <wp:extent cx="5514975" cy="8191500"/>
            <wp:effectExtent t="0" r="0" b="0" l="0"/>
            <wp:docPr id="1" name="diagram-6.png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4975" cy="819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bidi/>
      </w:pPr>
      <w:bookmarkStart w:name="_sec11" w:id="11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5. حالات استخدام M0 في S0 (مكتملة)</w:t>
      </w:r>
      <w:bookmarkEnd w:id="11"/>
    </w:p>
    <w:p>
      <w:pPr>
        <w:pStyle w:val="Heading2"/>
        <w:bidi/>
      </w:pPr>
      <w:bookmarkStart w:name="_sec12" w:id="12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UC-PLT-01 — دخول المشغّل إلى لوحة المشغّل</w:t>
      </w:r>
      <w:bookmarkEnd w:id="12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الفاعل · الشريحة · الصلاحية: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مشغّل المنصة · S0 · دور OPERATOR_ADMIN أو OPERATOR_SUPPORT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قبل: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حساب plat.PlatformOperator بحالة ACTIVE وMFA مفعّل (قيد db/model/10-platform.model:82).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بعد: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جلسة مشغّل مؤكَّدة MFA؛ حدث تدقيق بـ ActorType = OPERATOR وTenantId فارغ (db/model/10-platform.model:307).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يغطي: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FR-PLT-006، FR-PLT-010، FR-PLT-011، FR-PLT-012، BR-PLT-005</w:t>
      </w:r>
    </w:p>
    <w:p>
      <w:pPr>
        <w:bidi/>
        <w:spacing w:after="60" w:before="0"/>
      </w:pPr>
    </w:p>
    <w:p>
      <w:pPr>
        <w:pStyle w:val="ListParagraph"/>
        <w:numPr>
          <w:ilvl w:val="0"/>
          <w:numId w:val="3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يفتح المشغّل عنوان لوحة المشغّل، وهو عنوان منفصل عن عناوين المشتركين </w:t>
      </w:r>
      <w:r>
        <w:rPr>
          <w:rFonts w:ascii="Arial" w:cs="Arial" w:eastAsia="Arial" w:hAnsi="Arial"/>
          <w:color w:val="E0A800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(DQ-F01-2، DOC-B07 §4.1).</w:t>
      </w:r>
    </w:p>
    <w:p>
      <w:pPr>
        <w:pStyle w:val="ListParagraph"/>
        <w:numPr>
          <w:ilvl w:val="0"/>
          <w:numId w:val="3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يُدخل البريد وكلمة المرور.</w:t>
      </w:r>
    </w:p>
    <w:p>
      <w:pPr>
        <w:pStyle w:val="ListParagraph"/>
        <w:numPr>
          <w:ilvl w:val="0"/>
          <w:numId w:val="3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يتحقق النظام من كلمة المرور بتجزئة Argon2id (ADR 0002).</w:t>
      </w:r>
    </w:p>
    <w:p>
      <w:pPr>
        <w:pStyle w:val="ListParagraph"/>
        <w:numPr>
          <w:ilvl w:val="0"/>
          <w:numId w:val="3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يطلب النظام رمز TOTP ويتحقق منه.</w:t>
      </w:r>
    </w:p>
    <w:p>
      <w:pPr>
        <w:pStyle w:val="ListParagraph"/>
        <w:numPr>
          <w:ilvl w:val="0"/>
          <w:numId w:val="3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تُنشأ الجلسة وتفتح قائمة المشتركين (UC-PLT-05).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بديل وخطأ: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3أ. أي فشل يعيد رسالة واحدة. سياسة كلمة المرور والقفل والجلسة للمشغّل في DOC-S04 §12؛ والجدول فيه FailedAttempts وLockedUntil فقط (db/model/10-platform.model:76-77).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1أ. حساب مشغّل على عنوان مشترك، أو مستخدم مشترك على عنوان المشغّل: يُرفض (FR-PLT-006).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ملاحظة: لا يوجد إجراء دخول للمشغّل في القاعدة؛ إجراءات 030 تخص sec.AppUser فقط (db/static/030_session_context.sql:3-17). القرار في DQ-S04-10 وDQ-B04-7.</w:t>
      </w:r>
    </w:p>
    <w:p>
      <w:pPr>
        <w:bidi/>
        <w:spacing w:after="60" w:before="0"/>
      </w:pPr>
    </w:p>
    <w:p>
      <w:pPr>
        <w:pStyle w:val="Heading2"/>
        <w:bidi/>
      </w:pPr>
      <w:bookmarkStart w:name="_sec13" w:id="13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UC-PLT-02 — إنشاء مشترك وتهيئته</w:t>
      </w:r>
      <w:bookmarkEnd w:id="13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الفاعل · الشريحة · الصلاحية: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مشغّل المنصة · S0 · OPERATOR_ADMIN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قبل: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البذور العالمية منشورة (DOC-B05)، وباقة فعّالة في plat.Plan.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بعد: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مشترك بحالة TRIAL ونهاية تجربة بعد 30 يومًا، وعنوان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‎{code}.bankfas.com‎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وحساب خدمة، ومدير حساب أول بحالة INVITED، وبذور مسجّلة في cfg.SeedRun.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يغطي: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FR-PLT-001، FR-PLT-003، FR-PLT-008، FR-PLT-013، FR-PLT-046، BR-PLT-002، BR-PLT-003</w:t>
      </w:r>
    </w:p>
    <w:p>
      <w:pPr>
        <w:bidi/>
        <w:spacing w:after="60" w:before="0"/>
      </w:pPr>
    </w:p>
    <w:p>
      <w:pPr>
        <w:pStyle w:val="ListParagraph"/>
        <w:numPr>
          <w:ilvl w:val="0"/>
          <w:numId w:val="4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يختار المشغّل «إنشاء مشترك» ويُدخل الرمز والاسمين والباقة والدولة الأم واللغة الافتراضية (en افتراضيًا، db/model/10-platform.model:39) والتوقيت.</w:t>
      </w:r>
    </w:p>
    <w:p>
      <w:pPr>
        <w:pStyle w:val="ListParagraph"/>
        <w:numPr>
          <w:ilvl w:val="0"/>
          <w:numId w:val="4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يتحقق النظام من الرمز: لاتيني وأرقام وشرطة، فريد، وغير محجوز في plat.ReservedSubdomain.</w:t>
      </w:r>
    </w:p>
    <w:p>
      <w:pPr>
        <w:pStyle w:val="ListParagraph"/>
        <w:numPr>
          <w:ilvl w:val="0"/>
          <w:numId w:val="4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يراجع المشغّل الوحدات المقترحة من الباقة ويعدّلها (UC-PLT-04).</w:t>
      </w:r>
    </w:p>
    <w:p>
      <w:pPr>
        <w:pStyle w:val="ListParagraph"/>
        <w:numPr>
          <w:ilvl w:val="0"/>
          <w:numId w:val="4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يُدخل بريد مدير الحساب الأول.</w:t>
      </w:r>
    </w:p>
    <w:p>
      <w:pPr>
        <w:pStyle w:val="ListParagraph"/>
        <w:numPr>
          <w:ilvl w:val="0"/>
          <w:numId w:val="4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يعتمد المشغّل النموذج بعد إعادة مصادقة MFA (DQ-F05-2)، فينفّذ النظام التهيئة: صف المشترك، حساب الخدمة، المدير الأول، ثم حزم البذور لكل وحدة مفعّلة (FR-PLT-008). تقسيم المعاملات والاستئناف في DOC-F05 (DQ-F05-1).</w:t>
      </w:r>
    </w:p>
    <w:p>
      <w:pPr>
        <w:pStyle w:val="ListParagraph"/>
        <w:numPr>
          <w:ilvl w:val="0"/>
          <w:numId w:val="4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يُرسل النظام الدعوة (48 ساعة) بالبريد المعاملاتي.</w:t>
      </w:r>
    </w:p>
    <w:p>
      <w:pPr>
        <w:pStyle w:val="ListParagraph"/>
        <w:numPr>
          <w:ilvl w:val="0"/>
          <w:numId w:val="4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يُسجَّل الحدث في التدقيق وطابور الإرسال.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بديل وخطأ: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2أ. رمز مكرر أو محجوز: يُرفض بذكر السبب.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5أ. فشل أي خطوة: لا مشترك نصف مهيّأ يُتاح للدخول، وإعادة التشغيل تستأنف ولا تكرر البذر. التفصيل في DOC-F05.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6أ. فشل الإرسال: SendStatus = FAILED ويُسجَّل في التدقيق (db/model/10-platform.model:252)، ويعيد المشغّل الإرسال من تفاصيل المشترك.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ملاحظة: إجراء التهيئة خطة لم تُنفَّذ (docs/20-database-design.md:470-475)، وtp_platform لا يصل إلى جداول المشترك (docs/20-database-design.md:24)، فيلزم إجراء منصة مُراجَع: O-12 (20-database-design).</w:t>
      </w:r>
    </w:p>
    <w:p>
      <w:pPr>
        <w:bidi/>
        <w:spacing w:after="60" w:before="0"/>
      </w:pPr>
    </w:p>
    <w:p>
      <w:pPr>
        <w:pStyle w:val="Heading2"/>
        <w:bidi/>
      </w:pPr>
      <w:bookmarkStart w:name="_sec14" w:id="14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UC-PLT-03 — تغيير حالة المشترك</w:t>
      </w:r>
      <w:bookmarkEnd w:id="14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الفاعل · الشريحة · الصلاحية: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مشغّل المنصة · S0 · OPERATOR_ADMIN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قبل: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المشترك موجود وليس ARCHIVED_READ_ONLY.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بعد: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الحالة الجديدة مسجّلة بالسبب والفاعل؛ حدث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‎tenant.status_changed‎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يغطي: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FR-PLT-002، FR-PLT-005، BR-PLT-002</w:t>
      </w:r>
    </w:p>
    <w:p>
      <w:pPr>
        <w:bidi/>
        <w:spacing w:after="60" w:before="0"/>
      </w:pPr>
    </w:p>
    <w:p>
      <w:pPr>
        <w:pStyle w:val="ListParagraph"/>
        <w:numPr>
          <w:ilvl w:val="0"/>
          <w:numId w:val="5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يختار المشغّل المشترك والإجراء: تفعيل، تمديد التجربة، تعليق، إعادة تفعيل، إغلاق.</w:t>
      </w:r>
    </w:p>
    <w:p>
      <w:pPr>
        <w:pStyle w:val="ListParagraph"/>
        <w:numPr>
          <w:ilvl w:val="0"/>
          <w:numId w:val="5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يكتب السبب (إلزامي للتعليق، db/model/10-platform.model:53).</w:t>
      </w:r>
    </w:p>
    <w:p>
      <w:pPr>
        <w:pStyle w:val="ListParagraph"/>
        <w:numPr>
          <w:ilvl w:val="0"/>
          <w:numId w:val="5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يتحقق النظام من أن الانتقال مسموح بمخطط Tenant (docs/10-detailed-analysis/10-m0-m1-platform-organization.md:454-465).</w:t>
      </w:r>
    </w:p>
    <w:p>
      <w:pPr>
        <w:pStyle w:val="ListParagraph"/>
        <w:numPr>
          <w:ilvl w:val="0"/>
          <w:numId w:val="5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يحفظ الحالة بإجراء منصة واحد (DQ-F05-5)، ويسجّل ClosedAt عند الإغلاق.</w:t>
      </w:r>
    </w:p>
    <w:p>
      <w:pPr>
        <w:pStyle w:val="ListParagraph"/>
        <w:numPr>
          <w:ilvl w:val="0"/>
          <w:numId w:val="5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يسحب القادح ربط الاتصالات لكل حالة غير TRIAL وACTIVE (db/static/030_session_context.sql:285).</w:t>
      </w:r>
    </w:p>
    <w:p>
      <w:pPr>
        <w:pStyle w:val="ListParagraph"/>
        <w:numPr>
          <w:ilvl w:val="0"/>
          <w:numId w:val="5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يُسجَّل التدقيق والحدث.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بديل وخطأ: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3أ. انتقال غير مسموح (مثل Closed إلى Active): يُرفض.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5أ. من يدخل مشتركًا SUSPENDED قرار مفتوح: O-18 (erd_open_items). التفصيل في DOC-F04.</w:t>
      </w:r>
    </w:p>
    <w:p>
      <w:pPr>
        <w:bidi/>
        <w:spacing w:after="60" w:before="0"/>
      </w:pPr>
    </w:p>
    <w:p>
      <w:pPr>
        <w:pStyle w:val="Heading2"/>
        <w:bidi/>
      </w:pPr>
      <w:bookmarkStart w:name="_sec15" w:id="15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UC-PLT-04 — تفعيل الوحدات وتعطيلها لمشترك</w:t>
      </w:r>
      <w:bookmarkEnd w:id="15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الفاعل · الشريحة · الصلاحية: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مشغّل المنصة · S0 · OPERATOR_ADMIN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قبل: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المشترك ليس CLOSED ولا ARCHIVED_READ_ONLY.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بعد: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صف plat.TenantModule محدَّث بـ EnabledBy؛ قائمة المشترك تعكسه.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يغطي: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FR-PLT-003، FR-PLT-008، BR-PLT-003</w:t>
      </w:r>
    </w:p>
    <w:p>
      <w:pPr>
        <w:bidi/>
        <w:spacing w:after="60" w:before="0"/>
      </w:pPr>
    </w:p>
    <w:p>
      <w:pPr>
        <w:pStyle w:val="ListParagraph"/>
        <w:numPr>
          <w:ilvl w:val="0"/>
          <w:numId w:val="6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يفتح المشغّل تبويب الوحدات في تفاصيل المشترك.</w:t>
      </w:r>
    </w:p>
    <w:p>
      <w:pPr>
        <w:pStyle w:val="ListParagraph"/>
        <w:numPr>
          <w:ilvl w:val="0"/>
          <w:numId w:val="6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يفعّل وحدة أو يعطّلها.</w:t>
      </w:r>
    </w:p>
    <w:p>
      <w:pPr>
        <w:pStyle w:val="ListParagraph"/>
        <w:numPr>
          <w:ilvl w:val="0"/>
          <w:numId w:val="6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يتحقق النظام من الاعتماديات (docs/10-detailed-analysis/00-overview-and-cross-cutting.md:232-246).</w:t>
      </w:r>
    </w:p>
    <w:p>
      <w:pPr>
        <w:pStyle w:val="ListParagraph"/>
        <w:numPr>
          <w:ilvl w:val="0"/>
          <w:numId w:val="6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يحفظ الصف، وعند التفعيل يشغّل بذرة الوحدة.</w:t>
      </w:r>
    </w:p>
    <w:p>
      <w:pPr>
        <w:pStyle w:val="ListParagraph"/>
        <w:numPr>
          <w:ilvl w:val="0"/>
          <w:numId w:val="6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يقرأ تطبيق المشترك الوحدات من العرض plat.v_TenantModule (db/static/025_tenant_views.sql:22) فتظهر الوحدة أو تختفي.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بديل وخطأ: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3أ. تعطيل CORE: يُرفض (قيد db/model/10-platform.model:96).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3ب. تفعيل وحدة اعتمادياتها معطّلة، أو تعطيل وحدة تعتمد عليها وحدة مفعّلة: يُرفض بقائمة الوحدات المعنية.</w:t>
      </w:r>
    </w:p>
    <w:p>
      <w:pPr>
        <w:bidi/>
        <w:spacing w:after="60" w:before="0"/>
      </w:pPr>
    </w:p>
    <w:p>
      <w:pPr>
        <w:pStyle w:val="Heading2"/>
        <w:bidi/>
      </w:pPr>
      <w:bookmarkStart w:name="_sec16" w:id="16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UC-PLT-05 — متابعة المشتركين والاستخدام</w:t>
      </w:r>
      <w:bookmarkEnd w:id="16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الفاعل · الشريحة · الصلاحية: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مشغّل المنصة · S0 · OPERATOR_ADMIN أو OPERATOR_SUPPORT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قبل: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جلسة مشغّل (UC-PLT-01).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بعد: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لا تغيير؛ القراءة لا تلمس بيانات أعمال المشترك.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يغطي: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FR-PLT-004، FR-PLT-005</w:t>
      </w:r>
    </w:p>
    <w:p>
      <w:pPr>
        <w:bidi/>
        <w:spacing w:after="60" w:before="0"/>
      </w:pPr>
    </w:p>
    <w:p>
      <w:pPr>
        <w:pStyle w:val="ListParagraph"/>
        <w:numPr>
          <w:ilvl w:val="0"/>
          <w:numId w:val="7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يعرض النظام قائمة المشتركين: الرمز، الاسم، الباقة، الحالة، عدّادات المستخدمين والشركات والتخزين، نهاية التجربة.</w:t>
      </w:r>
    </w:p>
    <w:p>
      <w:pPr>
        <w:pStyle w:val="ListParagraph"/>
        <w:numPr>
          <w:ilvl w:val="0"/>
          <w:numId w:val="7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يصفّي المشغّل بالحالة أو الباقة.</w:t>
      </w:r>
    </w:p>
    <w:p>
      <w:pPr>
        <w:pStyle w:val="ListParagraph"/>
        <w:numPr>
          <w:ilvl w:val="0"/>
          <w:numId w:val="7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يفتح تفاصيل مشترك: الوحدات، المدير الأول، إصدارات البذور، جلسات الدعم.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بديل وخطأ: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1أ. بلوغ 90% من حد ناعم: علامة تنبيه للمشغّل ولمدير الحساب، ولا منع (FR-PLT-004).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ملاحظة: العدّادات تحتاج قراءة جداول المشترك، وtp_platform لا يصل إليها (docs/20-database-design.md:24). الاقتراح </w:t>
      </w:r>
      <w:r>
        <w:rPr>
          <w:rFonts w:ascii="Arial" w:cs="Arial" w:eastAsia="Arial" w:hAnsi="Arial"/>
          <w:color w:val="E0A800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: إجراء تجميع مُراجَع يعيد أعدادًا فقط، ضمن O-12 (20-database-design).</w:t>
      </w:r>
    </w:p>
    <w:p>
      <w:pPr>
        <w:bidi/>
        <w:spacing w:after="60" w:before="0"/>
      </w:pPr>
    </w:p>
    <w:p>
      <w:pPr>
        <w:pStyle w:val="Heading2"/>
        <w:bidi/>
      </w:pPr>
      <w:bookmarkStart w:name="_sec17" w:id="17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UC-PLT-06 — إدارة المراجع العالمية</w:t>
      </w:r>
      <w:bookmarkEnd w:id="17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الفاعل · الشريحة · الصلاحية: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مشغّل المنصة · S0 · OPERATOR_ADMIN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قبل: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جلسة مشغّل.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بعد: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صفوف عالمية محدَّثة بحدث تدقيق بـ TenantId فارغ.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يغطي: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FR-PLT-017 (عرض الكتالوج)، FR-PLT-035 (بيانات العطل)، BR-PLT-001، BR-PLT-014</w:t>
      </w:r>
    </w:p>
    <w:p>
      <w:pPr>
        <w:bidi/>
        <w:spacing w:after="60" w:before="0"/>
      </w:pPr>
    </w:p>
    <w:p>
      <w:pPr>
        <w:pStyle w:val="ListParagraph"/>
        <w:numPr>
          <w:ilvl w:val="0"/>
          <w:numId w:val="8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يختار المشغّل القائمة: الباقات، الدول وعطلة الأسبوع، العملات، العطل الرسمية، كتالوج الصلاحيات.</w:t>
      </w:r>
    </w:p>
    <w:p>
      <w:pPr>
        <w:pStyle w:val="ListParagraph"/>
        <w:numPr>
          <w:ilvl w:val="0"/>
          <w:numId w:val="8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يضيف صفًا أو يعدّله.</w:t>
      </w:r>
    </w:p>
    <w:p>
      <w:pPr>
        <w:pStyle w:val="ListParagraph"/>
        <w:numPr>
          <w:ilvl w:val="0"/>
          <w:numId w:val="8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يحفظ النظام عبر tp_platform وحده (docs/20-database-design.md:72).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بديل وخطأ: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2أ. كتالوج الصلاحيات للعرض فقط؛ يتحدّث مع الإصدارات (FR-PLT-017).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2ب. عطلة المنصة (TenantId فارغ) للقراءة فقط عند المشتركين (BR-PLT-001).</w:t>
      </w:r>
    </w:p>
    <w:p>
      <w:pPr>
        <w:bidi/>
        <w:spacing w:after="60" w:before="0"/>
      </w:pPr>
    </w:p>
    <w:p>
      <w:pPr>
        <w:pStyle w:val="Heading2"/>
        <w:bidi/>
      </w:pPr>
      <w:bookmarkStart w:name="_sec18" w:id="18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UC-PLT-07 — منح وصول الدعم المؤقت واستعماله</w:t>
      </w:r>
      <w:bookmarkEnd w:id="18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الفاعل · الشريحة · الصلاحية: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مدير حساب المشترك ثم المشغّل · S0 (Should) ·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‎sec.support.grant‎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</w:t>
      </w:r>
      <w:r>
        <w:rPr>
          <w:rFonts w:ascii="Arial" w:cs="Arial" w:eastAsia="Arial" w:hAnsi="Arial"/>
          <w:color w:val="E0A800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للمنح، وOPERATOR_SUPPORT للاستعمال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قبل: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وصول الدعم معطّل افتراضيًا (Q-PLT-06).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بعد: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صف plat.SupportAccessGrant بمدة من ساعة إلى 72 ساعة (الافتراضي 4)؛ كل صفحة يراها المشغّل مدقَّقة.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يغطي: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FR-PLT-007، BR-PLT-017، BR-PLT-009</w:t>
      </w:r>
    </w:p>
    <w:p>
      <w:pPr>
        <w:bidi/>
        <w:spacing w:after="60" w:before="0"/>
      </w:pPr>
    </w:p>
    <w:p>
      <w:pPr>
        <w:pStyle w:val="ListParagraph"/>
        <w:numPr>
          <w:ilvl w:val="0"/>
          <w:numId w:val="9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يفتح TA شاشة الأمان ويختار «منح وصول الدعم» والمشغّل والمدة والسبب.</w:t>
      </w:r>
    </w:p>
    <w:p>
      <w:pPr>
        <w:pStyle w:val="ListParagraph"/>
        <w:numPr>
          <w:ilvl w:val="0"/>
          <w:numId w:val="9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يحفظ النظام المنحة ويُشعر مديري الحساب (SEC.SUPPORT_ACCESS).</w:t>
      </w:r>
    </w:p>
    <w:p>
      <w:pPr>
        <w:pStyle w:val="ListParagraph"/>
        <w:numPr>
          <w:ilvl w:val="0"/>
          <w:numId w:val="9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يفتح المشغّل المشترك من لوحة المشغّل بجلسة دعم بدور محدود بلا صلاحيات حساسة.</w:t>
      </w:r>
    </w:p>
    <w:p>
      <w:pPr>
        <w:pStyle w:val="ListParagraph"/>
        <w:numPr>
          <w:ilvl w:val="0"/>
          <w:numId w:val="9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تُسجَّل كل صفحة بشدة عالية، ويرى TA سجل الجلسة.</w:t>
      </w:r>
    </w:p>
    <w:p>
      <w:pPr>
        <w:pStyle w:val="ListParagraph"/>
        <w:numPr>
          <w:ilvl w:val="0"/>
          <w:numId w:val="9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ينتهي الوصول تلقائيًا عند EndsAt أو بسحب TA.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بديل وخطأ: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3أ. محاولة كشف رقم هوية من جلسة دعم: 403 وحدث مرفوض (FR-PLT-007).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3ب. منحة منتهية أو مسحوبة: يُرفض الدخول.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ملاحظة: مسار ربط جلسة الدعم بالمشترك غير موجود في 030؛ O-12 (20-database-design) وDOC-F04.</w:t>
      </w:r>
    </w:p>
    <w:p>
      <w:pPr>
        <w:bidi/>
        <w:spacing w:after="60" w:before="0"/>
      </w:pPr>
    </w:p>
    <w:p>
      <w:pPr>
        <w:pStyle w:val="Heading2"/>
        <w:bidi/>
      </w:pPr>
      <w:bookmarkStart w:name="_sec19" w:id="19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UC-PLT-08 — قبول الدعوة وتسجيل MFA</w:t>
      </w:r>
      <w:bookmarkEnd w:id="19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الفاعل · الشريحة · الصلاحية: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المدعو · S0 · رابط الدعوة (بلا صلاحية)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قبل: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sec.AppUser بحالة INVITED، ورمز sec.UserToken بغرض INVITATION غير مستعمل ولم تنقضِ 48 ساعة (db/model/10-platform.model:244-246).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بعد: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الحساب ACTIVE بكلمة مرور وسر TOTP و10 رموز استرداد مجزّأة؛ الرمز مستعمل.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يغطي: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FR-PLT-013، FR-PLT-010، FR-PLT-011، BR-PLT-004، BR-PLT-006</w:t>
      </w:r>
    </w:p>
    <w:p>
      <w:pPr>
        <w:bidi/>
        <w:spacing w:after="60" w:before="0"/>
      </w:pPr>
    </w:p>
    <w:p>
      <w:pPr>
        <w:pStyle w:val="ListParagraph"/>
        <w:numPr>
          <w:ilvl w:val="0"/>
          <w:numId w:val="10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يفتح المدعو الرابط على عنوان مشتركه.</w:t>
      </w:r>
    </w:p>
    <w:p>
      <w:pPr>
        <w:pStyle w:val="ListParagraph"/>
        <w:numPr>
          <w:ilvl w:val="0"/>
          <w:numId w:val="10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يتحقق النظام من بصمة الرمز ومدته وعدم استعماله.</w:t>
      </w:r>
    </w:p>
    <w:p>
      <w:pPr>
        <w:pStyle w:val="ListParagraph"/>
        <w:numPr>
          <w:ilvl w:val="0"/>
          <w:numId w:val="10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يضع المدعو كلمة مرور (12 خانة فأكثر، غير شائعة ولا مسرّبة، BR-PLT-004).</w:t>
      </w:r>
    </w:p>
    <w:p>
      <w:pPr>
        <w:pStyle w:val="ListParagraph"/>
        <w:numPr>
          <w:ilvl w:val="0"/>
          <w:numId w:val="10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يحسب النظام تجزئة Argon2id بصيغة PHC (ADR 0002).</w:t>
      </w:r>
    </w:p>
    <w:p>
      <w:pPr>
        <w:pStyle w:val="ListParagraph"/>
        <w:numPr>
          <w:ilvl w:val="0"/>
          <w:numId w:val="10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يمسح المدعو رمز QR بتطبيق المصادقة ويُدخل رمزًا صحيحًا.</w:t>
      </w:r>
    </w:p>
    <w:p>
      <w:pPr>
        <w:pStyle w:val="ListParagraph"/>
        <w:numPr>
          <w:ilvl w:val="0"/>
          <w:numId w:val="10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يعرض النظام رموز الاسترداد العشرة مرة واحدة، ويقرّ المدعو بحفظها.</w:t>
      </w:r>
    </w:p>
    <w:p>
      <w:pPr>
        <w:pStyle w:val="ListParagraph"/>
        <w:numPr>
          <w:ilvl w:val="0"/>
          <w:numId w:val="10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يصير الحساب ACTIVE ويُعلَّم الرمز مستعملًا، ثم ينتقل إلى الدخول (UC-PLT-09).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بديل وخطأ: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2أ. رمز منتهٍ أو مستعمل: رسالة عامة وطلب إعادة الدعوة من TA.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3أ. كلمة ضعيفة: تُرفض بالسبب.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5أ. رمز TOTP خاطئ: إعادة المحاولة ولا تفعيل.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ملاحظة: usp_StartSession يرفض المستخدم INVITED (db/static/030_session_context.sql:82)، ولا إجراء في 030 يضع أول كلمة مرور. المقترح في DQ-F03-5، والمخاطرة في O-24 (erd_open_items).</w:t>
      </w:r>
    </w:p>
    <w:p>
      <w:pPr>
        <w:bidi/>
        <w:spacing w:after="60" w:before="0"/>
      </w:pPr>
    </w:p>
    <w:p>
      <w:pPr>
        <w:pStyle w:val="Heading2"/>
        <w:bidi/>
      </w:pPr>
      <w:bookmarkStart w:name="_sec20" w:id="20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UC-PLT-09 — الدخول بكلمة المرور وMFA</w:t>
      </w:r>
      <w:bookmarkEnd w:id="20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الفاعل · الشريحة · الصلاحية: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مستخدم المشترك · S0 · لا شيء (قبل المصادقة)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قبل: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حساب ACTIVE (أو LOCKED انقضت مدته) وMFA مسجّل؛ المشترك بحالة يقبلها الإجراء (db/static/030_session_context.sql:68).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بعد: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جلسة بمهلة خمول 30 دقيقة ومطلقة 12 ساعة، مؤكَّدة MFA؛ صف LOGIN_SUCCESS.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يغطي: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FR-PLT-010، FR-PLT-011، FR-PLT-012، FR-PLT-014، FR-PLT-046، BR-PLT-004، BR-PLT-005، BR-PLT-006؛ AC-PLT-2</w:t>
      </w:r>
    </w:p>
    <w:p>
      <w:pPr>
        <w:bidi/>
        <w:spacing w:after="60" w:before="0"/>
      </w:pPr>
    </w:p>
    <w:p>
      <w:pPr>
        <w:pStyle w:val="ListParagraph"/>
        <w:numPr>
          <w:ilvl w:val="0"/>
          <w:numId w:val="11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يفتح المستخدم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‎{tenant}.bankfas.com‎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فيحدد النظام المشترك من العنوان الفرعي.</w:t>
      </w:r>
    </w:p>
    <w:p>
      <w:pPr>
        <w:pStyle w:val="ListParagraph"/>
        <w:numPr>
          <w:ilvl w:val="0"/>
          <w:numId w:val="11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يُدخل البريد وكلمة المرور.</w:t>
      </w:r>
    </w:p>
    <w:p>
      <w:pPr>
        <w:pStyle w:val="ListParagraph"/>
        <w:numPr>
          <w:ilvl w:val="0"/>
          <w:numId w:val="11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يطلب التطبيق معاملات التجزئة (sec.usp_GetPasswordParams) ويحسب Argon2id.</w:t>
      </w:r>
    </w:p>
    <w:p>
      <w:pPr>
        <w:pStyle w:val="ListParagraph"/>
        <w:numPr>
          <w:ilvl w:val="0"/>
          <w:numId w:val="11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يستدعي sec.usp_StartSession برمز جلسة عشوائي لا يقل عن 32 بايت، فتُنشأ الجلسة.</w:t>
      </w:r>
    </w:p>
    <w:p>
      <w:pPr>
        <w:pStyle w:val="ListParagraph"/>
        <w:numPr>
          <w:ilvl w:val="0"/>
          <w:numId w:val="11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يطلب النظام رمز TOTP، ويتحقق منه التطبيق ويسجّله بـ sec.usp_ConfirmMfa.</w:t>
      </w:r>
    </w:p>
    <w:p>
      <w:pPr>
        <w:pStyle w:val="ListParagraph"/>
        <w:numPr>
          <w:ilvl w:val="0"/>
          <w:numId w:val="11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يُربط كل طلب لاحق بـ sec.usp_SetSessionContext (DOC-F04).</w:t>
      </w:r>
    </w:p>
    <w:p>
      <w:pPr>
        <w:pStyle w:val="ListParagraph"/>
        <w:numPr>
          <w:ilvl w:val="0"/>
          <w:numId w:val="11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تفتح الصفحة الرئيسية.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بديل وخطأ: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1أ. عنوان فرعي غير معروف: صفحة محايدة لا تكشف وجود المشترك (FR-PLT-046).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4أ. أي فشل (بريد غير موجود، كلمة خاطئة، حساب مقفل، INVITED أو DISABLED): الخطأ 50005 ورسالة واحدة (db/static/030_session_context.sql:140).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4ب. الفشل الخامس خلال 15 دقيقة يقفل 15 دقيقة؛ القفل الثالث خلال 24 ساعة يحتاج فك المدير ويُشعَر TA (BR-PLT-005).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5أ. رمز خاطئ: يُسجَّل FAILED_MFA (db/static/030_session_context.sql:162) وتبقى الجلسة غير مؤكَّدة فلا تُربط (db/static/030_session_context.sql:198).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5ب. رمز استرداد بدل TOTP: يُستهلك مرة واحدة ويُبلَّغ المستخدم بالعدد الباقي (BR-PLT-006). مكان الاستهلاك في DQ-F03-3.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1ب. مشترك SUSPENDED أو CLOSED: السلوك المطلوب في BR-PLT-002 يخالف الإجراء الحالي؛ انظر §11 وDOC-F04.</w:t>
      </w:r>
    </w:p>
    <w:p>
      <w:pPr>
        <w:bidi/>
        <w:spacing w:after="60" w:before="0"/>
      </w:pPr>
    </w:p>
    <w:p>
      <w:pPr>
        <w:pStyle w:val="Heading2"/>
        <w:bidi/>
      </w:pPr>
      <w:bookmarkStart w:name="_sec21" w:id="21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UC-PLT-10 — إعادة تعيين كلمة المرور المنسية</w:t>
      </w:r>
      <w:bookmarkEnd w:id="21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الفاعل · الشريحة · الصلاحية: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مستخدم المشترك · S0 · لا شيء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قبل: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لا شيء.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بعد: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كلمة مرور جديدة؛ الجلسات المفتوحة منتهية بسبب PASSWORD_CHANGED (db/model/10-platform.model:229).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يغطي: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FR-PLT-013، BR-PLT-004</w:t>
      </w:r>
    </w:p>
    <w:p>
      <w:pPr>
        <w:bidi/>
        <w:spacing w:after="60" w:before="0"/>
      </w:pPr>
    </w:p>
    <w:p>
      <w:pPr>
        <w:pStyle w:val="ListParagraph"/>
        <w:numPr>
          <w:ilvl w:val="0"/>
          <w:numId w:val="1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يختار المستخدم «نسيت كلمة المرور» ويُدخل بريده.</w:t>
      </w:r>
    </w:p>
    <w:p>
      <w:pPr>
        <w:pStyle w:val="ListParagraph"/>
        <w:numPr>
          <w:ilvl w:val="0"/>
          <w:numId w:val="1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يعرض النظام الرسالة نفسها سواء كان البريد مسجّلًا أم لا.</w:t>
      </w:r>
    </w:p>
    <w:p>
      <w:pPr>
        <w:pStyle w:val="ListParagraph"/>
        <w:numPr>
          <w:ilvl w:val="0"/>
          <w:numId w:val="1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إن كان الحساب ACTIVE أو LOCKED يُنشئ رمز PASSWORD_RESET لمدة 30 دقيقة ويرسله.</w:t>
      </w:r>
    </w:p>
    <w:p>
      <w:pPr>
        <w:pStyle w:val="ListParagraph"/>
        <w:numPr>
          <w:ilvl w:val="0"/>
          <w:numId w:val="1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يفتح المستخدم الرابط ويضع كلمة جديدة لا تطابق آخر خمس.</w:t>
      </w:r>
    </w:p>
    <w:p>
      <w:pPr>
        <w:pStyle w:val="ListParagraph"/>
        <w:numPr>
          <w:ilvl w:val="0"/>
          <w:numId w:val="1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يحفظ النظام التجزئة وينهي الجلسات ويعلّم الرمز مستعملًا.</w:t>
      </w:r>
    </w:p>
    <w:p>
      <w:pPr>
        <w:pStyle w:val="ListParagraph"/>
        <w:numPr>
          <w:ilvl w:val="0"/>
          <w:numId w:val="1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يدخل المستخدم من جديد بـ MFA (UC-PLT-09).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بديل وخطأ: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4أ. رابط منتهٍ أو مستعمل: يُرفض ويُطلب رابط جديد.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3أ. فشل الإرسال: SendStatus = FAILED وحدث تدقيق.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5أ. إعادة التعيين تفك القفل المؤقت فقط، ويبقى قفل «فك المدير» (RequiresAdminUnlock) حتى يفكه TA (DQ-S04-12). الإجراءات في DQ-F03-7.</w:t>
      </w:r>
    </w:p>
    <w:p>
      <w:pPr>
        <w:bidi/>
        <w:spacing w:after="60" w:before="0"/>
      </w:pPr>
    </w:p>
    <w:p>
      <w:pPr>
        <w:pStyle w:val="Heading2"/>
        <w:bidi/>
      </w:pPr>
      <w:bookmarkStart w:name="_sec22" w:id="22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UC-PLT-11 — الخروج وانتهاء الجلسة</w:t>
      </w:r>
      <w:bookmarkEnd w:id="22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الفاعل · الشريحة · الصلاحية: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مستخدم المشترك، والنظام · S0 · مستخدم مصادق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قبل: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جلسة مفتوحة.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بعد: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EndedAt وEndReason مسجّلان؛ الربط مسحوب بالقادح (db/static/030_session_context.sql:269).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يغطي: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FR-PLT-014</w:t>
      </w:r>
    </w:p>
    <w:p>
      <w:pPr>
        <w:bidi/>
        <w:spacing w:after="60" w:before="0"/>
      </w:pPr>
    </w:p>
    <w:p>
      <w:pPr>
        <w:pStyle w:val="ListParagraph"/>
        <w:numPr>
          <w:ilvl w:val="0"/>
          <w:numId w:val="13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يضغط المستخدم «خروج».</w:t>
      </w:r>
    </w:p>
    <w:p>
      <w:pPr>
        <w:pStyle w:val="ListParagraph"/>
        <w:numPr>
          <w:ilvl w:val="0"/>
          <w:numId w:val="13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ينهي النظام الجلسة بسبب LOGOUT ويحذف رمزها من المتصفح.</w:t>
      </w:r>
    </w:p>
    <w:p>
      <w:pPr>
        <w:pStyle w:val="ListParagraph"/>
        <w:numPr>
          <w:ilvl w:val="0"/>
          <w:numId w:val="13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يعود المستخدم إلى صفحة الدخول.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بديل وخطأ: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1أ. خمول 30 دقيقة أو بلوغ 12 ساعة: يرفض الربط بالخطأ 50003، فيعيد التطبيق المستخدم إلى الدخول ويسجّل IDLE_TIMEOUT أو ABSOLUTE_TIMEOUT.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1ب. تصدير حساس: تُطلب إعادة المصادقة قبل التنفيذ (FR-PLT-014)؛ الطريقة والحداثة في DOC-S04 §11 (DQ-S04-15).</w:t>
      </w:r>
    </w:p>
    <w:p>
      <w:pPr>
        <w:bidi/>
        <w:spacing w:after="60" w:before="0"/>
      </w:pPr>
    </w:p>
    <w:p>
      <w:pPr>
        <w:pStyle w:val="Heading2"/>
        <w:bidi/>
      </w:pPr>
      <w:bookmarkStart w:name="_sec23" w:id="23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UC-PLT-12 — دعوة مستخدم</w:t>
      </w:r>
      <w:bookmarkEnd w:id="23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الفاعل · الشريحة · الصلاحية: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TA · S0 ·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‎sec.user.manage‎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</w:t>
      </w:r>
      <w:r>
        <w:rPr>
          <w:rFonts w:ascii="Arial" w:cs="Arial" w:eastAsia="Arial" w:hAnsi="Arial"/>
          <w:color w:val="E0A800"/>
          <w:sz w:val="21"/>
          <w:szCs w:val="21"/>
          <w:rtl/>
        </w:rPr>
        <w:t xml:space="preserve">●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قبل: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البريد غير مستعمل في المشترك (فريد (TenantId, Email)).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بعد: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مستخدم INVITED ودعوة مرسلة؛ حدث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‎user.created‎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يغطي: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FR-PLT-016، FR-PLT-013، FR-PLT-004</w:t>
      </w:r>
    </w:p>
    <w:p>
      <w:pPr>
        <w:bidi/>
        <w:spacing w:after="60" w:before="0"/>
      </w:pPr>
    </w:p>
    <w:p>
      <w:pPr>
        <w:pStyle w:val="ListParagraph"/>
        <w:numPr>
          <w:ilvl w:val="0"/>
          <w:numId w:val="14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يختار TA «دعوة مستخدم».</w:t>
      </w:r>
    </w:p>
    <w:p>
      <w:pPr>
        <w:pStyle w:val="ListParagraph"/>
        <w:numPr>
          <w:ilvl w:val="0"/>
          <w:numId w:val="14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يُدخل البريد والاسم المعروض والإدارة والمدير المباشر.</w:t>
      </w:r>
    </w:p>
    <w:p>
      <w:pPr>
        <w:pStyle w:val="ListParagraph"/>
        <w:numPr>
          <w:ilvl w:val="0"/>
          <w:numId w:val="14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يختار الأدوار (UC-PLT-14) ونمط نطاق الشركات (UC-PLT-16).</w:t>
      </w:r>
    </w:p>
    <w:p>
      <w:pPr>
        <w:pStyle w:val="ListParagraph"/>
        <w:numPr>
          <w:ilvl w:val="0"/>
          <w:numId w:val="14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يتحقق النظام من تفرّد البريد.</w:t>
      </w:r>
    </w:p>
    <w:p>
      <w:pPr>
        <w:pStyle w:val="ListParagraph"/>
        <w:numPr>
          <w:ilvl w:val="0"/>
          <w:numId w:val="14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يُنشئ المستخدم ورمز INVITATION لمدة 48 ساعة ويرسل الرسالة.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بديل وخطأ: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4أ. بريد مكرر: يُرفض.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5أ. تجاوز 90% من حد المستخدمين: تنبيه ولا منع (FR-PLT-004).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5ب. إعادة إرسال: يُلغى الرمز السابق (RevokedAt) ويُنشأ رمز جديد.</w:t>
      </w:r>
    </w:p>
    <w:p>
      <w:pPr>
        <w:bidi/>
        <w:spacing w:after="60" w:before="0"/>
      </w:pPr>
    </w:p>
    <w:p>
      <w:pPr>
        <w:pStyle w:val="Heading2"/>
        <w:bidi/>
      </w:pPr>
      <w:bookmarkStart w:name="_sec24" w:id="24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UC-PLT-13 — إدارة حساب مستخدم</w:t>
      </w:r>
      <w:bookmarkEnd w:id="24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الفاعل · الشريحة · الصلاحية: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TA · S0 ·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‎sec.user.manage‎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</w:t>
      </w:r>
      <w:r>
        <w:rPr>
          <w:rFonts w:ascii="Arial" w:cs="Arial" w:eastAsia="Arial" w:hAnsi="Arial"/>
          <w:color w:val="E0A800"/>
          <w:sz w:val="21"/>
          <w:szCs w:val="21"/>
          <w:rtl/>
        </w:rPr>
        <w:t xml:space="preserve">●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قبل: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المستخدم في المشترك نفسه.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بعد: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حالة الحساب وجلساته وفق الإجراء؛ مخطط الحالات في DOC-F06.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يغطي: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FR-PLT-016، FR-PLT-012، FR-PLT-014، BR-PLT-006، BR-PLT-008</w:t>
      </w:r>
    </w:p>
    <w:p>
      <w:pPr>
        <w:bidi/>
        <w:spacing w:after="60" w:before="0"/>
      </w:pPr>
    </w:p>
    <w:p>
      <w:pPr>
        <w:pStyle w:val="ListParagraph"/>
        <w:numPr>
          <w:ilvl w:val="0"/>
          <w:numId w:val="15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يفتح TA بطاقة المستخدم.</w:t>
      </w:r>
    </w:p>
    <w:p>
      <w:pPr>
        <w:pStyle w:val="ListParagraph"/>
        <w:numPr>
          <w:ilvl w:val="0"/>
          <w:numId w:val="15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يختار إجراءً: تعديل البيانات، تعطيل، إعادة تفعيل، أرشفة، فك قفل، إعادة تعيين MFA، إنهاء الجلسات.</w:t>
      </w:r>
    </w:p>
    <w:p>
      <w:pPr>
        <w:pStyle w:val="ListParagraph"/>
        <w:numPr>
          <w:ilvl w:val="0"/>
          <w:numId w:val="15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يؤكد ويكتب السبب للتعطيل وإعادة MFA، ويعيد المصادقة قبل تصفير MFA وفك القفل الثالث (DOC-S04 §11).</w:t>
      </w:r>
    </w:p>
    <w:p>
      <w:pPr>
        <w:pStyle w:val="ListParagraph"/>
        <w:numPr>
          <w:ilvl w:val="0"/>
          <w:numId w:val="15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يطبق النظام الأثر: التعطيل ينهي الجلسات (USER_DISABLED) ويسحب الربط (db/static/030_session_context.sql:245)؛ إعادة MFA تصفّر MfaEnabled وتحذف رموز الاسترداد وتنهي الجلسات (MFA_RESET)؛ إنهاء الجلسات يسري فورًا (TERMINATED_BY_ADMIN).</w:t>
      </w:r>
    </w:p>
    <w:p>
      <w:pPr>
        <w:pStyle w:val="ListParagraph"/>
        <w:numPr>
          <w:ilvl w:val="0"/>
          <w:numId w:val="15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يُسجَّل التدقيق، وإعادة MFA بشدة عالية مع إشعار المستخدم ومديري الحساب.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بديل وخطأ: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4أ. تعطيل آخر مدير حساب فعّال أو أرشفته: يُرفض (FR-PLT-016).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4ب. الأرشفة نهائية ولا رجوع منها.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ملاحظة: بعد إعادة MFA يقبل الربط اليوم جلسة بلا MFA لأن MfaEnabled = 0 (db/static/030_session_context.sql:198). المقترح في DQ-F03-4 وDQ-F03-8.</w:t>
      </w:r>
    </w:p>
    <w:p>
      <w:pPr>
        <w:bidi/>
        <w:spacing w:after="60" w:before="0"/>
      </w:pPr>
    </w:p>
    <w:p>
      <w:pPr>
        <w:pStyle w:val="Heading2"/>
        <w:bidi/>
      </w:pPr>
      <w:bookmarkStart w:name="_sec25" w:id="25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UC-PLT-14 — إسناد الأدوار لمستخدم</w:t>
      </w:r>
      <w:bookmarkEnd w:id="25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الفاعل · الشريحة · الصلاحية: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TA · S0 ·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‎sec.user.manage‎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</w:t>
      </w:r>
      <w:r>
        <w:rPr>
          <w:rFonts w:ascii="Arial" w:cs="Arial" w:eastAsia="Arial" w:hAnsi="Arial"/>
          <w:color w:val="E0A800"/>
          <w:sz w:val="21"/>
          <w:szCs w:val="21"/>
          <w:rtl/>
        </w:rPr>
        <w:t xml:space="preserve">●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قبل: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المستخدم غير مؤرشف.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بعد: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صفوف sec.UserRole بـ AssignedBy/At؛ الصلاحية الفعلية = اتحاد الأدوار ثم تقاطع مع النطاق (BR-PLT-007).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يغطي: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FR-PLT-018، FR-PLT-019، BR-PLT-007، BR-PLT-008</w:t>
      </w:r>
    </w:p>
    <w:p>
      <w:pPr>
        <w:bidi/>
        <w:spacing w:after="60" w:before="0"/>
      </w:pPr>
    </w:p>
    <w:p>
      <w:pPr>
        <w:pStyle w:val="ListParagraph"/>
        <w:numPr>
          <w:ilvl w:val="0"/>
          <w:numId w:val="16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يفتح TA تبويب الأدوار في بطاقة المستخدم.</w:t>
      </w:r>
    </w:p>
    <w:p>
      <w:pPr>
        <w:pStyle w:val="ListParagraph"/>
        <w:numPr>
          <w:ilvl w:val="0"/>
          <w:numId w:val="16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يضيف دورًا أو يزيله.</w:t>
      </w:r>
    </w:p>
    <w:p>
      <w:pPr>
        <w:pStyle w:val="ListParagraph"/>
        <w:numPr>
          <w:ilvl w:val="0"/>
          <w:numId w:val="16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يعرض النظام تأكيدًا إضافيًا إن كان الدور TM أو FO أو يحمل صلاحية حساسة.</w:t>
      </w:r>
    </w:p>
    <w:p>
      <w:pPr>
        <w:pStyle w:val="ListParagraph"/>
        <w:numPr>
          <w:ilvl w:val="0"/>
          <w:numId w:val="16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يحفظ النظام؛ الأثر في الطلب التالي.</w:t>
      </w:r>
    </w:p>
    <w:p>
      <w:pPr>
        <w:pStyle w:val="ListParagraph"/>
        <w:numPr>
          <w:ilvl w:val="0"/>
          <w:numId w:val="16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إسناد TM أو FO أو سحبه يُدقَّق بشدة عالية ويُشعر مديري الحساب وحاملي الصلاحية.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بديل وخطأ: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2أ. إزالة دور TA من آخر مدير حساب فعّال: يُرفض.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2ب. TA يسند لنفسه دورًا حساسًا: يُقبل بشدة عالية ويُشعَر المديرون الآخرون (docs/10-detailed-analysis/10-m0-m1-platform-organization.md:69).</w:t>
      </w:r>
    </w:p>
    <w:p>
      <w:pPr>
        <w:bidi/>
        <w:spacing w:after="60" w:before="0"/>
      </w:pPr>
    </w:p>
    <w:p>
      <w:pPr>
        <w:pStyle w:val="Heading2"/>
        <w:bidi/>
      </w:pPr>
      <w:bookmarkStart w:name="_sec26" w:id="26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UC-PLT-15 — إدارة الأدوار والصلاحيات</w:t>
      </w:r>
      <w:bookmarkEnd w:id="26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الفاعل · الشريحة · الصلاحية: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TA · S0 ·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‎sec.role.manage‎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</w:t>
      </w:r>
      <w:r>
        <w:rPr>
          <w:rFonts w:ascii="Arial" w:cs="Arial" w:eastAsia="Arial" w:hAnsi="Arial"/>
          <w:color w:val="E0A800"/>
          <w:sz w:val="21"/>
          <w:szCs w:val="21"/>
          <w:rtl/>
        </w:rPr>
        <w:t xml:space="preserve">●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قبل: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كتالوج sec.Permission مبذور.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بعد: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دور وروابط sec.RolePermission محدَّثة؛ الأثر في الطلب التالي.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يغطي: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FR-PLT-017، FR-PLT-018، FR-PLT-019، BR-PLT-008، BR-PLT-019؛ AC-PTY-1</w:t>
      </w:r>
    </w:p>
    <w:p>
      <w:pPr>
        <w:bidi/>
        <w:spacing w:after="60" w:before="0"/>
      </w:pPr>
    </w:p>
    <w:p>
      <w:pPr>
        <w:pStyle w:val="ListParagraph"/>
        <w:numPr>
          <w:ilvl w:val="0"/>
          <w:numId w:val="17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يفتح TA مصفوفة الأدوار والصلاحيات مجمّعة بالوحدات المفعّلة.</w:t>
      </w:r>
    </w:p>
    <w:p>
      <w:pPr>
        <w:pStyle w:val="ListParagraph"/>
        <w:numPr>
          <w:ilvl w:val="0"/>
          <w:numId w:val="17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ينشئ دورًا أو ينسخ دورًا قائمًا.</w:t>
      </w:r>
    </w:p>
    <w:p>
      <w:pPr>
        <w:pStyle w:val="ListParagraph"/>
        <w:numPr>
          <w:ilvl w:val="0"/>
          <w:numId w:val="17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يمنح صلاحيات أو يسحبها؛ الحساسة تطلب تأكيدًا مضاعفًا.</w:t>
      </w:r>
    </w:p>
    <w:p>
      <w:pPr>
        <w:pStyle w:val="ListParagraph"/>
        <w:numPr>
          <w:ilvl w:val="0"/>
          <w:numId w:val="17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يتحقق النظام في خدمة الربط لا في الواجهة وحدها.</w:t>
      </w:r>
    </w:p>
    <w:p>
      <w:pPr>
        <w:pStyle w:val="ListParagraph"/>
        <w:numPr>
          <w:ilvl w:val="0"/>
          <w:numId w:val="17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يحفظ ويُدقِّق.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بديل وخطأ: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3أ. إضافة صلاحية مقفلة </w:t>
      </w:r>
      <w:r>
        <w:rPr>
          <w:rFonts w:ascii="Arial" w:cs="Arial" w:eastAsia="Arial" w:hAnsi="Arial"/>
          <w:color w:val="7A1F1F"/>
          <w:sz w:val="21"/>
          <w:szCs w:val="21"/>
          <w:rtl/>
        </w:rPr>
        <w:t xml:space="preserve">◆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لدور غير TM وFO أو لدور مخصص: تُرفض بالرمز PERMISSION_LOCKED وتُدقَّق بشدة عالية (BR-PLT-019).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3ب. لا صلاحية «منع»، ولا يضيف المشترك صلاحية جديدة (FR-PLT-017، FR-PLT-018).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2أ. دور نظام (IsSystem) لا يُحذف ولا يتغيّر رمزه </w:t>
      </w:r>
      <w:r>
        <w:rPr>
          <w:rFonts w:ascii="Arial" w:cs="Arial" w:eastAsia="Arial" w:hAnsi="Arial"/>
          <w:color w:val="E0A800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bidi/>
        <w:spacing w:after="60" w:before="0"/>
      </w:pPr>
    </w:p>
    <w:p>
      <w:pPr>
        <w:pStyle w:val="Heading2"/>
        <w:bidi/>
      </w:pPr>
      <w:bookmarkStart w:name="_sec27" w:id="27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UC-PLT-16 — ضبط نطاق الشركات لمستخدم</w:t>
      </w:r>
      <w:bookmarkEnd w:id="27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الفاعل · الشريحة · الصلاحية: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TA · S0 ·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‎sec.user.manage‎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</w:t>
      </w:r>
      <w:r>
        <w:rPr>
          <w:rFonts w:ascii="Arial" w:cs="Arial" w:eastAsia="Arial" w:hAnsi="Arial"/>
          <w:color w:val="E0A800"/>
          <w:sz w:val="21"/>
          <w:szCs w:val="21"/>
          <w:rtl/>
        </w:rPr>
        <w:t xml:space="preserve">●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قبل: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المستخدم غير مؤرشف.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بعد: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CompanyScopeMode وصفوف sec.UserCompanyScope؛ تسري في كل استعلام وبحث وتقرير.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يغطي: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FR-PLT-020، FR-PLT-021، BR-PLT-007؛ AC-PLT-1</w:t>
      </w:r>
    </w:p>
    <w:p>
      <w:pPr>
        <w:bidi/>
        <w:spacing w:after="60" w:before="0"/>
      </w:pPr>
    </w:p>
    <w:p>
      <w:pPr>
        <w:pStyle w:val="ListParagraph"/>
        <w:numPr>
          <w:ilvl w:val="0"/>
          <w:numId w:val="18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يفتح TA شاشة نطاق الشركات للمستخدم.</w:t>
      </w:r>
    </w:p>
    <w:p>
      <w:pPr>
        <w:pStyle w:val="ListParagraph"/>
        <w:numPr>
          <w:ilvl w:val="0"/>
          <w:numId w:val="18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يختار «الكل» أو «مختارة».</w:t>
      </w:r>
    </w:p>
    <w:p>
      <w:pPr>
        <w:pStyle w:val="ListParagraph"/>
        <w:numPr>
          <w:ilvl w:val="0"/>
          <w:numId w:val="18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في «مختارة» يحدد الشركات من الشجرة ويختار تضمين التابعات.</w:t>
      </w:r>
    </w:p>
    <w:p>
      <w:pPr>
        <w:pStyle w:val="ListParagraph"/>
        <w:numPr>
          <w:ilvl w:val="0"/>
          <w:numId w:val="18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يحفظ النظام.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بديل وخطأ: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2أ. «مختارة» بلا شركة: المستخدم لا يرى أي بيانات شركة لأن الافتراضي SELECTED والرفض هو الأصل (db/model/10-platform.model:119)؛ يعرض النظام تحذيرًا </w:t>
      </w:r>
      <w:r>
        <w:rPr>
          <w:rFonts w:ascii="Arial" w:cs="Arial" w:eastAsia="Arial" w:hAnsi="Arial"/>
          <w:color w:val="E0A800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3أ. في S0 لا توجد شركات بعد (الشركات في S1)، فالخيار الفعلي «الكل» أو «مختارة» فارغة؛ انظر DQ-F07-2.</w:t>
      </w:r>
    </w:p>
    <w:p>
      <w:pPr>
        <w:bidi/>
        <w:spacing w:after="60" w:before="0"/>
      </w:pPr>
    </w:p>
    <w:p>
      <w:pPr>
        <w:pStyle w:val="Heading2"/>
        <w:bidi/>
      </w:pPr>
      <w:bookmarkStart w:name="_sec28" w:id="28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UC-PLT-17 — ضبط إعدادات الأمان والمشترك</w:t>
      </w:r>
      <w:bookmarkEnd w:id="28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الفاعل · الشريحة · الصلاحية: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TA (TM ◐ للعتبات) · S0 ·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‎cfg.settings.manage‎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</w:t>
      </w:r>
      <w:r>
        <w:rPr>
          <w:rFonts w:ascii="Arial" w:cs="Arial" w:eastAsia="Arial" w:hAnsi="Arial"/>
          <w:color w:val="E0A800"/>
          <w:sz w:val="21"/>
          <w:szCs w:val="21"/>
          <w:rtl/>
        </w:rPr>
        <w:t xml:space="preserve">●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قبل: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تعريفات cfg.SettingDefinition مبذورة بحدودها (db/model/10-platform.model:426-436).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بعد: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صفوف cfg.TenantSetting؛ تغيير مفتاح أمني يُدقَّق بالقيمتين القديمة والجديدة.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يغطي: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FR-PLT-043، FR-PLT-034، BR-PLT-018</w:t>
      </w:r>
    </w:p>
    <w:p>
      <w:pPr>
        <w:bidi/>
        <w:spacing w:after="60" w:before="0"/>
      </w:pPr>
    </w:p>
    <w:p>
      <w:pPr>
        <w:pStyle w:val="ListParagraph"/>
        <w:numPr>
          <w:ilvl w:val="0"/>
          <w:numId w:val="19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يفتح TA شاشة الأمان والإعدادات.</w:t>
      </w:r>
    </w:p>
    <w:p>
      <w:pPr>
        <w:pStyle w:val="ListParagraph"/>
        <w:numPr>
          <w:ilvl w:val="0"/>
          <w:numId w:val="19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يعدّل مفتاحًا: سياسة كلمة المرور، المهل، مدة إعادة الإخفاء، العتبات، ساعات العمل.</w:t>
      </w:r>
    </w:p>
    <w:p>
      <w:pPr>
        <w:pStyle w:val="ListParagraph"/>
        <w:numPr>
          <w:ilvl w:val="0"/>
          <w:numId w:val="19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يتحقق النظام من الحد الأدنى والأقصى للمنصة.</w:t>
      </w:r>
    </w:p>
    <w:p>
      <w:pPr>
        <w:pStyle w:val="ListParagraph"/>
        <w:numPr>
          <w:ilvl w:val="0"/>
          <w:numId w:val="19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يحفظ ويُدقِّق.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بديل وخطأ: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3أ. قيمة أضعف من حد المنصة (مثل إعادة إخفاء 5 ثوانٍ والحد 15): تُرفض بالسبب.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3ب. نافذة عمل أقل من 4 ساعات أو أكثر من 12: تُرفض (FR-PLT-043).</w:t>
      </w:r>
    </w:p>
    <w:p>
      <w:pPr>
        <w:bidi/>
        <w:spacing w:after="60" w:before="0"/>
      </w:pPr>
    </w:p>
    <w:p>
      <w:pPr>
        <w:pStyle w:val="Heading2"/>
        <w:bidi/>
      </w:pPr>
      <w:bookmarkStart w:name="_sec29" w:id="29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UC-PLT-18 — تعريف سلسلة ترقيم وإلغاء رقم</w:t>
      </w:r>
      <w:bookmarkEnd w:id="29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الفاعل · الشريحة · الصلاحية: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TA · S0 ·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‎cfg.numbering.manage‎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</w:t>
      </w:r>
      <w:r>
        <w:rPr>
          <w:rFonts w:ascii="Arial" w:cs="Arial" w:eastAsia="Arial" w:hAnsi="Arial"/>
          <w:color w:val="E0A800"/>
          <w:sz w:val="21"/>
          <w:szCs w:val="21"/>
          <w:rtl/>
        </w:rPr>
        <w:t xml:space="preserve">●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قبل: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لا شيء.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بعد: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تعريف في cfg.NumberSequenceDefinition؛ أو رقم بحالة VOID بسببه.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يغطي: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FR-PLT-026، BR-PLT-010، BR-ORG-001؛ AC-PLT-3، AC-ORG-3</w:t>
      </w:r>
    </w:p>
    <w:p>
      <w:pPr>
        <w:bidi/>
        <w:spacing w:after="60" w:before="0"/>
      </w:pPr>
    </w:p>
    <w:p>
      <w:pPr>
        <w:pStyle w:val="ListParagraph"/>
        <w:numPr>
          <w:ilvl w:val="0"/>
          <w:numId w:val="20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يفتح TA شاشة الترقيم ويختار «تعريف جديد».</w:t>
      </w:r>
    </w:p>
    <w:p>
      <w:pPr>
        <w:pStyle w:val="ListParagraph"/>
        <w:numPr>
          <w:ilvl w:val="0"/>
          <w:numId w:val="20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يُدخل المفتاح والصيغة بالوسوم والمستوى (مشترك أو شركة) وأساس الفترة وسياسة الفجوات.</w:t>
      </w:r>
    </w:p>
    <w:p>
      <w:pPr>
        <w:pStyle w:val="ListParagraph"/>
        <w:numPr>
          <w:ilvl w:val="0"/>
          <w:numId w:val="20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يعرض النظام معاينة الصيغة.</w:t>
      </w:r>
    </w:p>
    <w:p>
      <w:pPr>
        <w:pStyle w:val="ListParagraph"/>
        <w:numPr>
          <w:ilvl w:val="0"/>
          <w:numId w:val="20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يحفظ.</w:t>
      </w:r>
    </w:p>
    <w:p>
      <w:pPr>
        <w:pStyle w:val="ListParagraph"/>
        <w:numPr>
          <w:ilvl w:val="0"/>
          <w:numId w:val="20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للإلغاء: يختار رقمًا صادرًا ويكتب السبب، فيصير VOID ولا يُعاد.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بديل وخطأ: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2أ. صيغة غير صالحة: تُرفض.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4أ. تفعيل تعريف PROFORMA مع رمز ERP مكرر بين شركات غير مؤرشفة: يُرفض بقائمة الشركات (BR-ORG-001).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ملاحظة: معنى «بلا فجوات» قرار مفتوح: O-12 (erd_open_items).</w:t>
      </w:r>
    </w:p>
    <w:p>
      <w:pPr>
        <w:bidi/>
        <w:spacing w:after="60" w:before="0"/>
      </w:pPr>
    </w:p>
    <w:p>
      <w:pPr>
        <w:pStyle w:val="Heading2"/>
        <w:bidi/>
      </w:pPr>
      <w:bookmarkStart w:name="_sec30" w:id="30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UC-PLT-19 — تخصيص رقم</w:t>
      </w:r>
      <w:bookmarkEnd w:id="30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الفاعل · الشريحة · الصلاحية: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وحدة مستدعية (نظام) · S0 · صلاحية الإجراء المستدعي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قبل: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تعريف فعّال للمفتاح.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بعد: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صف cfg.NumberIssue بحالة ISSUED داخل معاملة المستدعي.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يغطي: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FR-PLT-026، BR-PLT-010؛ AC-PLT-3</w:t>
      </w:r>
    </w:p>
    <w:p>
      <w:pPr>
        <w:bidi/>
        <w:spacing w:after="60" w:before="0"/>
      </w:pPr>
    </w:p>
    <w:p>
      <w:pPr>
        <w:pStyle w:val="ListParagraph"/>
        <w:numPr>
          <w:ilvl w:val="0"/>
          <w:numId w:val="21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تطلب الوحدة رقمًا بالمفتاح والشركة والتاريخ.</w:t>
      </w:r>
    </w:p>
    <w:p>
      <w:pPr>
        <w:pStyle w:val="ListParagraph"/>
        <w:numPr>
          <w:ilvl w:val="0"/>
          <w:numId w:val="21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يقفل النظام صف العدّاد (التعريف، الشركة، الفترة) داخل معاملة المستدعي.</w:t>
      </w:r>
    </w:p>
    <w:p>
      <w:pPr>
        <w:pStyle w:val="ListParagraph"/>
        <w:numPr>
          <w:ilvl w:val="0"/>
          <w:numId w:val="21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يبني الرقم من الصيغة ويزيد العدّاد.</w:t>
      </w:r>
    </w:p>
    <w:p>
      <w:pPr>
        <w:pStyle w:val="ListParagraph"/>
        <w:numPr>
          <w:ilvl w:val="0"/>
          <w:numId w:val="21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يكتب الرقم الصادر.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بديل وخطأ: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2أ. طلبان متزامنان: يُسلسلان فلا يتكرر رقم.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4أ. تراجع معاملة المستدعي: يتراجع الرقم معها فلا يضيع.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3أ. تجاوز عرض القالب: يتسع العرض ولا يُقتطع.</w:t>
      </w:r>
    </w:p>
    <w:p>
      <w:pPr>
        <w:bidi/>
        <w:spacing w:after="60" w:before="0"/>
      </w:pPr>
    </w:p>
    <w:p>
      <w:pPr>
        <w:pStyle w:val="Heading2"/>
        <w:bidi/>
      </w:pPr>
      <w:bookmarkStart w:name="_sec31" w:id="31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UC-PLT-20 — عرض سجل التدقيق وتصديره</w:t>
      </w:r>
      <w:bookmarkEnd w:id="31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الفاعل · الشريحة · الصلاحية: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TA أو AU؛ TM محدود · S0 ·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‎audit.view‎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أو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‎audit.view.treasury‎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؛ والتصدير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‎audit.export‎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</w:t>
      </w:r>
      <w:r>
        <w:rPr>
          <w:rFonts w:ascii="Arial" w:cs="Arial" w:eastAsia="Arial" w:hAnsi="Arial"/>
          <w:color w:val="E0A800"/>
          <w:sz w:val="21"/>
          <w:szCs w:val="21"/>
          <w:rtl/>
        </w:rPr>
        <w:t xml:space="preserve">●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قبل: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جلسة مصادقة.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بعد: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حدث AUDIT_VIEWED؛ والتصدير مدقَّق بشدة عالية.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يغطي: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FR-PLT-022، FR-PLT-023، FR-PLT-024، BR-PLT-008، BR-PLT-009</w:t>
      </w:r>
    </w:p>
    <w:p>
      <w:pPr>
        <w:bidi/>
        <w:spacing w:after="60" w:before="0"/>
      </w:pPr>
    </w:p>
    <w:p>
      <w:pPr>
        <w:pStyle w:val="ListParagraph"/>
        <w:numPr>
          <w:ilvl w:val="0"/>
          <w:numId w:val="2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يفتح المستخدم سجل التدقيق فيُسجَّل AUDIT_VIEWED.</w:t>
      </w:r>
    </w:p>
    <w:p>
      <w:pPr>
        <w:pStyle w:val="ListParagraph"/>
        <w:numPr>
          <w:ilvl w:val="0"/>
          <w:numId w:val="2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يصفّي بالفاعل والكيان والفترة والنوع والشركة والشدة.</w:t>
      </w:r>
    </w:p>
    <w:p>
      <w:pPr>
        <w:pStyle w:val="ListParagraph"/>
        <w:numPr>
          <w:ilvl w:val="0"/>
          <w:numId w:val="2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يفتح حدثًا فيرى القيم قبل وبعد مقنَّعة.</w:t>
      </w:r>
    </w:p>
    <w:p>
      <w:pPr>
        <w:pStyle w:val="ListParagraph"/>
        <w:numPr>
          <w:ilvl w:val="0"/>
          <w:numId w:val="2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يختار «تصدير».</w:t>
      </w:r>
    </w:p>
    <w:p>
      <w:pPr>
        <w:pStyle w:val="ListParagraph"/>
        <w:numPr>
          <w:ilvl w:val="0"/>
          <w:numId w:val="2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يطلب النظام إعادة المصادقة ثم يولّد الملف ويُدقِّق التصدير.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بديل وخطأ: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1أ. TM يرى أحداث بيانات الخزينة وكشف الهويات فقط؛ FO بلا عرض (403).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2أ. أحداث المنصة (TenantId فارغ) لا تظهر لأي مستخدم مشترك (BR-PLT-001).</w:t>
      </w:r>
    </w:p>
    <w:p>
      <w:pPr>
        <w:bidi/>
        <w:spacing w:after="60" w:before="0"/>
      </w:pPr>
    </w:p>
    <w:p>
      <w:pPr>
        <w:pStyle w:val="Heading2"/>
        <w:bidi/>
      </w:pPr>
      <w:bookmarkStart w:name="_sec32" w:id="32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UC-PLT-21 — رفع مستند أو إصدار جديد</w:t>
      </w:r>
      <w:bookmarkEnd w:id="32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الفاعل · الشريحة · الصلاحية: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مستخدم يملك صلاحية إدارة الكيان المالك · S0 (الخدمة)، وأول شاشة أعمال في S1 (DQ-F07-4) · صلاحية الكيان (مثل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‎org.document.manage‎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)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قبل: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نوع مستند معرّف (DocumentType من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‎11‎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بعد: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doc.Document وdoc.DocumentVersion وdoc.DocumentLink؛ بصمة SHA-256 يحسبها الخادم؛ حدث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‎document.uploaded‎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يغطي: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FR-PLT-027، FR-PLT-028، FR-PLT-029، BR-PLT-011</w:t>
      </w:r>
    </w:p>
    <w:p>
      <w:pPr>
        <w:bidi/>
        <w:spacing w:after="60" w:before="0"/>
      </w:pPr>
    </w:p>
    <w:p>
      <w:pPr>
        <w:pStyle w:val="ListParagraph"/>
        <w:numPr>
          <w:ilvl w:val="0"/>
          <w:numId w:val="23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يختار المستخدم النوع والملف وبيانات المستند (الرقم، التواريخ، جهة الإصدار).</w:t>
      </w:r>
    </w:p>
    <w:p>
      <w:pPr>
        <w:pStyle w:val="ListParagraph"/>
        <w:numPr>
          <w:ilvl w:val="0"/>
          <w:numId w:val="23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يفحص الخادم النوع بالمحتوى لا بالامتداد، والحجم (25 ميغابايت افتراضيًا).</w:t>
      </w:r>
    </w:p>
    <w:p>
      <w:pPr>
        <w:pStyle w:val="ListParagraph"/>
        <w:numPr>
          <w:ilvl w:val="0"/>
          <w:numId w:val="23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يحسب البصمة ويحفظ الإصدار بحالة PENDING ويرسله للفحص.</w:t>
      </w:r>
    </w:p>
    <w:p>
      <w:pPr>
        <w:pStyle w:val="ListParagraph"/>
        <w:numPr>
          <w:ilvl w:val="0"/>
          <w:numId w:val="23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يصير الإصدار CLEAN ويُتاح.</w:t>
      </w:r>
    </w:p>
    <w:p>
      <w:pPr>
        <w:pStyle w:val="ListParagraph"/>
        <w:numPr>
          <w:ilvl w:val="0"/>
          <w:numId w:val="23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يربط المستند بالكيان مع الدور والصفحة المرجعية.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بديل وخطأ: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1أ. نوع RequiresExpiry بلا تاريخ انتهاء: يُرفض.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2أ. ملف تنفيذي بامتداد pdf: يُرفض.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3أ. بصمة مطابقة لملف سابق: تنبيه ولا منع.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4أ. ملف مشبوه: QUARANTINED ولا يُنزَّل.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1ب. إصدار جديد لمستند قائم: VersionNo + 1 والسابق ثابت.</w:t>
      </w:r>
    </w:p>
    <w:p>
      <w:pPr>
        <w:bidi/>
        <w:spacing w:after="60" w:before="0"/>
      </w:pPr>
    </w:p>
    <w:p>
      <w:pPr>
        <w:pStyle w:val="Heading2"/>
        <w:bidi/>
      </w:pPr>
      <w:bookmarkStart w:name="_sec33" w:id="33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UC-PLT-22 — تنزيل مستند أو معاينته</w:t>
      </w:r>
      <w:bookmarkEnd w:id="33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الفاعل · الشريحة · الصلاحية: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مستخدم ضمن النطاق · S0 · صلاحية عرض الكيان، و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‎party.identity.image.view‎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</w:t>
      </w:r>
      <w:r>
        <w:rPr>
          <w:rFonts w:ascii="Arial" w:cs="Arial" w:eastAsia="Arial" w:hAnsi="Arial"/>
          <w:color w:val="7A1F1F"/>
          <w:sz w:val="21"/>
          <w:szCs w:val="21"/>
          <w:rtl/>
        </w:rPr>
        <w:t xml:space="preserve">◆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للنوع IsSensitive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قبل: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إصدار CLEAN.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بعد: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تنزيل مدقَّق؛ والمقيّد في aud.SensitiveAccessLog.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يغطي: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FR-PLT-030، BR-PTY-010</w:t>
      </w:r>
    </w:p>
    <w:p>
      <w:pPr>
        <w:bidi/>
        <w:spacing w:after="60" w:before="0"/>
      </w:pPr>
    </w:p>
    <w:p>
      <w:pPr>
        <w:pStyle w:val="ListParagraph"/>
        <w:numPr>
          <w:ilvl w:val="0"/>
          <w:numId w:val="24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يطلب المستخدم المستند من نقطة مصرَّحة.</w:t>
      </w:r>
    </w:p>
    <w:p>
      <w:pPr>
        <w:pStyle w:val="ListParagraph"/>
        <w:numPr>
          <w:ilvl w:val="0"/>
          <w:numId w:val="24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يتحقق النظام من الصلاحية والنطاق، ومن صلاحية الكشف للنوع الحساس.</w:t>
      </w:r>
    </w:p>
    <w:p>
      <w:pPr>
        <w:pStyle w:val="ListParagraph"/>
        <w:numPr>
          <w:ilvl w:val="0"/>
          <w:numId w:val="24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يبث الملف بلا رابط مباشر.</w:t>
      </w:r>
    </w:p>
    <w:p>
      <w:pPr>
        <w:pStyle w:val="ListParagraph"/>
        <w:numPr>
          <w:ilvl w:val="0"/>
          <w:numId w:val="24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يُسجَّل التنزيل.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بديل وخطأ: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2أ. بلا صلاحية: 403 للملف وللمصغّرة.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2ب. إصدار PENDING أو QUARANTINED: يُرفض.</w:t>
      </w:r>
    </w:p>
    <w:p>
      <w:pPr>
        <w:bidi/>
        <w:spacing w:after="60" w:before="0"/>
      </w:pPr>
    </w:p>
    <w:p>
      <w:pPr>
        <w:pStyle w:val="Heading2"/>
        <w:bidi/>
      </w:pPr>
      <w:bookmarkStart w:name="_sec34" w:id="34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UC-PLT-23 — تفضيلاتي</w:t>
      </w:r>
      <w:bookmarkEnd w:id="34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الفاعل · الشريحة · الصلاحية: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مستخدم المشترك · S0 (Should) · مستخدم مصادق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قبل: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جلسة.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بعد: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AppUser.PreferredLanguage وDigitsPreference (db/model/10-platform.model:120-121).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يغطي: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FR-PLT-034، FR-PLT-032</w:t>
      </w:r>
    </w:p>
    <w:p>
      <w:pPr>
        <w:bidi/>
        <w:spacing w:after="60" w:before="0"/>
      </w:pPr>
    </w:p>
    <w:p>
      <w:pPr>
        <w:pStyle w:val="ListParagraph"/>
        <w:numPr>
          <w:ilvl w:val="0"/>
          <w:numId w:val="25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يفتح المستخدم «تفضيلاتي».</w:t>
      </w:r>
    </w:p>
    <w:p>
      <w:pPr>
        <w:pStyle w:val="ListParagraph"/>
        <w:numPr>
          <w:ilvl w:val="0"/>
          <w:numId w:val="25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يختار اللغة (الإنجليزية الآن، والعربية حين تُضاف) وشكل الأرقام.</w:t>
      </w:r>
    </w:p>
    <w:p>
      <w:pPr>
        <w:pStyle w:val="ListParagraph"/>
        <w:numPr>
          <w:ilvl w:val="0"/>
          <w:numId w:val="25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يحفظ؛ العرض يتغير والتخزين لا.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بديل وخطأ: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2أ. قيمة فارغة تعني افتراضي المشترك.</w:t>
      </w:r>
    </w:p>
    <w:p>
      <w:pPr>
        <w:bidi/>
        <w:spacing w:after="60" w:before="0"/>
      </w:pPr>
    </w:p>
    <w:p>
      <w:pPr>
        <w:pStyle w:val="Heading2"/>
        <w:bidi/>
      </w:pPr>
      <w:bookmarkStart w:name="_sec35" w:id="35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UC-PLT-24 — متابعة المهام الخلفية</w:t>
      </w:r>
      <w:bookmarkEnd w:id="35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الفاعل · الشريحة · الصلاحية: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TA · S0 (Should) ·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‎cfg.jobs.view‎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</w:t>
      </w:r>
      <w:r>
        <w:rPr>
          <w:rFonts w:ascii="Arial" w:cs="Arial" w:eastAsia="Arial" w:hAnsi="Arial"/>
          <w:color w:val="E0A800"/>
          <w:sz w:val="21"/>
          <w:szCs w:val="21"/>
          <w:rtl/>
        </w:rPr>
        <w:t xml:space="preserve">●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قبل: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جلسة.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بعد: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لا تغيير.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يغطي: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FR-PLT-044</w:t>
      </w:r>
    </w:p>
    <w:p>
      <w:pPr>
        <w:bidi/>
        <w:spacing w:after="60" w:before="0"/>
      </w:pPr>
    </w:p>
    <w:p>
      <w:pPr>
        <w:pStyle w:val="ListParagraph"/>
        <w:numPr>
          <w:ilvl w:val="0"/>
          <w:numId w:val="26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يفتح TA شاشة المهام.</w:t>
      </w:r>
    </w:p>
    <w:p>
      <w:pPr>
        <w:pStyle w:val="ListParagraph"/>
        <w:numPr>
          <w:ilvl w:val="0"/>
          <w:numId w:val="26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يرى لكل مهمة آخر تشغيل ومدته ونتيجته من cfg.JobRun.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بديل وخطأ: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2أ. مهمة فاشلة: تظهر بحالتها وتُعاد خلال ساعة (FR-PLT-044).</w:t>
      </w:r>
    </w:p>
    <w:p>
      <w:pPr>
        <w:bidi/>
        <w:spacing w:after="60" w:before="0"/>
      </w:pPr>
    </w:p>
    <w:p>
      <w:pPr>
        <w:pStyle w:val="Heading2"/>
        <w:bidi/>
      </w:pPr>
      <w:bookmarkStart w:name="_sec36" w:id="36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UC-PLT-25 — قائمة البدء</w:t>
      </w:r>
      <w:bookmarkEnd w:id="36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الفاعل · الشريحة · الصلاحية: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TA · S0 (Could) ·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‎sec.user.manage‎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</w:t>
      </w:r>
      <w:r>
        <w:rPr>
          <w:rFonts w:ascii="Arial" w:cs="Arial" w:eastAsia="Arial" w:hAnsi="Arial"/>
          <w:color w:val="E0A800"/>
          <w:sz w:val="21"/>
          <w:szCs w:val="21"/>
          <w:rtl/>
        </w:rPr>
        <w:t xml:space="preserve">●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قبل: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مشترك جديد.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بعد: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لا تغيير؛ النسبة محسوبة من البيانات.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يغطي: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FR-PLT-009</w:t>
      </w:r>
    </w:p>
    <w:p>
      <w:pPr>
        <w:bidi/>
        <w:spacing w:after="60" w:before="0"/>
      </w:pPr>
    </w:p>
    <w:p>
      <w:pPr>
        <w:pStyle w:val="ListParagraph"/>
        <w:numPr>
          <w:ilvl w:val="0"/>
          <w:numId w:val="27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يعرض النظام الخطوات: شركات، مستخدمون وأدوار ونطاق، منشآت مالية.</w:t>
      </w:r>
    </w:p>
    <w:p>
      <w:pPr>
        <w:pStyle w:val="ListParagraph"/>
        <w:numPr>
          <w:ilvl w:val="0"/>
          <w:numId w:val="27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يحسب الإنجاز من البيانات الفعلية.</w:t>
      </w:r>
    </w:p>
    <w:p>
      <w:pPr>
        <w:pStyle w:val="ListParagraph"/>
        <w:numPr>
          <w:ilvl w:val="0"/>
          <w:numId w:val="27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يفتح TA الخطوة التالية من الرابط.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بديل وخطأ: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1أ. وحدة الخطوة معطّلة (INSTITUTIONS مثلًا): تُخفى الخطوة.</w:t>
      </w:r>
    </w:p>
    <w:p>
      <w:pPr>
        <w:bidi/>
        <w:spacing w:after="60" w:before="0"/>
      </w:pPr>
    </w:p>
    <w:p>
      <w:pPr>
        <w:pStyle w:val="Heading2"/>
        <w:bidi/>
      </w:pPr>
      <w:bookmarkStart w:name="_sec37" w:id="37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UC-PLT-26 — مهام دورة حياة المشترك</w:t>
      </w:r>
      <w:bookmarkEnd w:id="37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الفاعل · الشريحة · الصلاحية: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النظام · S0 · حساب الخدمة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قبل: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مهمة منصة يومية </w:t>
      </w:r>
      <w:r>
        <w:rPr>
          <w:rFonts w:ascii="Arial" w:cs="Arial" w:eastAsia="Arial" w:hAnsi="Arial"/>
          <w:color w:val="E0A800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(DQ-F05-6).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بعد: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انتقالات آلية مسجّلة بالفاعل SYSTEM أو JOB.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يغطي: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FR-PLT-002، FR-PLT-044، BR-PLT-002</w:t>
      </w:r>
    </w:p>
    <w:p>
      <w:pPr>
        <w:bidi/>
        <w:spacing w:after="60" w:before="0"/>
      </w:pPr>
    </w:p>
    <w:p>
      <w:pPr>
        <w:pStyle w:val="ListParagraph"/>
        <w:numPr>
          <w:ilvl w:val="0"/>
          <w:numId w:val="28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تختار المهمة المشتركين المعنيين.</w:t>
      </w:r>
    </w:p>
    <w:p>
      <w:pPr>
        <w:pStyle w:val="ListParagraph"/>
        <w:numPr>
          <w:ilvl w:val="0"/>
          <w:numId w:val="28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ترسل تنبيه نهاية التجربة قبل 7 و3 و1 أيام (PLT.TRIAL_ENDING).</w:t>
      </w:r>
    </w:p>
    <w:p>
      <w:pPr>
        <w:pStyle w:val="ListParagraph"/>
        <w:numPr>
          <w:ilvl w:val="0"/>
          <w:numId w:val="28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تنقل التجربة المنتهية إلى SUSPENDED.</w:t>
      </w:r>
    </w:p>
    <w:p>
      <w:pPr>
        <w:pStyle w:val="ListParagraph"/>
        <w:numPr>
          <w:ilvl w:val="0"/>
          <w:numId w:val="28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تنقل CLOSED بعد 30 يومًا إلى ARCHIVED_READ_ONLY.</w:t>
      </w:r>
    </w:p>
    <w:p>
      <w:pPr>
        <w:pStyle w:val="ListParagraph"/>
        <w:numPr>
          <w:ilvl w:val="0"/>
          <w:numId w:val="28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تسجّل التشغيل في cfg.JobRun.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بديل وخطأ: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3أ. مدّد المشغّل التجربة: لا انتقال.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5أ. فشل: إعادة محاولة وسجل الفشل. تعريف الحدث والمهمة في DOC-F05.</w:t>
      </w:r>
    </w:p>
    <w:p>
      <w:pPr>
        <w:bidi/>
        <w:spacing w:after="60" w:before="0"/>
      </w:pPr>
    </w:p>
    <w:p>
      <w:pPr>
        <w:pStyle w:val="Heading2"/>
        <w:bidi/>
      </w:pPr>
      <w:bookmarkStart w:name="_sec38" w:id="38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UC-PLT-27 — تدوير مفتاح بيانات المشترك</w:t>
      </w:r>
      <w:bookmarkEnd w:id="38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الفاعل · الشريحة · الصلاحية: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المشغّل أو النظام · S0 · OPERATOR_ADMIN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قبل: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مفتاح بيانات فعّال في sec.TenantKey.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بعد: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مفتاح جديد؛ إعادة تشفير تدريجية؛ حدث في sec.KeyEvent بشدة عالية.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يغطي: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FR-PLT-037، BR-PLT-015</w:t>
      </w:r>
    </w:p>
    <w:p>
      <w:pPr>
        <w:bidi/>
        <w:spacing w:after="60" w:before="0"/>
      </w:pPr>
    </w:p>
    <w:p>
      <w:pPr>
        <w:pStyle w:val="ListParagraph"/>
        <w:numPr>
          <w:ilvl w:val="0"/>
          <w:numId w:val="29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يطلب المشغّل التدوير أو يحل موعده.</w:t>
      </w:r>
    </w:p>
    <w:p>
      <w:pPr>
        <w:pStyle w:val="ListParagraph"/>
        <w:numPr>
          <w:ilvl w:val="0"/>
          <w:numId w:val="29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ينشئ النظام مفتاحًا جديدًا ملفوفًا بالمفتاح الرئيسي.</w:t>
      </w:r>
    </w:p>
    <w:p>
      <w:pPr>
        <w:pStyle w:val="ListParagraph"/>
        <w:numPr>
          <w:ilvl w:val="0"/>
          <w:numId w:val="29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تعيد مهمة خلفية تشفير الأعمدة تدريجيًا.</w:t>
      </w:r>
    </w:p>
    <w:p>
      <w:pPr>
        <w:pStyle w:val="ListParagraph"/>
        <w:numPr>
          <w:ilvl w:val="0"/>
          <w:numId w:val="29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تبقى البيانات القديمة والجديدة مقروءة طوال التدوير.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بديل وخطأ: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3أ. توقف المهمة: تستأنف من حيث توقفت. السياسة والحفظ في DOC-S02.</w:t>
      </w:r>
    </w:p>
    <w:p>
      <w:pPr>
        <w:bidi/>
        <w:spacing w:after="60" w:before="0"/>
      </w:pPr>
    </w:p>
    <w:p>
      <w:pPr>
        <w:pStyle w:val="Heading1"/>
        <w:bidi/>
      </w:pPr>
      <w:bookmarkStart w:name="_sec39" w:id="39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6. حالات M0 خارج S0 (مختصرة)</w:t>
      </w:r>
      <w:bookmarkEnd w:id="39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الشروط المسبقة المشتركة: جلسة مصادقة، ووحدة CORE فعّالة.</w:t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3"/>
        <w:gridCol w:w="2624"/>
        <w:gridCol w:w="2247"/>
        <w:gridCol w:w="2497"/>
        <w:gridCol w:w="1373"/>
      </w:tblGrid>
      <w:tr>
        <w:trPr>
          <w:cantSplit/>
          <w:tblHeader/>
        </w:trPr>
        <w:tc>
          <w:tcPr>
            <w:tcW w:type="dxa" w:w="112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المعرّف والاسم</w:t>
            </w:r>
          </w:p>
        </w:tc>
        <w:tc>
          <w:tcPr>
            <w:tcW w:type="dxa" w:w="262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الفاعل · الصلاحية</w:t>
            </w:r>
          </w:p>
        </w:tc>
        <w:tc>
          <w:tcPr>
            <w:tcW w:type="dxa" w:w="224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المسار المختصر</w:t>
            </w:r>
          </w:p>
        </w:tc>
        <w:tc>
          <w:tcPr>
            <w:tcW w:type="dxa" w:w="249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البديل والخطأ</w:t>
            </w:r>
          </w:p>
        </w:tc>
        <w:tc>
          <w:tcPr>
            <w:tcW w:type="dxa" w:w="137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يغطي · الشريحة</w:t>
            </w:r>
          </w:p>
        </w:tc>
      </w:tr>
      <w:tr>
        <w:trPr>
          <w:cantSplit/>
        </w:trPr>
        <w:tc>
          <w:tcPr>
            <w:tcW w:type="dxa" w:w="112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UC-PLT-28 قواعد تنبيه الانتهاء</w:t>
            </w:r>
          </w:p>
        </w:tc>
        <w:tc>
          <w:tcPr>
            <w:tcW w:type="dxa" w:w="262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TA أو TM ·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‎cfg.alerts.manage‎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</w:p>
        </w:tc>
        <w:tc>
          <w:tcPr>
            <w:tcW w:type="dxa" w:w="224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(1) اختيار نوع العنصر (2) العتبات والمستلمون بالدور (3) حفظ</w:t>
            </w:r>
          </w:p>
        </w:tc>
        <w:tc>
          <w:tcPr>
            <w:tcW w:type="dxa" w:w="249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عتبات غير تنازلية تُرفض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</w:p>
        </w:tc>
        <w:tc>
          <w:tcPr>
            <w:tcW w:type="dxa" w:w="137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FR-PLT-038، BR-PLT-013 · S1</w:t>
            </w:r>
          </w:p>
        </w:tc>
      </w:tr>
      <w:tr>
        <w:trPr>
          <w:cantSplit/>
        </w:trPr>
        <w:tc>
          <w:tcPr>
            <w:tcW w:type="dxa" w:w="112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UC-PLT-29 مهمة تنبيه الانتهاء اليومية</w:t>
            </w:r>
          </w:p>
        </w:tc>
        <w:tc>
          <w:tcPr>
            <w:tcW w:type="dxa" w:w="262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النظام</w:t>
            </w:r>
          </w:p>
        </w:tc>
        <w:tc>
          <w:tcPr>
            <w:tcW w:type="dxa" w:w="224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(1) تقييم كل عنصر (2) حدث واحد لكل (عنصر، عتبة) (3) سجل في cfg.ExpiryAlertLog</w:t>
            </w:r>
          </w:p>
        </w:tc>
        <w:tc>
          <w:tcPr>
            <w:tcW w:type="dxa" w:w="249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تشغيل مكرر في اليوم نفسه لا يكرر؛ تجديد التاريخ يصفّر العتبات</w:t>
            </w:r>
          </w:p>
        </w:tc>
        <w:tc>
          <w:tcPr>
            <w:tcW w:type="dxa" w:w="137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FR-PLT-038، FR-ORG-013، FR-ORG-022، FR-ORG-028، FR-PTY-021 · S1</w:t>
            </w:r>
          </w:p>
        </w:tc>
      </w:tr>
      <w:tr>
        <w:trPr>
          <w:cantSplit/>
        </w:trPr>
        <w:tc>
          <w:tcPr>
            <w:tcW w:type="dxa" w:w="112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UC-PLT-30 فحص سلامة التدقيق والملفات</w:t>
            </w:r>
          </w:p>
        </w:tc>
        <w:tc>
          <w:tcPr>
            <w:tcW w:type="dxa" w:w="262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النظام</w:t>
            </w:r>
          </w:p>
        </w:tc>
        <w:tc>
          <w:tcPr>
            <w:tcW w:type="dxa" w:w="224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(1) إعادة حساب سلسلة البصمات والملفات (2) تقرير (3) تنبيه عند اختلاف</w:t>
            </w:r>
          </w:p>
        </w:tc>
        <w:tc>
          <w:tcPr>
            <w:tcW w:type="dxa" w:w="249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المرساة الخارجية قرار O-13 (20-database-design)</w:t>
            </w:r>
          </w:p>
        </w:tc>
        <w:tc>
          <w:tcPr>
            <w:tcW w:type="dxa" w:w="137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FR-PLT-025، FR-PLT-031 · S2</w:t>
            </w:r>
          </w:p>
        </w:tc>
      </w:tr>
      <w:tr>
        <w:trPr>
          <w:cantSplit/>
        </w:trPr>
        <w:tc>
          <w:tcPr>
            <w:tcW w:type="dxa" w:w="112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UC-PLT-31 طلب تصدير بيانات المشترك</w:t>
            </w:r>
          </w:p>
        </w:tc>
        <w:tc>
          <w:tcPr>
            <w:tcW w:type="dxa" w:w="262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TA ·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‎cfg.export.request‎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</w:p>
        </w:tc>
        <w:tc>
          <w:tcPr>
            <w:tcW w:type="dxa" w:w="224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(1) طلب (2) موافقة حامل الكشف للمقيّد (3) حزمة مختومة بكلمة (4) تنزيل</w:t>
            </w:r>
          </w:p>
        </w:tc>
        <w:tc>
          <w:tcPr>
            <w:tcW w:type="dxa" w:w="249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بلا صلاحية كشف: حزمة بلا أرقام كاملة ولا صور</w:t>
            </w:r>
          </w:p>
        </w:tc>
        <w:tc>
          <w:tcPr>
            <w:tcW w:type="dxa" w:w="137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FR-PLT-039، BR-PLT-016 · S5</w:t>
            </w:r>
          </w:p>
        </w:tc>
      </w:tr>
      <w:tr>
        <w:trPr>
          <w:cantSplit/>
        </w:trPr>
        <w:tc>
          <w:tcPr>
            <w:tcW w:type="dxa" w:w="112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UC-PLT-32 الاحتفاظ والإتلاف</w:t>
            </w:r>
          </w:p>
        </w:tc>
        <w:tc>
          <w:tcPr>
            <w:tcW w:type="dxa" w:w="262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TA؛ المشغّل للمؤرشف ·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‎cfg.retention.approve‎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</w:p>
        </w:tc>
        <w:tc>
          <w:tcPr>
            <w:tcW w:type="dxa" w:w="224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(1) تقرير المستحق (2) موافقة (3) إتلاف أو إخفاء مع أثر</w:t>
            </w:r>
          </w:p>
        </w:tc>
        <w:tc>
          <w:tcPr>
            <w:tcW w:type="dxa" w:w="249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اقتراح لمؤرشف قبل المدة أو بلا موافقة خطية يُرفض</w:t>
            </w:r>
          </w:p>
        </w:tc>
        <w:tc>
          <w:tcPr>
            <w:tcW w:type="dxa" w:w="137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FR-PLT-040، BR-PLT-016 · S5</w:t>
            </w:r>
          </w:p>
        </w:tc>
      </w:tr>
      <w:tr>
        <w:trPr>
          <w:cantSplit/>
        </w:trPr>
        <w:tc>
          <w:tcPr>
            <w:tcW w:type="dxa" w:w="112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UC-PLT-33 ربط هوية خارجية (SSO)</w:t>
            </w:r>
          </w:p>
        </w:tc>
        <w:tc>
          <w:tcPr>
            <w:tcW w:type="dxa" w:w="262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TA ·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‎sec.user.manage‎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</w:p>
        </w:tc>
        <w:tc>
          <w:tcPr>
            <w:tcW w:type="dxa" w:w="224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(1) ضبط OIDC للمشترك (2) ربط المستخدم بهوية خارجية</w:t>
            </w:r>
          </w:p>
        </w:tc>
        <w:tc>
          <w:tcPr>
            <w:tcW w:type="dxa" w:w="249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بلا منح تلقائي لصلاحية حساسة</w:t>
            </w:r>
          </w:p>
        </w:tc>
        <w:tc>
          <w:tcPr>
            <w:tcW w:type="dxa" w:w="137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FR-PLT-015 · S5</w:t>
            </w:r>
          </w:p>
        </w:tc>
      </w:tr>
    </w:tbl>
    <w:p>
      <w:pPr>
        <w:bidi/>
        <w:spacing w:after="120" w:before="0"/>
      </w:pPr>
    </w:p>
    <w:p>
      <w:pPr>
        <w:pStyle w:val="Heading1"/>
        <w:bidi/>
      </w:pPr>
      <w:bookmarkStart w:name="_sec40" w:id="40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7. حالات M1: الهيكل المؤسسي (ORG)</w:t>
      </w:r>
      <w:bookmarkEnd w:id="40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الشروط المسبقة المشتركة: جلسة مصادقة، والشركة ضمن نطاق المستخدم. الشرط اللاحق المشترك: حدث تدقيق، وحدث طابور إرسال حيث ذُكر (docs/10-detailed-analysis/10-m0-m1-platform-organization.md:569).</w:t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78"/>
        <w:gridCol w:w="2760"/>
        <w:gridCol w:w="2343"/>
        <w:gridCol w:w="1315"/>
        <w:gridCol w:w="2068"/>
      </w:tblGrid>
      <w:tr>
        <w:trPr>
          <w:cantSplit/>
          <w:tblHeader/>
        </w:trPr>
        <w:tc>
          <w:tcPr>
            <w:tcW w:type="dxa" w:w="137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المعرّف والاسم</w:t>
            </w:r>
          </w:p>
        </w:tc>
        <w:tc>
          <w:tcPr>
            <w:tcW w:type="dxa" w:w="27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الفاعل · الصلاحية</w:t>
            </w:r>
          </w:p>
        </w:tc>
        <w:tc>
          <w:tcPr>
            <w:tcW w:type="dxa" w:w="234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المسار المختصر</w:t>
            </w:r>
          </w:p>
        </w:tc>
        <w:tc>
          <w:tcPr>
            <w:tcW w:type="dxa" w:w="131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البديل والخطأ</w:t>
            </w:r>
          </w:p>
        </w:tc>
        <w:tc>
          <w:tcPr>
            <w:tcW w:type="dxa" w:w="206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يغطي · الشريحة</w:t>
            </w:r>
          </w:p>
        </w:tc>
      </w:tr>
      <w:tr>
        <w:trPr>
          <w:cantSplit/>
        </w:trPr>
        <w:tc>
          <w:tcPr>
            <w:tcW w:type="dxa" w:w="137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UC-ORG-01 إنشاء شركة وتعديلها</w:t>
            </w:r>
          </w:p>
        </w:tc>
        <w:tc>
          <w:tcPr>
            <w:tcW w:type="dxa" w:w="27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TM أو TA؛ FO ◐ ·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‎org.company.manage‎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</w:p>
        </w:tc>
        <w:tc>
          <w:tcPr>
            <w:tcW w:type="dxa" w:w="234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(1) الرمز والاسمان والدولة والشكل القانوني وعلم القابضة (2) الأم (3) المعرّفات الرسمية ورمز ERP (4) السنة المالية والعملة (5) حفظ فتُنشأ Party المرآة؛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‎company.created‎</w:t>
            </w:r>
          </w:p>
        </w:tc>
        <w:tc>
          <w:tcPr>
            <w:tcW w:type="dxa" w:w="131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رمز مكرر يُرفض؛ أم من الأسلاف يُرفض؛ ERP مكرر خطأ أو تحذير بحسب PROFORMA</w:t>
            </w:r>
          </w:p>
        </w:tc>
        <w:tc>
          <w:tcPr>
            <w:tcW w:type="dxa" w:w="206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FR-ORG-001، FR-ORG-003، FR-ORG-004، FR-ORG-005، FR-ORG-006، FR-ORG-008، FR-ORG-009، FR-PTY-003، BR-ORG-001…004، BR-PTY-018 · S1</w:t>
            </w:r>
          </w:p>
        </w:tc>
      </w:tr>
      <w:tr>
        <w:trPr>
          <w:cantSplit/>
        </w:trPr>
        <w:tc>
          <w:tcPr>
            <w:tcW w:type="dxa" w:w="137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UC-ORG-02 نسب الضريبة</w:t>
            </w:r>
          </w:p>
        </w:tc>
        <w:tc>
          <w:tcPr>
            <w:tcW w:type="dxa" w:w="27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TM ·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‎org.company.manage‎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</w:p>
        </w:tc>
        <w:tc>
          <w:tcPr>
            <w:tcW w:type="dxa" w:w="234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(1) رمز الضريبة والنسبة وتاريخ السريان (2) حفظ يغلق السابق بيوم</w:t>
            </w:r>
          </w:p>
        </w:tc>
        <w:tc>
          <w:tcPr>
            <w:tcW w:type="dxa" w:w="131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تداخل الفترات يُرفض</w:t>
            </w:r>
          </w:p>
        </w:tc>
        <w:tc>
          <w:tcPr>
            <w:tcW w:type="dxa" w:w="206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FR-ORG-007، BR-ORG-005 · S1</w:t>
            </w:r>
          </w:p>
        </w:tc>
      </w:tr>
      <w:tr>
        <w:trPr>
          <w:cantSplit/>
        </w:trPr>
        <w:tc>
          <w:tcPr>
            <w:tcW w:type="dxa" w:w="137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UC-ORG-03 أرشفة شركة أو تغيير حالتها</w:t>
            </w:r>
          </w:p>
        </w:tc>
        <w:tc>
          <w:tcPr>
            <w:tcW w:type="dxa" w:w="27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TM أو TA ·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‎org.company.manage‎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</w:p>
        </w:tc>
        <w:tc>
          <w:tcPr>
            <w:tcW w:type="dxa" w:w="234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(1) اختيار الحالة (2) فحص الاستخدام النشط (3) حفظ؛ تُؤرشف المرآة؛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‎company.archived‎</w:t>
            </w:r>
          </w:p>
        </w:tc>
        <w:tc>
          <w:tcPr>
            <w:tcW w:type="dxa" w:w="131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تسهيل ساري أو طلب مفتوح أو مستخدم نطاقه الشركة: رفض بالسبب</w:t>
            </w:r>
          </w:p>
        </w:tc>
        <w:tc>
          <w:tcPr>
            <w:tcW w:type="dxa" w:w="206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FR-ORG-010، FR-ORG-001 · S1</w:t>
            </w:r>
          </w:p>
        </w:tc>
      </w:tr>
      <w:tr>
        <w:trPr>
          <w:cantSplit/>
        </w:trPr>
        <w:tc>
          <w:tcPr>
            <w:tcW w:type="dxa" w:w="137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UC-ORG-04 الكتالوجات المؤسسية</w:t>
            </w:r>
          </w:p>
        </w:tc>
        <w:tc>
          <w:tcPr>
            <w:tcW w:type="dxa" w:w="27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TA أو TM ·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‎org.catalog.manage‎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</w:p>
        </w:tc>
        <w:tc>
          <w:tcPr>
            <w:tcW w:type="dxa" w:w="234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(1) الأشكال القانونية أو المناصب أو أنواع الصلاحيات (2) إضافة أو تعطيل</w:t>
            </w:r>
          </w:p>
        </w:tc>
        <w:tc>
          <w:tcPr>
            <w:tcW w:type="dxa" w:w="131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المستخدم يُعطَّل ولا يُحذف؛ شكل لدولة أخرى يُرفض</w:t>
            </w:r>
          </w:p>
        </w:tc>
        <w:tc>
          <w:tcPr>
            <w:tcW w:type="dxa" w:w="206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FR-ORG-002، FR-ORG-021، FR-ORG-024، BR-ORG-016 · S1 (المناصب والأنواع S1-ب)</w:t>
            </w:r>
          </w:p>
        </w:tc>
      </w:tr>
      <w:tr>
        <w:trPr>
          <w:cantSplit/>
        </w:trPr>
        <w:tc>
          <w:tcPr>
            <w:tcW w:type="dxa" w:w="137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UC-ORG-05 الإدارات</w:t>
            </w:r>
          </w:p>
        </w:tc>
        <w:tc>
          <w:tcPr>
            <w:tcW w:type="dxa" w:w="27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TA ·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‎org.catalog.manage‎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</w:p>
        </w:tc>
        <w:tc>
          <w:tcPr>
            <w:tcW w:type="dxa" w:w="234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(1) الرمز والاسمان والوظيفة وعلم الخزينة والشركة الاختيارية والرئيس (2) حفظ</w:t>
            </w:r>
          </w:p>
        </w:tc>
        <w:tc>
          <w:tcPr>
            <w:tcW w:type="dxa" w:w="131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تعطيل إدارة فيها مستخدمون يُرفض؛ تحذير إن لم توجد إدارة خزينة</w:t>
            </w:r>
          </w:p>
        </w:tc>
        <w:tc>
          <w:tcPr>
            <w:tcW w:type="dxa" w:w="206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FR-ORG-014، BR-ORG-016 · S1</w:t>
            </w:r>
          </w:p>
        </w:tc>
      </w:tr>
      <w:tr>
        <w:trPr>
          <w:cantSplit/>
        </w:trPr>
        <w:tc>
          <w:tcPr>
            <w:tcW w:type="dxa" w:w="137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UC-ORG-06 المستندات الحكومية</w:t>
            </w:r>
          </w:p>
        </w:tc>
        <w:tc>
          <w:tcPr>
            <w:tcW w:type="dxa" w:w="27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TM أو FO؛ TA وTE ◐ ·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‎org.document.manage‎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</w:p>
        </w:tc>
        <w:tc>
          <w:tcPr>
            <w:tcW w:type="dxa" w:w="234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(1) من السجل العام أو تبويب الشركة (2) النوع والشركة والتواريخ (3) رفع (UC-PLT-21) (4) «يحل محل السابق» أو «إضافي»</w:t>
            </w:r>
          </w:p>
        </w:tc>
        <w:tc>
          <w:tcPr>
            <w:tcW w:type="dxa" w:w="131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نوع يشترط الانتهاء بلا تاريخ يُرفض</w:t>
            </w:r>
          </w:p>
        </w:tc>
        <w:tc>
          <w:tcPr>
            <w:tcW w:type="dxa" w:w="206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FR-ORG-011، FR-ORG-012، FR-ORG-013، BR-ORG-015 · S1</w:t>
            </w:r>
          </w:p>
        </w:tc>
      </w:tr>
      <w:tr>
        <w:trPr>
          <w:cantSplit/>
        </w:trPr>
        <w:tc>
          <w:tcPr>
            <w:tcW w:type="dxa" w:w="137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UC-ORG-07 تغيير الملكية</w:t>
            </w:r>
          </w:p>
        </w:tc>
        <w:tc>
          <w:tcPr>
            <w:tcW w:type="dxa" w:w="27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TM أو FO ·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‎org.ownership.manage‎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</w:p>
        </w:tc>
        <w:tc>
          <w:tcPr>
            <w:tcW w:type="dxa" w:w="234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(1) تاريخ السريان (2) تعديل الجدول من Party قائم أو جديد (3) مجموع حي (4) مستند المصدر (5) حفظ يغلق ويفتح في معاملة واحدة؛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‎ownership.changed‎</w:t>
            </w:r>
          </w:p>
        </w:tc>
        <w:tc>
          <w:tcPr>
            <w:tcW w:type="dxa" w:w="131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مجموع ≠ 100% يُرفض بالفرق؛ تاريخ قبل آخر تغيير بلا صلاحية تصحيح يُرفض</w:t>
            </w:r>
          </w:p>
        </w:tc>
        <w:tc>
          <w:tcPr>
            <w:tcW w:type="dxa" w:w="206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FR-ORG-015، FR-ORG-016، FR-ORG-017، BR-ORG-006، BR-ORG-007؛ AC-ORG-1 · S1-ب</w:t>
            </w:r>
          </w:p>
        </w:tc>
      </w:tr>
      <w:tr>
        <w:trPr>
          <w:cantSplit/>
        </w:trPr>
        <w:tc>
          <w:tcPr>
            <w:tcW w:type="dxa" w:w="137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UC-ORG-08 عرض الملكية بتاريخ</w:t>
            </w:r>
          </w:p>
        </w:tc>
        <w:tc>
          <w:tcPr>
            <w:tcW w:type="dxa" w:w="27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الخزينة ·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‎org.company.view‎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</w:p>
        </w:tc>
        <w:tc>
          <w:tcPr>
            <w:tcW w:type="dxa" w:w="234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(1) اختيار التاريخ (2) الجدول والسجل (3) الملكية الفعلية غير المباشرة</w:t>
            </w:r>
          </w:p>
        </w:tc>
        <w:tc>
          <w:tcPr>
            <w:tcW w:type="dxa" w:w="131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الدورات تُتجاهل بتحذير</w:t>
            </w:r>
          </w:p>
        </w:tc>
        <w:tc>
          <w:tcPr>
            <w:tcW w:type="dxa" w:w="206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FR-ORG-018، BR-ORG-008 · S1-ب</w:t>
            </w:r>
          </w:p>
        </w:tc>
      </w:tr>
      <w:tr>
        <w:trPr>
          <w:cantSplit/>
        </w:trPr>
        <w:tc>
          <w:tcPr>
            <w:tcW w:type="dxa" w:w="137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UC-ORG-09 الهيئات وأعضاؤها</w:t>
            </w:r>
          </w:p>
        </w:tc>
        <w:tc>
          <w:tcPr>
            <w:tcW w:type="dxa" w:w="27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TM أو FO ·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‎org.body.manage‎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</w:p>
        </w:tc>
        <w:tc>
          <w:tcPr>
            <w:tcW w:type="dxa" w:w="234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(1) إنشاء هيئة بمدة ومستند (2) إضافة عضو بمنصب ومدة وممثل (3) إنهاء عضوية</w:t>
            </w:r>
          </w:p>
        </w:tc>
        <w:tc>
          <w:tcPr>
            <w:tcW w:type="dxa" w:w="131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هيئتان فعّالتان من النوع نفسه، أو شاغلان لمنصب أحادي، يُرفضان</w:t>
            </w:r>
          </w:p>
        </w:tc>
        <w:tc>
          <w:tcPr>
            <w:tcW w:type="dxa" w:w="206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FR-ORG-019، FR-ORG-020، FR-ORG-022، BR-ORG-009، BR-ORG-010 · S1-ب</w:t>
            </w:r>
          </w:p>
        </w:tc>
      </w:tr>
      <w:tr>
        <w:trPr>
          <w:cantSplit/>
        </w:trPr>
        <w:tc>
          <w:tcPr>
            <w:tcW w:type="dxa" w:w="137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UC-ORG-10 إنشاء منحة صلاحية</w:t>
            </w:r>
          </w:p>
        </w:tc>
        <w:tc>
          <w:tcPr>
            <w:tcW w:type="dxa" w:w="27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TM أو FO ·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‎org.grant.create‎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</w:p>
        </w:tc>
        <w:tc>
          <w:tcPr>
            <w:tcW w:type="dxa" w:w="234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(1) الشركة والمانَح والنوع (2) السقف والعملة والتوقيع المشترك (3) الفترة ومستند المصدر وصفحته (4) إرسال للموافقة</w:t>
            </w:r>
          </w:p>
        </w:tc>
        <w:tc>
          <w:tcPr>
            <w:tcW w:type="dxa" w:w="131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سقف صفر يُرفض؛ بلا مستند تبقى Draft إلا باستثناء</w:t>
            </w:r>
          </w:p>
        </w:tc>
        <w:tc>
          <w:tcPr>
            <w:tcW w:type="dxa" w:w="206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FR-ORG-023، FR-ORG-026، BR-ORG-011…013 · S1-ب</w:t>
            </w:r>
          </w:p>
        </w:tc>
      </w:tr>
      <w:tr>
        <w:trPr>
          <w:cantSplit/>
        </w:trPr>
        <w:tc>
          <w:tcPr>
            <w:tcW w:type="dxa" w:w="137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UC-ORG-11 الموافقة على منحة</w:t>
            </w:r>
          </w:p>
        </w:tc>
        <w:tc>
          <w:tcPr>
            <w:tcW w:type="dxa" w:w="27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TM أو FO غير المنشئ ·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‎org.grant.approve‎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</w:p>
        </w:tc>
        <w:tc>
          <w:tcPr>
            <w:tcW w:type="dxa" w:w="234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(1) مراجعة (2) موافقة فتصير Active، أو رفض بسبب فتعود Draft؛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‎authority.granted‎</w:t>
            </w:r>
          </w:p>
        </w:tc>
        <w:tc>
          <w:tcPr>
            <w:tcW w:type="dxa" w:w="131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المنشئ لا يرى زر الموافقة</w:t>
            </w:r>
          </w:p>
        </w:tc>
        <w:tc>
          <w:tcPr>
            <w:tcW w:type="dxa" w:w="206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FR-ORG-026، BR-ORG-014 · S1-ب</w:t>
            </w:r>
          </w:p>
        </w:tc>
      </w:tr>
      <w:tr>
        <w:trPr>
          <w:cantSplit/>
        </w:trPr>
        <w:tc>
          <w:tcPr>
            <w:tcW w:type="dxa" w:w="137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UC-ORG-12 سحب منحة أو استبدالها</w:t>
            </w:r>
          </w:p>
        </w:tc>
        <w:tc>
          <w:tcPr>
            <w:tcW w:type="dxa" w:w="27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TM أو FO ·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‎org.grant.create‎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</w:p>
        </w:tc>
        <w:tc>
          <w:tcPr>
            <w:tcW w:type="dxa" w:w="234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(1) سحب بسبب وتاريخ؛ أو تعديل جوهري ينشئ منحة جديدة (2) القديمة Superseded؛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‎authority.revoked‎</w:t>
            </w:r>
          </w:p>
        </w:tc>
        <w:tc>
          <w:tcPr>
            <w:tcW w:type="dxa" w:w="131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المسحوبة تبقى في التقارير التاريخية</w:t>
            </w:r>
          </w:p>
        </w:tc>
        <w:tc>
          <w:tcPr>
            <w:tcW w:type="dxa" w:w="206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FR-ORG-028، BR-ORG-014 · S1-ب</w:t>
            </w:r>
          </w:p>
        </w:tc>
      </w:tr>
      <w:tr>
        <w:trPr>
          <w:cantSplit/>
        </w:trPr>
        <w:tc>
          <w:tcPr>
            <w:tcW w:type="dxa" w:w="137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UC-ORG-13 استعلام «من يستطيع؟» ومصفوفة الصلاحيات</w:t>
            </w:r>
          </w:p>
        </w:tc>
        <w:tc>
          <w:tcPr>
            <w:tcW w:type="dxa" w:w="27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الخزينة ·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‎org.company.view‎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</w:p>
        </w:tc>
        <w:tc>
          <w:tcPr>
            <w:tcW w:type="dxa" w:w="234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(1) النوع والمبلغ والعملة والتاريخ والبنك الاختياري (2) المنح المؤهلة بشروطها (3) طباعة المصفوفة</w:t>
            </w:r>
          </w:p>
        </w:tc>
        <w:tc>
          <w:tcPr>
            <w:tcW w:type="dxa" w:w="131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عملة مختلفة: «يحتاج مراجعة يدوية»</w:t>
            </w:r>
          </w:p>
        </w:tc>
        <w:tc>
          <w:tcPr>
            <w:tcW w:type="dxa" w:w="206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FR-ORG-025، FR-ORG-027، BR-ORG-011، BR-ORG-012؛ AC-ORG-2 · S1-ب</w:t>
            </w:r>
          </w:p>
        </w:tc>
      </w:tr>
      <w:tr>
        <w:trPr>
          <w:cantSplit/>
        </w:trPr>
        <w:tc>
          <w:tcPr>
            <w:tcW w:type="dxa" w:w="137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UC-ORG-14 تقرير تكامل الهيكل</w:t>
            </w:r>
          </w:p>
        </w:tc>
        <w:tc>
          <w:tcPr>
            <w:tcW w:type="dxa" w:w="27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الخزينة ·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‎org.company.view‎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</w:p>
        </w:tc>
        <w:tc>
          <w:tcPr>
            <w:tcW w:type="dxa" w:w="234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(1) البنود بأعدادها (2) فتح السجل للمعالجة</w:t>
            </w:r>
          </w:p>
        </w:tc>
        <w:tc>
          <w:tcPr>
            <w:tcW w:type="dxa" w:w="131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206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FR-ORG-029 · S1-ب</w:t>
            </w:r>
          </w:p>
        </w:tc>
      </w:tr>
      <w:tr>
        <w:trPr>
          <w:cantSplit/>
        </w:trPr>
        <w:tc>
          <w:tcPr>
            <w:tcW w:type="dxa" w:w="137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UC-ORG-15 رسم الهيكل</w:t>
            </w:r>
          </w:p>
        </w:tc>
        <w:tc>
          <w:tcPr>
            <w:tcW w:type="dxa" w:w="27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الخزينة ·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‎org.company.view‎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</w:p>
        </w:tc>
        <w:tc>
          <w:tcPr>
            <w:tcW w:type="dxa" w:w="234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(1) رسم من بيانات الشجرة نفسها</w:t>
            </w:r>
          </w:p>
        </w:tc>
        <w:tc>
          <w:tcPr>
            <w:tcW w:type="dxa" w:w="131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206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FR-ORG-031 · S5</w:t>
            </w:r>
          </w:p>
        </w:tc>
      </w:tr>
    </w:tbl>
    <w:p>
      <w:pPr>
        <w:bidi/>
        <w:spacing w:after="120" w:before="0"/>
      </w:pPr>
    </w:p>
    <w:p>
      <w:pPr>
        <w:pStyle w:val="Heading1"/>
        <w:bidi/>
      </w:pPr>
      <w:bookmarkStart w:name="_sec41" w:id="41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8. حالات M1: الأشخاص والجهات (PTY)</w:t>
      </w:r>
      <w:bookmarkEnd w:id="41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الشروط المسبقة المشتركة: جلسة مصادقة، وقواعد الرؤية في FR-PTY-019. الشرط اللاحق المشترك: حدث تدقيق، والأرقام مقنَّعة في كل عرض.</w:t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69"/>
        <w:gridCol w:w="3188"/>
        <w:gridCol w:w="1901"/>
        <w:gridCol w:w="1469"/>
        <w:gridCol w:w="1837"/>
      </w:tblGrid>
      <w:tr>
        <w:trPr>
          <w:cantSplit/>
          <w:tblHeader/>
        </w:trPr>
        <w:tc>
          <w:tcPr>
            <w:tcW w:type="dxa" w:w="146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المعرّف والاسم</w:t>
            </w:r>
          </w:p>
        </w:tc>
        <w:tc>
          <w:tcPr>
            <w:tcW w:type="dxa" w:w="31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الفاعل · الصلاحية</w:t>
            </w:r>
          </w:p>
        </w:tc>
        <w:tc>
          <w:tcPr>
            <w:tcW w:type="dxa" w:w="190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المسار المختصر</w:t>
            </w:r>
          </w:p>
        </w:tc>
        <w:tc>
          <w:tcPr>
            <w:tcW w:type="dxa" w:w="146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البديل والخطأ</w:t>
            </w:r>
          </w:p>
        </w:tc>
        <w:tc>
          <w:tcPr>
            <w:tcW w:type="dxa" w:w="183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يغطي · الشريحة</w:t>
            </w:r>
          </w:p>
        </w:tc>
      </w:tr>
      <w:tr>
        <w:trPr>
          <w:cantSplit/>
        </w:trPr>
        <w:tc>
          <w:tcPr>
            <w:tcW w:type="dxa" w:w="146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UC-PTY-01 إنشاء شخص مع فحص التكرار</w:t>
            </w:r>
          </w:p>
        </w:tc>
        <w:tc>
          <w:tcPr>
            <w:tcW w:type="dxa" w:w="31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TM أو FO؛ TE ◐ ·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‎party.manage‎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</w:p>
        </w:tc>
        <w:tc>
          <w:tcPr>
            <w:tcW w:type="dxa" w:w="190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(1) الاسم ونوع الوثيقة والرقم (2) تطبيع وفهرس أعمى (3) فحص التطابق والتشابه (4) حفظ واقتراح الوثيقة الأساسية؛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‎party.created‎</w:t>
            </w:r>
          </w:p>
        </w:tc>
        <w:tc>
          <w:tcPr>
            <w:tcW w:type="dxa" w:w="146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تطابق تام يحيل للقائم؛ تشابه ≥ 0.85 مع تاريخ الميلاد يحذّر؛ شكل رقم مخالف يحذّر</w:t>
            </w:r>
          </w:p>
        </w:tc>
        <w:tc>
          <w:tcPr>
            <w:tcW w:type="dxa" w:w="183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FR-PTY-001، FR-PTY-005، FR-PTY-010، FR-PTY-015، BR-PTY-002…005؛ AC-PTY-2 · S1</w:t>
            </w:r>
          </w:p>
        </w:tc>
      </w:tr>
      <w:tr>
        <w:trPr>
          <w:cantSplit/>
        </w:trPr>
        <w:tc>
          <w:tcPr>
            <w:tcW w:type="dxa" w:w="146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UC-PTY-02 البحث</w:t>
            </w:r>
          </w:p>
        </w:tc>
        <w:tc>
          <w:tcPr>
            <w:tcW w:type="dxa" w:w="31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الخزينة ·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‎party.view‎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</w:p>
        </w:tc>
        <w:tc>
          <w:tcPr>
            <w:tcW w:type="dxa" w:w="190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(1) بالاسم المطبَّع أو برقم الوثيقة بتطابق تام (2) نتائج ضمن الرؤية</w:t>
            </w:r>
          </w:p>
        </w:tc>
        <w:tc>
          <w:tcPr>
            <w:tcW w:type="dxa" w:w="146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البحث بالرقم لا يفك التشفير</w:t>
            </w:r>
          </w:p>
        </w:tc>
        <w:tc>
          <w:tcPr>
            <w:tcW w:type="dxa" w:w="183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FR-PTY-002، FR-PTY-019 · S1</w:t>
            </w:r>
          </w:p>
        </w:tc>
      </w:tr>
      <w:tr>
        <w:trPr>
          <w:cantSplit/>
        </w:trPr>
        <w:tc>
          <w:tcPr>
            <w:tcW w:type="dxa" w:w="146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UC-PTY-03 تعديل البيانات والعناوين والاتصال والحقول</w:t>
            </w:r>
          </w:p>
        </w:tc>
        <w:tc>
          <w:tcPr>
            <w:tcW w:type="dxa" w:w="31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TM أو FO؛ TE ◐ ·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‎party.manage‎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</w:p>
        </w:tc>
        <w:tc>
          <w:tcPr>
            <w:tcW w:type="dxa" w:w="190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(1) تعديل البيانات غير المقيّدة (2) عناوين ووسائل اتصال بأساسي واحد (3) قيم الحقول المخصصة</w:t>
            </w:r>
          </w:p>
        </w:tc>
        <w:tc>
          <w:tcPr>
            <w:tcW w:type="dxa" w:w="146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عنوان وطني بلا رمز بريدي يُرفض حين يكون النمط مفعّلًا</w:t>
            </w:r>
          </w:p>
        </w:tc>
        <w:tc>
          <w:tcPr>
            <w:tcW w:type="dxa" w:w="183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FR-PTY-011، FR-PTY-012، FR-PTY-013، FR-PTY-014، BR-PTY-014، BR-PTY-015 · S1</w:t>
            </w:r>
          </w:p>
        </w:tc>
      </w:tr>
      <w:tr>
        <w:trPr>
          <w:cantSplit/>
        </w:trPr>
        <w:tc>
          <w:tcPr>
            <w:tcW w:type="dxa" w:w="146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UC-PTY-04 إضافة وثيقة هوية وصورها أو تجديدها</w:t>
            </w:r>
          </w:p>
        </w:tc>
        <w:tc>
          <w:tcPr>
            <w:tcW w:type="dxa" w:w="31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TM أو FO؛ TE ◐ ·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‎party.identity.write‎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</w:p>
        </w:tc>
        <w:tc>
          <w:tcPr>
            <w:tcW w:type="dxa" w:w="190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(1) النوع والدولة والرقم والتواريخ (2) تشفير وقناع وفهرس عند الكتابة (3) صور FRONT/BACK (4) علامة التحقق من الأصل (5) التجديد ينشئ وثيقة جديدة والقديمة Superseded</w:t>
            </w:r>
          </w:p>
        </w:tc>
        <w:tc>
          <w:tcPr>
            <w:tcW w:type="dxa" w:w="146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تطابق تام يُرفض؛ تعديل بعد التحقق يمسح العلامة</w:t>
            </w:r>
          </w:p>
        </w:tc>
        <w:tc>
          <w:tcPr>
            <w:tcW w:type="dxa" w:w="183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FR-PTY-004، FR-PTY-006، FR-PTY-009، FR-PTY-020، FR-PTY-022، BR-PTY-006، BR-PTY-008 · S1</w:t>
            </w:r>
          </w:p>
        </w:tc>
      </w:tr>
      <w:tr>
        <w:trPr>
          <w:cantSplit/>
        </w:trPr>
        <w:tc>
          <w:tcPr>
            <w:tcW w:type="dxa" w:w="146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UC-PTY-05 كشف الرقم أو عرض الصورة</w:t>
            </w:r>
          </w:p>
        </w:tc>
        <w:tc>
          <w:tcPr>
            <w:tcW w:type="dxa" w:w="31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TM أو FO ·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‎party.identity.reveal‎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 w:eastAsia="Arial" w:hAnsi="Arial"/>
                <w:color w:val="7A1F1F"/>
                <w:sz w:val="18"/>
                <w:szCs w:val="18"/>
                <w:rtl/>
              </w:rPr>
              <w:t xml:space="preserve">◆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و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‎party.identity.image.view‎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 w:eastAsia="Arial" w:hAnsi="Arial"/>
                <w:color w:val="7A1F1F"/>
                <w:sz w:val="18"/>
                <w:szCs w:val="18"/>
                <w:rtl/>
              </w:rPr>
              <w:t xml:space="preserve">◆</w:t>
            </w:r>
          </w:p>
        </w:tc>
        <w:tc>
          <w:tcPr>
            <w:tcW w:type="dxa" w:w="190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(1) «إظهار» لوثيقة (2) فحص الصلاحية والنطاق (3) فك التشفير (4) IDENTITY_REVEAL (5) عرض 60 ثانية ثم القناع</w:t>
            </w:r>
          </w:p>
        </w:tc>
        <w:tc>
          <w:tcPr>
            <w:tcW w:type="dxa" w:w="146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بلا صلاحية: 403 وحدث مرفوض؛ أكثر من 20 كشفًا في ساعة: إشعار</w:t>
            </w:r>
          </w:p>
        </w:tc>
        <w:tc>
          <w:tcPr>
            <w:tcW w:type="dxa" w:w="183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FR-PTY-007، FR-PTY-008، FR-PTY-009، BR-PTY-009، BR-PTY-010؛ AC-PTY-1 · S1</w:t>
            </w:r>
          </w:p>
        </w:tc>
      </w:tr>
      <w:tr>
        <w:trPr>
          <w:cantSplit/>
        </w:trPr>
        <w:tc>
          <w:tcPr>
            <w:tcW w:type="dxa" w:w="146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UC-PTY-06 مراجعة التكرار والدمج</w:t>
            </w:r>
          </w:p>
        </w:tc>
        <w:tc>
          <w:tcPr>
            <w:tcW w:type="dxa" w:w="31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TM أو FO ·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‎party.merge‎</w:t>
            </w:r>
          </w:p>
        </w:tc>
        <w:tc>
          <w:tcPr>
            <w:tcW w:type="dxa" w:w="190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(1) أزواج بدرجة التشابه (2) مقارنة (3) اختيار الباقي وحسم التعارض (4) دمج في معاملة واحدة؛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‎party.merged‎</w:t>
            </w:r>
          </w:p>
        </w:tc>
        <w:tc>
          <w:tcPr>
            <w:tcW w:type="dxa" w:w="146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«ليسا نفس الشخص» يغلق الزوج؛ لا دمج لنوعين مختلفين ولا لمرآة</w:t>
            </w:r>
          </w:p>
        </w:tc>
        <w:tc>
          <w:tcPr>
            <w:tcW w:type="dxa" w:w="183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FR-PTY-016، BR-PTY-016؛ AC-PTY-2 · S1</w:t>
            </w:r>
          </w:p>
        </w:tc>
      </w:tr>
      <w:tr>
        <w:trPr>
          <w:cantSplit/>
        </w:trPr>
        <w:tc>
          <w:tcPr>
            <w:tcW w:type="dxa" w:w="146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UC-PTY-07 تعطيل شخص</w:t>
            </w:r>
          </w:p>
        </w:tc>
        <w:tc>
          <w:tcPr>
            <w:tcW w:type="dxa" w:w="31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TM أو FO ·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‎party.manage‎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</w:p>
        </w:tc>
        <w:tc>
          <w:tcPr>
            <w:tcW w:type="dxa" w:w="190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(1) طلب التعطيل (2) فحص الاستخدام النشط (3) إخفاء من الاختيار</w:t>
            </w:r>
          </w:p>
        </w:tc>
        <w:tc>
          <w:tcPr>
            <w:tcW w:type="dxa" w:w="146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استخدام نشط (كفالة سارية): رفض</w:t>
            </w:r>
          </w:p>
        </w:tc>
        <w:tc>
          <w:tcPr>
            <w:tcW w:type="dxa" w:w="183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FR-PTY-018، BR-PTY-017 · S1</w:t>
            </w:r>
          </w:p>
        </w:tc>
      </w:tr>
      <w:tr>
        <w:trPr>
          <w:cantSplit/>
        </w:trPr>
        <w:tc>
          <w:tcPr>
            <w:tcW w:type="dxa" w:w="146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UC-PTY-08 نظرة شاملة للشخص</w:t>
            </w:r>
          </w:p>
        </w:tc>
        <w:tc>
          <w:tcPr>
            <w:tcW w:type="dxa" w:w="31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الخزينة ·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‎party.view‎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</w:p>
        </w:tc>
        <w:tc>
          <w:tcPr>
            <w:tcW w:type="dxa" w:w="190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(1) الأدوار المشتقة بأعدادها من المزوّدين (2) الوثائق والاكتمال والسجل</w:t>
            </w:r>
          </w:p>
        </w:tc>
        <w:tc>
          <w:tcPr>
            <w:tcW w:type="dxa" w:w="146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تُعرض الاستخدامات المسموحة فقط</w:t>
            </w:r>
          </w:p>
        </w:tc>
        <w:tc>
          <w:tcPr>
            <w:tcW w:type="dxa" w:w="183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FR-PTY-017، FR-PTY-028، BR-PTY-001 · S1</w:t>
            </w:r>
          </w:p>
        </w:tc>
      </w:tr>
      <w:tr>
        <w:trPr>
          <w:cantSplit/>
        </w:trPr>
        <w:tc>
          <w:tcPr>
            <w:tcW w:type="dxa" w:w="146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UC-PTY-09 تعريف الحقول المخصصة</w:t>
            </w:r>
          </w:p>
        </w:tc>
        <w:tc>
          <w:tcPr>
            <w:tcW w:type="dxa" w:w="31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TM أو FO ·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‎party.field.manage‎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</w:p>
        </w:tc>
        <w:tc>
          <w:tcPr>
            <w:tcW w:type="dxa" w:w="190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(1) المفتاح والتسمية والنوع والحساسية والبنك الاختياري (2) حفظ</w:t>
            </w:r>
          </w:p>
        </w:tc>
        <w:tc>
          <w:tcPr>
            <w:tcW w:type="dxa" w:w="146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تعريف له قيم يُعطَّل ولا يُحذف</w:t>
            </w:r>
          </w:p>
        </w:tc>
        <w:tc>
          <w:tcPr>
            <w:tcW w:type="dxa" w:w="183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FR-PTY-013، BR-PTY-014، BR-PTY-019 · S1</w:t>
            </w:r>
          </w:p>
        </w:tc>
      </w:tr>
      <w:tr>
        <w:trPr>
          <w:cantSplit/>
        </w:trPr>
        <w:tc>
          <w:tcPr>
            <w:tcW w:type="dxa" w:w="146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UC-PTY-10 ملفات الاكتمال (KycProfile)</w:t>
            </w:r>
          </w:p>
        </w:tc>
        <w:tc>
          <w:tcPr>
            <w:tcW w:type="dxa" w:w="31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TM أو FO ·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‎party.kyc.manage‎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</w:p>
        </w:tc>
        <w:tc>
          <w:tcPr>
            <w:tcW w:type="dxa" w:w="190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(1) البنك والدور (2) البنود وشروطها (3) تفعيل يسحب السابقة</w:t>
            </w:r>
          </w:p>
        </w:tc>
        <w:tc>
          <w:tcPr>
            <w:tcW w:type="dxa" w:w="146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بلا INSTITUTIONS لا تعمل</w:t>
            </w:r>
          </w:p>
        </w:tc>
        <w:tc>
          <w:tcPr>
            <w:tcW w:type="dxa" w:w="183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FR-PTY-023، BR-PTY-013 · S2</w:t>
            </w:r>
          </w:p>
        </w:tc>
      </w:tr>
      <w:tr>
        <w:trPr>
          <w:cantSplit/>
        </w:trPr>
        <w:tc>
          <w:tcPr>
            <w:tcW w:type="dxa" w:w="146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UC-PTY-11 تقييم الاكتمال ولوحته</w:t>
            </w:r>
          </w:p>
        </w:tc>
        <w:tc>
          <w:tcPr>
            <w:tcW w:type="dxa" w:w="31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الخزينة ·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‎party.view‎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</w:p>
        </w:tc>
        <w:tc>
          <w:tcPr>
            <w:tcW w:type="dxa" w:w="190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(1) اختيار البنك أو التسهيل (2) حالة كل بند والنسبة و«جاهز»</w:t>
            </w:r>
          </w:p>
        </w:tc>
        <w:tc>
          <w:tcPr>
            <w:tcW w:type="dxa" w:w="146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183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FR-PTY-024، FR-PTY-025، BR-PTY-012؛ AC-PTY-3 · S2</w:t>
            </w:r>
          </w:p>
        </w:tc>
      </w:tr>
      <w:tr>
        <w:trPr>
          <w:cantSplit/>
        </w:trPr>
        <w:tc>
          <w:tcPr>
            <w:tcW w:type="dxa" w:w="146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UC-PTY-12 حزمة بيانات الكفيل</w:t>
            </w:r>
          </w:p>
        </w:tc>
        <w:tc>
          <w:tcPr>
            <w:tcW w:type="dxa" w:w="31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TM أو FO؛ TE للمسودة ·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‎party.pack.export‎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 w:eastAsia="Arial" w:hAnsi="Arial"/>
                <w:color w:val="7A1F1F"/>
                <w:sz w:val="18"/>
                <w:szCs w:val="18"/>
                <w:rtl/>
              </w:rPr>
              <w:t xml:space="preserve">◆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أو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‎party.pack.draft‎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</w:p>
        </w:tc>
        <w:tc>
          <w:tcPr>
            <w:tcW w:type="dxa" w:w="190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(1) البنك والملف والصور (2) كاملة أو مسودة مقنَّعة (3) توليد PDF وتدقيقه بلا تخزين</w:t>
            </w:r>
          </w:p>
        </w:tc>
        <w:tc>
          <w:tcPr>
            <w:tcW w:type="dxa" w:w="146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بلا الصلاحيتين: مسودة مقنَّعة فقط</w:t>
            </w:r>
          </w:p>
        </w:tc>
        <w:tc>
          <w:tcPr>
            <w:tcW w:type="dxa" w:w="183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FR-PTY-026، BR-PTY-011؛ AC-PTY-3 · S2</w:t>
            </w:r>
          </w:p>
        </w:tc>
      </w:tr>
      <w:tr>
        <w:trPr>
          <w:cantSplit/>
        </w:trPr>
        <w:tc>
          <w:tcPr>
            <w:tcW w:type="dxa" w:w="146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UC-PTY-13 تصدير قوائم الأشخاص</w:t>
            </w:r>
          </w:p>
        </w:tc>
        <w:tc>
          <w:tcPr>
            <w:tcW w:type="dxa" w:w="31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TM أو FO ·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‎party.export‎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؛ والمقيّد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‎party.export.sensitive‎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 w:eastAsia="Arial" w:hAnsi="Arial"/>
                <w:color w:val="7A1F1F"/>
                <w:sz w:val="18"/>
                <w:szCs w:val="18"/>
                <w:rtl/>
              </w:rPr>
              <w:t xml:space="preserve">◆</w:t>
            </w:r>
          </w:p>
        </w:tc>
        <w:tc>
          <w:tcPr>
            <w:tcW w:type="dxa" w:w="190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(1) اختيار الأعمدة (2) إعادة مصادقة للمقيّد (3) ملف مدقَّق</w:t>
            </w:r>
          </w:p>
        </w:tc>
        <w:tc>
          <w:tcPr>
            <w:tcW w:type="dxa" w:w="146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بلا صلاحية: حذف الأعمدة المقيّدة وذكر ذلك في الملف</w:t>
            </w:r>
          </w:p>
        </w:tc>
        <w:tc>
          <w:tcPr>
            <w:tcW w:type="dxa" w:w="183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FR-PTY-027 · S2</w:t>
            </w:r>
          </w:p>
        </w:tc>
      </w:tr>
      <w:tr>
        <w:trPr>
          <w:cantSplit/>
        </w:trPr>
        <w:tc>
          <w:tcPr>
            <w:tcW w:type="dxa" w:w="146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UC-PTY-14 إخفاء هوية غير المستخدمين</w:t>
            </w:r>
          </w:p>
        </w:tc>
        <w:tc>
          <w:tcPr>
            <w:tcW w:type="dxa" w:w="31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TA مع TM ·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‎cfg.retention.approve‎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</w:p>
        </w:tc>
        <w:tc>
          <w:tcPr>
            <w:tcW w:type="dxa" w:w="190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(1) قائمة بعد مدة الاحتفاظ (2) موافقة (3) إزالة الأرقام والصور</w:t>
            </w:r>
          </w:p>
        </w:tc>
        <w:tc>
          <w:tcPr>
            <w:tcW w:type="dxa" w:w="146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تنفيذ بلا موافقة</w:t>
            </w:r>
          </w:p>
        </w:tc>
        <w:tc>
          <w:tcPr>
            <w:tcW w:type="dxa" w:w="183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FR-PTY-029 · S5</w:t>
            </w:r>
          </w:p>
        </w:tc>
      </w:tr>
    </w:tbl>
    <w:p>
      <w:pPr>
        <w:bidi/>
        <w:spacing w:after="120" w:before="0"/>
      </w:pPr>
    </w:p>
    <w:p>
      <w:pPr>
        <w:pStyle w:val="Heading1"/>
        <w:bidi/>
      </w:pPr>
      <w:bookmarkStart w:name="_sec42" w:id="42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9. ما ليس حالة استخدام</w:t>
      </w:r>
      <w:bookmarkEnd w:id="42"/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93"/>
        <w:gridCol w:w="1793"/>
        <w:gridCol w:w="6278"/>
      </w:tblGrid>
      <w:tr>
        <w:trPr>
          <w:cantSplit/>
          <w:tblHeader/>
        </w:trPr>
        <w:tc>
          <w:tcPr>
            <w:tcW w:type="dxa" w:w="179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المتطلب</w:t>
            </w:r>
          </w:p>
        </w:tc>
        <w:tc>
          <w:tcPr>
            <w:tcW w:type="dxa" w:w="179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السبب</w:t>
            </w:r>
          </w:p>
        </w:tc>
        <w:tc>
          <w:tcPr>
            <w:tcW w:type="dxa" w:w="627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أين يُتحقق منه</w:t>
            </w:r>
          </w:p>
        </w:tc>
      </w:tr>
      <w:tr>
        <w:trPr>
          <w:cantSplit/>
        </w:trPr>
        <w:tc>
          <w:tcPr>
            <w:tcW w:type="dxa" w:w="179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FR-PLT-021</w:t>
            </w:r>
          </w:p>
        </w:tc>
        <w:tc>
          <w:tcPr>
            <w:tcW w:type="dxa" w:w="179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قاعدة تقييم تسري على كل حالة</w:t>
            </w:r>
          </w:p>
        </w:tc>
        <w:tc>
          <w:tcPr>
            <w:tcW w:type="dxa" w:w="627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اختبار على كل نقطة API (DOC-B04)</w:t>
            </w:r>
          </w:p>
        </w:tc>
      </w:tr>
      <w:tr>
        <w:trPr>
          <w:cantSplit/>
        </w:trPr>
        <w:tc>
          <w:tcPr>
            <w:tcW w:type="dxa" w:w="179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FR-PLT-023</w:t>
            </w:r>
          </w:p>
        </w:tc>
        <w:tc>
          <w:tcPr>
            <w:tcW w:type="dxa" w:w="179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محتوى حدث التدقيق</w:t>
            </w:r>
          </w:p>
        </w:tc>
        <w:tc>
          <w:tcPr>
            <w:tcW w:type="dxa" w:w="627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كل الحالات؛ ويُعرض في UC-PLT-20</w:t>
            </w:r>
          </w:p>
        </w:tc>
      </w:tr>
      <w:tr>
        <w:trPr>
          <w:cantSplit/>
        </w:trPr>
        <w:tc>
          <w:tcPr>
            <w:tcW w:type="dxa" w:w="179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FR-PLT-032</w:t>
            </w:r>
          </w:p>
        </w:tc>
        <w:tc>
          <w:tcPr>
            <w:tcW w:type="dxa" w:w="179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لغة الواجهة وملفات الموارد (غير وظيفي)</w:t>
            </w:r>
          </w:p>
        </w:tc>
        <w:tc>
          <w:tcPr>
            <w:tcW w:type="dxa" w:w="627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DOC-B03، DOC-B10؛ التفضيل في UC-PLT-23</w:t>
            </w:r>
          </w:p>
        </w:tc>
      </w:tr>
      <w:tr>
        <w:trPr>
          <w:cantSplit/>
        </w:trPr>
        <w:tc>
          <w:tcPr>
            <w:tcW w:type="dxa" w:w="179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FR-PLT-033</w:t>
            </w:r>
          </w:p>
        </w:tc>
        <w:tc>
          <w:tcPr>
            <w:tcW w:type="dxa" w:w="179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قاعدة إدخال التاريخ الهجري في الحقول المعلَّمة</w:t>
            </w:r>
          </w:p>
        </w:tc>
        <w:tc>
          <w:tcPr>
            <w:tcW w:type="dxa" w:w="627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مكوّن الحقل في الواجهة (DOC-B07)</w:t>
            </w:r>
          </w:p>
        </w:tc>
      </w:tr>
      <w:tr>
        <w:trPr>
          <w:cantSplit/>
        </w:trPr>
        <w:tc>
          <w:tcPr>
            <w:tcW w:type="dxa" w:w="179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FR-PLT-035</w:t>
            </w:r>
          </w:p>
        </w:tc>
        <w:tc>
          <w:tcPr>
            <w:tcW w:type="dxa" w:w="179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خدمة حساب أيام العمل (S2)</w:t>
            </w:r>
          </w:p>
        </w:tc>
        <w:tc>
          <w:tcPr>
            <w:tcW w:type="dxa" w:w="627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اختبار وحدة؛ بيانات العطل في UC-PLT-06</w:t>
            </w:r>
          </w:p>
        </w:tc>
      </w:tr>
      <w:tr>
        <w:trPr>
          <w:cantSplit/>
        </w:trPr>
        <w:tc>
          <w:tcPr>
            <w:tcW w:type="dxa" w:w="179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FR-PLT-036</w:t>
            </w:r>
          </w:p>
        </w:tc>
        <w:tc>
          <w:tcPr>
            <w:tcW w:type="dxa" w:w="179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العزل وRLS</w:t>
            </w:r>
          </w:p>
        </w:tc>
        <w:tc>
          <w:tcPr>
            <w:tcW w:type="dxa" w:w="627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AC-PLT-1، db/tests/tenant_isolation_tests.sql</w:t>
            </w:r>
          </w:p>
        </w:tc>
      </w:tr>
      <w:tr>
        <w:trPr>
          <w:cantSplit/>
        </w:trPr>
        <w:tc>
          <w:tcPr>
            <w:tcW w:type="dxa" w:w="179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FR-PLT-041</w:t>
            </w:r>
          </w:p>
        </w:tc>
        <w:tc>
          <w:tcPr>
            <w:tcW w:type="dxa" w:w="179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REST أولًا</w:t>
            </w:r>
          </w:p>
        </w:tc>
        <w:tc>
          <w:tcPr>
            <w:tcW w:type="dxa" w:w="627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DOC-B04</w:t>
            </w:r>
          </w:p>
        </w:tc>
      </w:tr>
      <w:tr>
        <w:trPr>
          <w:cantSplit/>
        </w:trPr>
        <w:tc>
          <w:tcPr>
            <w:tcW w:type="dxa" w:w="179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FR-PLT-042</w:t>
            </w:r>
          </w:p>
        </w:tc>
        <w:tc>
          <w:tcPr>
            <w:tcW w:type="dxa" w:w="179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طابور الإرسال (Outbox)</w:t>
            </w:r>
          </w:p>
        </w:tc>
        <w:tc>
          <w:tcPr>
            <w:tcW w:type="dxa" w:w="627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DOC-F17</w:t>
            </w:r>
          </w:p>
        </w:tc>
      </w:tr>
      <w:tr>
        <w:trPr>
          <w:cantSplit/>
        </w:trPr>
        <w:tc>
          <w:tcPr>
            <w:tcW w:type="dxa" w:w="179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FR-PLT-045</w:t>
            </w:r>
          </w:p>
        </w:tc>
        <w:tc>
          <w:tcPr>
            <w:tcW w:type="dxa" w:w="179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سياسة الإصدارات وبوابة التكامل المستمر</w:t>
            </w:r>
          </w:p>
        </w:tc>
        <w:tc>
          <w:tcPr>
            <w:tcW w:type="dxa" w:w="627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AC-PLT-4، DOC-B11</w:t>
            </w:r>
          </w:p>
        </w:tc>
      </w:tr>
      <w:tr>
        <w:trPr>
          <w:cantSplit/>
        </w:trPr>
        <w:tc>
          <w:tcPr>
            <w:tcW w:type="dxa" w:w="179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FR-PLT-047</w:t>
            </w:r>
          </w:p>
        </w:tc>
        <w:tc>
          <w:tcPr>
            <w:tcW w:type="dxa" w:w="179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قابلية نقل حزمة النشر</w:t>
            </w:r>
          </w:p>
        </w:tc>
        <w:tc>
          <w:tcPr>
            <w:tcW w:type="dxa" w:w="627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DOC-B11</w:t>
            </w:r>
          </w:p>
        </w:tc>
      </w:tr>
      <w:tr>
        <w:trPr>
          <w:cantSplit/>
        </w:trPr>
        <w:tc>
          <w:tcPr>
            <w:tcW w:type="dxa" w:w="179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FR-ORG-030</w:t>
            </w:r>
          </w:p>
        </w:tc>
        <w:tc>
          <w:tcPr>
            <w:tcW w:type="dxa" w:w="179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مؤشر إلى FR-ACC-018 في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‎11‎</w:t>
            </w:r>
          </w:p>
        </w:tc>
        <w:tc>
          <w:tcPr>
            <w:tcW w:type="dxa" w:w="627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DOC-F09</w:t>
            </w:r>
          </w:p>
        </w:tc>
      </w:tr>
      <w:tr>
        <w:trPr>
          <w:cantSplit/>
        </w:trPr>
        <w:tc>
          <w:tcPr>
            <w:tcW w:type="dxa" w:w="179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FR-PTY-019</w:t>
            </w:r>
          </w:p>
        </w:tc>
        <w:tc>
          <w:tcPr>
            <w:tcW w:type="dxa" w:w="179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قاعدة رؤية تسري على كل حالات PTY</w:t>
            </w:r>
          </w:p>
        </w:tc>
        <w:tc>
          <w:tcPr>
            <w:tcW w:type="dxa" w:w="627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اختبار تكامل</w:t>
            </w:r>
          </w:p>
        </w:tc>
      </w:tr>
    </w:tbl>
    <w:p>
      <w:pPr>
        <w:bidi/>
        <w:spacing w:after="120" w:before="0"/>
      </w:pPr>
    </w:p>
    <w:p>
      <w:pPr>
        <w:pStyle w:val="Heading1"/>
        <w:bidi/>
      </w:pPr>
      <w:bookmarkStart w:name="_sec43" w:id="43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10. القرارات المطلوبة</w:t>
      </w:r>
      <w:bookmarkEnd w:id="43"/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17"/>
        <w:gridCol w:w="1707"/>
        <w:gridCol w:w="2658"/>
        <w:gridCol w:w="1327"/>
        <w:gridCol w:w="2655"/>
      </w:tblGrid>
      <w:tr>
        <w:trPr>
          <w:cantSplit/>
          <w:tblHeader/>
        </w:trPr>
        <w:tc>
          <w:tcPr>
            <w:tcW w:type="dxa" w:w="151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المعرّف</w:t>
            </w:r>
          </w:p>
        </w:tc>
        <w:tc>
          <w:tcPr>
            <w:tcW w:type="dxa" w:w="170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السؤال</w:t>
            </w:r>
          </w:p>
        </w:tc>
        <w:tc>
          <w:tcPr>
            <w:tcW w:type="dxa" w:w="265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الافتراض المقترح</w:t>
            </w:r>
          </w:p>
        </w:tc>
        <w:tc>
          <w:tcPr>
            <w:tcW w:type="dxa" w:w="132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من يقرر</w:t>
            </w:r>
          </w:p>
        </w:tc>
        <w:tc>
          <w:tcPr>
            <w:tcW w:type="dxa" w:w="265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ما يعطّله</w:t>
            </w:r>
          </w:p>
        </w:tc>
      </w:tr>
      <w:tr>
        <w:trPr>
          <w:cantSplit/>
        </w:trPr>
        <w:tc>
          <w:tcPr>
            <w:tcW w:type="dxa" w:w="151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DQ-F07-1</w:t>
            </w:r>
          </w:p>
        </w:tc>
        <w:tc>
          <w:tcPr>
            <w:tcW w:type="dxa" w:w="170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اعتماد رموز الصلاحيات المقترحة في §3</w:t>
            </w:r>
          </w:p>
        </w:tc>
        <w:tc>
          <w:tcPr>
            <w:tcW w:type="dxa" w:w="265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تُعتمد كما هي تحت ModuleCode = CORE، وتُضاف إلى مصفوفة 10-m0-m1</w:t>
            </w:r>
          </w:p>
        </w:tc>
        <w:tc>
          <w:tcPr>
            <w:tcW w:type="dxa" w:w="132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مالك المنتج مع محلل الأعمال</w:t>
            </w:r>
          </w:p>
        </w:tc>
        <w:tc>
          <w:tcPr>
            <w:tcW w:type="dxa" w:w="265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بذور sec.Permission (DOC-B05)، واختبار FR-PLT-017</w:t>
            </w:r>
          </w:p>
        </w:tc>
      </w:tr>
      <w:tr>
        <w:trPr>
          <w:cantSplit/>
        </w:trPr>
        <w:tc>
          <w:tcPr>
            <w:tcW w:type="dxa" w:w="151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DQ-F07-2</w:t>
            </w:r>
          </w:p>
        </w:tc>
        <w:tc>
          <w:tcPr>
            <w:tcW w:type="dxa" w:w="170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نطاق شركات مدير الحساب الأول</w:t>
            </w:r>
          </w:p>
        </w:tc>
        <w:tc>
          <w:tcPr>
            <w:tcW w:type="dxa" w:w="265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ALL عند التهيئة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، وSELECTED افتراضيًا لغيره كما في النموذج</w:t>
            </w:r>
          </w:p>
        </w:tc>
        <w:tc>
          <w:tcPr>
            <w:tcW w:type="dxa" w:w="132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مالك المنتج</w:t>
            </w:r>
          </w:p>
        </w:tc>
        <w:tc>
          <w:tcPr>
            <w:tcW w:type="dxa" w:w="265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UC-PLT-02، خروج S0</w:t>
            </w:r>
          </w:p>
        </w:tc>
      </w:tr>
      <w:tr>
        <w:trPr>
          <w:cantSplit/>
        </w:trPr>
        <w:tc>
          <w:tcPr>
            <w:tcW w:type="dxa" w:w="151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DQ-F07-3</w:t>
            </w:r>
          </w:p>
        </w:tc>
        <w:tc>
          <w:tcPr>
            <w:tcW w:type="dxa" w:w="170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من ينشئ حسابات المشغّلين</w:t>
            </w:r>
          </w:p>
        </w:tc>
        <w:tc>
          <w:tcPr>
            <w:tcW w:type="dxa" w:w="265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أول OPERATOR_ADMIN يُبذر عند النشر، ثم يديرها OPERATOR_ADMIN من لوحة المشغّل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؛ والسياسة في DOC-S04 §12</w:t>
            </w:r>
          </w:p>
        </w:tc>
        <w:tc>
          <w:tcPr>
            <w:tcW w:type="dxa" w:w="132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مالك المنتج مع DOC-S08</w:t>
            </w:r>
          </w:p>
        </w:tc>
        <w:tc>
          <w:tcPr>
            <w:tcW w:type="dxa" w:w="265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UC-PLT-01، DOC-B07</w:t>
            </w:r>
          </w:p>
        </w:tc>
      </w:tr>
      <w:tr>
        <w:trPr>
          <w:cantSplit/>
        </w:trPr>
        <w:tc>
          <w:tcPr>
            <w:tcW w:type="dxa" w:w="151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DQ-F07-4</w:t>
            </w:r>
          </w:p>
        </w:tc>
        <w:tc>
          <w:tcPr>
            <w:tcW w:type="dxa" w:w="170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خدمة المستندات في S0 بلا شاشة أعمال</w:t>
            </w:r>
          </w:p>
        </w:tc>
        <w:tc>
          <w:tcPr>
            <w:tcW w:type="dxa" w:w="265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S0 يسلّم الخدمة والواجهة البرمجية واختباراتها ومكوّن رفع مشترك؛ أول شاشة أعمال في S1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</w:p>
        </w:tc>
        <w:tc>
          <w:tcPr>
            <w:tcW w:type="dxa" w:w="132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مالك المنتج</w:t>
            </w:r>
          </w:p>
        </w:tc>
        <w:tc>
          <w:tcPr>
            <w:tcW w:type="dxa" w:w="265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UC-PLT-21، UC-PLT-22</w:t>
            </w:r>
          </w:p>
        </w:tc>
      </w:tr>
    </w:tbl>
    <w:p>
      <w:pPr>
        <w:bidi/>
        <w:spacing w:after="12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قرارات تمس هذا الكتالوج ويملكها غيره: دخول المشغّل (DQ-S04-10، DQ-B04-7)، قبول الدعوة (DQ-F03-5)، ربط مستخدم بلا MFA (DQ-F03-4)، فك القفل بإعادة التعيين (DQ-S04-12)، تجديد رموز الاسترداد (DOC-S04 §9 و§11)، التهيئة (DQ-F05-1، DQ-F05-2، DQ-F05-5)، الدخول في SUSPENDED (O-18 (erd_open_items)).</w:t>
      </w:r>
    </w:p>
    <w:p>
      <w:pPr>
        <w:pStyle w:val="Heading1"/>
        <w:bidi/>
      </w:pPr>
      <w:bookmarkStart w:name="_sec44" w:id="44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11. تعارضات وفجوات في المصادر</w:t>
      </w:r>
      <w:bookmarkEnd w:id="44"/>
    </w:p>
    <w:p>
      <w:pPr>
        <w:pStyle w:val="ListParagraph"/>
        <w:numPr>
          <w:ilvl w:val="0"/>
          <w:numId w:val="30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مصفوفة الأدوار بلا رموز لمعظم الصفوف (docs/10-detailed-analysis/10-m0-m1-platform-organization.md:43-67)، بينما يشترط معيار FR-PLT-017 أن يوجد كل رمز في الكتالوج (docs/10-detailed-analysis/10-m0-m1-platform-organization.md:119). المقترح في §3.</w:t>
      </w:r>
    </w:p>
    <w:p>
      <w:pPr>
        <w:pStyle w:val="ListParagraph"/>
        <w:numPr>
          <w:ilvl w:val="0"/>
          <w:numId w:val="30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BR-PLT-002 يسمح بالتصدير 30 يومًا لمشترك CLOSED (docs/10-detailed-analysis/10-m0-m1-platform-organization.md:228)، والإجراءان يرفضان CLOSED (db/static/030_session_context.sql:68 و:187). يُحسم في DOC-F04.</w:t>
      </w:r>
    </w:p>
    <w:p>
      <w:pPr>
        <w:pStyle w:val="ListParagraph"/>
        <w:numPr>
          <w:ilvl w:val="0"/>
          <w:numId w:val="30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BR-PLT-002 يقصر الدخول في SUSPENDED على مدير الحساب، والإجراء يقبل أي مستخدم فعّال (db/static/030_session_context.sql:68): O-18 (erd_open_items).</w:t>
      </w:r>
    </w:p>
    <w:p>
      <w:pPr>
        <w:pStyle w:val="ListParagraph"/>
        <w:numPr>
          <w:ilvl w:val="0"/>
          <w:numId w:val="30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FR-PLT-011 يجعل MFA إلزاميًا (docs/10-detailed-analysis/10-m0-m1-platform-organization.md:113)، والربط يقبل جلسة بلا MFA حين MfaEnabled = 0 (db/static/030_session_context.sql:198)، وهي القيمة الافتراضية (db/model/10-platform.model:126).</w:t>
      </w:r>
    </w:p>
    <w:p>
      <w:pPr>
        <w:pStyle w:val="ListParagraph"/>
        <w:numPr>
          <w:ilvl w:val="0"/>
          <w:numId w:val="30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لا مسار في القاعدة لقبول الدعوة: usp_StartSession يرفض INVITED (db/static/030_session_context.sql:82). يتبع DOC-F03.</w:t>
      </w:r>
    </w:p>
    <w:p>
      <w:pPr>
        <w:pStyle w:val="ListParagraph"/>
        <w:numPr>
          <w:ilvl w:val="0"/>
          <w:numId w:val="30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لا إجراء دخول للمشغّل (db/static/030_session_context.sql:3-17 يعدّد إجراءات AppUser فقط).</w:t>
      </w:r>
    </w:p>
    <w:p>
      <w:pPr>
        <w:pStyle w:val="ListParagraph"/>
        <w:numPr>
          <w:ilvl w:val="0"/>
          <w:numId w:val="30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إجراء التهيئة خطة لم تُنفَّذ (docs/20-database-design.md:470-475)، وtp_platform بلا وصول لجداول المشترك (docs/20-database-design.md:24)؛ O-12 (20-database-design) في docs/20-database-design.md:540.</w:t>
      </w:r>
    </w:p>
    <w:p>
      <w:pPr>
        <w:pStyle w:val="ListParagraph"/>
        <w:numPr>
          <w:ilvl w:val="0"/>
          <w:numId w:val="30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sec.UserToken.RequestedByUserId يشير إلى sec.AppUser (db/model/10-platform.model:254)، فلا يُسجَّل المشغّل الذي دعا المدير الأول في الصف نفسه؛ يبقى في التدقيق بـ ActorType = OPERATOR.</w:t>
      </w:r>
    </w:p>
    <w:p>
      <w:pPr>
        <w:pStyle w:val="ListParagraph"/>
        <w:numPr>
          <w:ilvl w:val="0"/>
          <w:numId w:val="30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قائمة الشاشات §7.1 لا تحوي قبول الدعوة ولا تسجيل MFA ولا دخول المشغّل ولا حسابات المشغّلين ولا شاشة المهام (docs/10-detailed-analysis/10-m0-m1-platform-organization.md:371-398). تكملها DOC-B07.</w:t>
      </w:r>
    </w:p>
    <w:p>
      <w:pPr>
        <w:bidi/>
        <w:spacing w:after="60" w:before="0"/>
      </w:pPr>
    </w:p>
    <w:p>
      <w:pPr>
        <w:pStyle w:val="Heading1"/>
        <w:bidi/>
      </w:pPr>
      <w:bookmarkStart w:name="_sec45" w:id="45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12. التتبع</w:t>
      </w:r>
      <w:bookmarkEnd w:id="45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كل متطلب في 10-m0-m1 (107) مربوط بحالة استخدام أو مذكور في §9.</w:t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cantSplit/>
          <w:tblHeader/>
        </w:trPr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المتطلب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الحالة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المتطلب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الحالة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المتطلب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الحالة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FR-PLT-001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UC-PLT-02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FR-PLT-002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UC-PLT-03، UC-PLT-26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FR-PLT-003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UC-PLT-04، UC-PLT-02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FR-PLT-004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UC-PLT-05، UC-PLT-12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FR-PLT-005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UC-PLT-05، UC-PLT-03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FR-PLT-006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UC-PLT-01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FR-PLT-007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UC-PLT-07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FR-PLT-008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UC-PLT-02، UC-PLT-04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FR-PLT-009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UC-PLT-25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FR-PLT-010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UC-PLT-09، UC-PLT-08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FR-PLT-011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UC-PLT-09، UC-PLT-08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FR-PLT-012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UC-PLT-09، UC-PLT-13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FR-PLT-013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UC-PLT-08، UC-PLT-10، UC-PLT-12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FR-PLT-014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UC-PLT-11، UC-PLT-13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FR-PLT-015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UC-PLT-33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FR-PLT-016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UC-PLT-12، UC-PLT-13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FR-PLT-017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UC-PLT-15، UC-PLT-06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FR-PLT-018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UC-PLT-14، UC-PLT-15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FR-PLT-019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UC-PLT-14، UC-PLT-15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FR-PLT-020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UC-PLT-16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FR-PLT-021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§9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FR-PLT-022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UC-PLT-20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FR-PLT-023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§9، UC-PLT-20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FR-PLT-024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UC-PLT-20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FR-PLT-025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UC-PLT-30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FR-PLT-026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UC-PLT-18، UC-PLT-19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FR-PLT-027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UC-PLT-21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FR-PLT-028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UC-PLT-21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FR-PLT-029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UC-PLT-21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FR-PLT-030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UC-PLT-22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FR-PLT-031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UC-PLT-30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FR-PLT-032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§9، UC-PLT-23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FR-PLT-033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§9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FR-PLT-034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UC-PLT-23، UC-PLT-17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FR-PLT-035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§9، UC-PLT-06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FR-PLT-036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§9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FR-PLT-037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UC-PLT-27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FR-PLT-038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UC-PLT-28، UC-PLT-29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FR-PLT-039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UC-PLT-31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FR-PLT-040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UC-PLT-32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FR-PLT-041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§9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FR-PLT-042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§9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FR-PLT-043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UC-PLT-17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FR-PLT-044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UC-PLT-24، UC-PLT-26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FR-PLT-045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§9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FR-PLT-046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UC-PLT-09، UC-PLT-02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FR-PLT-047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§9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FR-ORG-001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UC-ORG-01، UC-ORG-03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FR-ORG-002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UC-ORG-04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FR-ORG-003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UC-ORG-01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FR-ORG-004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UC-ORG-01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FR-ORG-005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UC-ORG-01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FR-ORG-006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UC-ORG-01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FR-ORG-007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UC-ORG-02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FR-ORG-008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UC-ORG-01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FR-ORG-009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UC-ORG-01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FR-ORG-010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UC-ORG-03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FR-ORG-011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UC-ORG-06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FR-ORG-012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UC-ORG-06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FR-ORG-013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UC-ORG-06، UC-PLT-29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FR-ORG-014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UC-ORG-05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FR-ORG-015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UC-ORG-07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FR-ORG-016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UC-ORG-07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FR-ORG-017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UC-ORG-07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FR-ORG-018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UC-ORG-08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FR-ORG-019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UC-ORG-09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FR-ORG-020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UC-ORG-09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FR-ORG-021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UC-ORG-04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FR-ORG-022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UC-ORG-09، UC-PLT-29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FR-ORG-023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UC-ORG-10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FR-ORG-024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UC-ORG-04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FR-ORG-025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UC-ORG-13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FR-ORG-026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UC-ORG-10، UC-ORG-11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FR-ORG-027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UC-ORG-13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FR-ORG-028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UC-ORG-12، UC-PLT-29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FR-ORG-029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UC-ORG-14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FR-ORG-030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§9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FR-ORG-031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UC-ORG-15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FR-PTY-001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UC-PTY-01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FR-PTY-002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UC-PTY-02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FR-PTY-003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UC-ORG-01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FR-PTY-004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UC-PTY-04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FR-PTY-005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UC-PTY-01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FR-PTY-006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UC-PTY-04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FR-PTY-007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UC-PTY-05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FR-PTY-008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UC-PTY-05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FR-PTY-009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UC-PTY-04، UC-PTY-05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FR-PTY-010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UC-PTY-01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FR-PTY-011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UC-PTY-03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FR-PTY-012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UC-PTY-03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FR-PTY-013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UC-PTY-03، UC-PTY-09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FR-PTY-014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UC-PTY-03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FR-PTY-015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UC-PTY-01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FR-PTY-016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UC-PTY-06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FR-PTY-017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UC-PTY-08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FR-PTY-018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UC-PTY-07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FR-PTY-019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§9، UC-PTY-02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FR-PTY-020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UC-PTY-04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FR-PTY-021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UC-PLT-29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FR-PTY-022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UC-PTY-04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FR-PTY-023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UC-PTY-10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FR-PTY-024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UC-PTY-11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FR-PTY-025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UC-PTY-11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FR-PTY-026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UC-PTY-12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FR-PTY-027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UC-PTY-13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FR-PTY-028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UC-PTY-08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FR-PTY-029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UC-PTY-14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</w:tr>
    </w:tbl>
    <w:p>
      <w:pPr>
        <w:bidi/>
        <w:spacing w:after="12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سيناريوهات القبول لحالات S0. المعرّفات AC-PLT-5 وما بعدها مقترحة في DOC-B02.</w:t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66"/>
        <w:gridCol w:w="2466"/>
        <w:gridCol w:w="2466"/>
        <w:gridCol w:w="2466"/>
      </w:tblGrid>
      <w:tr>
        <w:trPr>
          <w:cantSplit/>
          <w:tblHeader/>
        </w:trPr>
        <w:tc>
          <w:tcPr>
            <w:tcW w:type="dxa" w:w="24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حالة الاستخدام</w:t>
            </w:r>
          </w:p>
        </w:tc>
        <w:tc>
          <w:tcPr>
            <w:tcW w:type="dxa" w:w="24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القبول</w:t>
            </w:r>
          </w:p>
        </w:tc>
        <w:tc>
          <w:tcPr>
            <w:tcW w:type="dxa" w:w="24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حالة الاستخدام</w:t>
            </w:r>
          </w:p>
        </w:tc>
        <w:tc>
          <w:tcPr>
            <w:tcW w:type="dxa" w:w="24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القبول</w:t>
            </w:r>
          </w:p>
        </w:tc>
      </w:tr>
      <w:tr>
        <w:trPr>
          <w:cantSplit/>
        </w:trPr>
        <w:tc>
          <w:tcPr>
            <w:tcW w:type="dxa" w:w="24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UC-PLT-01</w:t>
            </w:r>
          </w:p>
        </w:tc>
        <w:tc>
          <w:tcPr>
            <w:tcW w:type="dxa" w:w="24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AC-PLT-7</w:t>
            </w:r>
          </w:p>
        </w:tc>
        <w:tc>
          <w:tcPr>
            <w:tcW w:type="dxa" w:w="24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UC-PLT-02</w:t>
            </w:r>
          </w:p>
        </w:tc>
        <w:tc>
          <w:tcPr>
            <w:tcW w:type="dxa" w:w="24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AC-PLT-5</w:t>
            </w:r>
          </w:p>
        </w:tc>
      </w:tr>
      <w:tr>
        <w:trPr>
          <w:cantSplit/>
        </w:trPr>
        <w:tc>
          <w:tcPr>
            <w:tcW w:type="dxa" w:w="24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UC-PLT-03، UC-PLT-26</w:t>
            </w:r>
          </w:p>
        </w:tc>
        <w:tc>
          <w:tcPr>
            <w:tcW w:type="dxa" w:w="24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AC-PLT-6</w:t>
            </w:r>
          </w:p>
        </w:tc>
        <w:tc>
          <w:tcPr>
            <w:tcW w:type="dxa" w:w="24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UC-PLT-04</w:t>
            </w:r>
          </w:p>
        </w:tc>
        <w:tc>
          <w:tcPr>
            <w:tcW w:type="dxa" w:w="24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AC-PLT-5</w:t>
            </w:r>
          </w:p>
        </w:tc>
      </w:tr>
      <w:tr>
        <w:trPr>
          <w:cantSplit/>
        </w:trPr>
        <w:tc>
          <w:tcPr>
            <w:tcW w:type="dxa" w:w="24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UC-PLT-05</w:t>
            </w:r>
          </w:p>
        </w:tc>
        <w:tc>
          <w:tcPr>
            <w:tcW w:type="dxa" w:w="24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AC-PLT-7</w:t>
            </w:r>
          </w:p>
        </w:tc>
        <w:tc>
          <w:tcPr>
            <w:tcW w:type="dxa" w:w="24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UC-PLT-06</w:t>
            </w:r>
          </w:p>
        </w:tc>
        <w:tc>
          <w:tcPr>
            <w:tcW w:type="dxa" w:w="24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AC-PLT-7</w:t>
            </w:r>
          </w:p>
        </w:tc>
      </w:tr>
      <w:tr>
        <w:trPr>
          <w:cantSplit/>
        </w:trPr>
        <w:tc>
          <w:tcPr>
            <w:tcW w:type="dxa" w:w="24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UC-PLT-07</w:t>
            </w:r>
          </w:p>
        </w:tc>
        <w:tc>
          <w:tcPr>
            <w:tcW w:type="dxa" w:w="24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AC-PLT-8</w:t>
            </w:r>
          </w:p>
        </w:tc>
        <w:tc>
          <w:tcPr>
            <w:tcW w:type="dxa" w:w="24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UC-PLT-08، UC-PLT-10</w:t>
            </w:r>
          </w:p>
        </w:tc>
        <w:tc>
          <w:tcPr>
            <w:tcW w:type="dxa" w:w="24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AC-PLT-11</w:t>
            </w:r>
          </w:p>
        </w:tc>
      </w:tr>
      <w:tr>
        <w:trPr>
          <w:cantSplit/>
        </w:trPr>
        <w:tc>
          <w:tcPr>
            <w:tcW w:type="dxa" w:w="24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UC-PLT-09</w:t>
            </w:r>
          </w:p>
        </w:tc>
        <w:tc>
          <w:tcPr>
            <w:tcW w:type="dxa" w:w="24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AC-PLT-2، AC-PLT-10، AC-PLT-21</w:t>
            </w:r>
          </w:p>
        </w:tc>
        <w:tc>
          <w:tcPr>
            <w:tcW w:type="dxa" w:w="24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UC-PLT-11</w:t>
            </w:r>
          </w:p>
        </w:tc>
        <w:tc>
          <w:tcPr>
            <w:tcW w:type="dxa" w:w="24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AC-PLT-12</w:t>
            </w:r>
          </w:p>
        </w:tc>
      </w:tr>
      <w:tr>
        <w:trPr>
          <w:cantSplit/>
        </w:trPr>
        <w:tc>
          <w:tcPr>
            <w:tcW w:type="dxa" w:w="24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UC-PLT-12، UC-PLT-13، UC-PLT-14</w:t>
            </w:r>
          </w:p>
        </w:tc>
        <w:tc>
          <w:tcPr>
            <w:tcW w:type="dxa" w:w="24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AC-PLT-13</w:t>
            </w:r>
          </w:p>
        </w:tc>
        <w:tc>
          <w:tcPr>
            <w:tcW w:type="dxa" w:w="24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UC-PLT-15</w:t>
            </w:r>
          </w:p>
        </w:tc>
        <w:tc>
          <w:tcPr>
            <w:tcW w:type="dxa" w:w="24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AC-PLT-13، AC-PTY-1</w:t>
            </w:r>
          </w:p>
        </w:tc>
      </w:tr>
      <w:tr>
        <w:trPr>
          <w:cantSplit/>
        </w:trPr>
        <w:tc>
          <w:tcPr>
            <w:tcW w:type="dxa" w:w="24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UC-PLT-16</w:t>
            </w:r>
          </w:p>
        </w:tc>
        <w:tc>
          <w:tcPr>
            <w:tcW w:type="dxa" w:w="24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AC-PLT-1</w:t>
            </w:r>
          </w:p>
        </w:tc>
        <w:tc>
          <w:tcPr>
            <w:tcW w:type="dxa" w:w="24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UC-PLT-17</w:t>
            </w:r>
          </w:p>
        </w:tc>
        <w:tc>
          <w:tcPr>
            <w:tcW w:type="dxa" w:w="24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AC-PLT-19</w:t>
            </w:r>
          </w:p>
        </w:tc>
      </w:tr>
      <w:tr>
        <w:trPr>
          <w:cantSplit/>
        </w:trPr>
        <w:tc>
          <w:tcPr>
            <w:tcW w:type="dxa" w:w="24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UC-PLT-18، UC-PLT-19</w:t>
            </w:r>
          </w:p>
        </w:tc>
        <w:tc>
          <w:tcPr>
            <w:tcW w:type="dxa" w:w="24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AC-PLT-3</w:t>
            </w:r>
          </w:p>
        </w:tc>
        <w:tc>
          <w:tcPr>
            <w:tcW w:type="dxa" w:w="24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UC-PLT-20</w:t>
            </w:r>
          </w:p>
        </w:tc>
        <w:tc>
          <w:tcPr>
            <w:tcW w:type="dxa" w:w="24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AC-PLT-14</w:t>
            </w:r>
          </w:p>
        </w:tc>
      </w:tr>
      <w:tr>
        <w:trPr>
          <w:cantSplit/>
        </w:trPr>
        <w:tc>
          <w:tcPr>
            <w:tcW w:type="dxa" w:w="24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UC-PLT-21، UC-PLT-22</w:t>
            </w:r>
          </w:p>
        </w:tc>
        <w:tc>
          <w:tcPr>
            <w:tcW w:type="dxa" w:w="24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AC-PLT-15</w:t>
            </w:r>
          </w:p>
        </w:tc>
        <w:tc>
          <w:tcPr>
            <w:tcW w:type="dxa" w:w="24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UC-PLT-23</w:t>
            </w:r>
          </w:p>
        </w:tc>
        <w:tc>
          <w:tcPr>
            <w:tcW w:type="dxa" w:w="24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AC-PLT-16</w:t>
            </w:r>
          </w:p>
        </w:tc>
      </w:tr>
      <w:tr>
        <w:trPr>
          <w:cantSplit/>
        </w:trPr>
        <w:tc>
          <w:tcPr>
            <w:tcW w:type="dxa" w:w="24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UC-PLT-24</w:t>
            </w:r>
          </w:p>
        </w:tc>
        <w:tc>
          <w:tcPr>
            <w:tcW w:type="dxa" w:w="24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AC-PLT-20</w:t>
            </w:r>
          </w:p>
        </w:tc>
        <w:tc>
          <w:tcPr>
            <w:tcW w:type="dxa" w:w="24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UC-PLT-25</w:t>
            </w:r>
          </w:p>
        </w:tc>
        <w:tc>
          <w:tcPr>
            <w:tcW w:type="dxa" w:w="24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AC-PLT-9</w:t>
            </w:r>
          </w:p>
        </w:tc>
      </w:tr>
      <w:tr>
        <w:trPr>
          <w:cantSplit/>
        </w:trPr>
        <w:tc>
          <w:tcPr>
            <w:tcW w:type="dxa" w:w="24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UC-PLT-27</w:t>
            </w:r>
          </w:p>
        </w:tc>
        <w:tc>
          <w:tcPr>
            <w:tcW w:type="dxa" w:w="24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AC-PLT-17</w:t>
            </w:r>
          </w:p>
        </w:tc>
        <w:tc>
          <w:tcPr>
            <w:tcW w:type="dxa" w:w="24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24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</w:tr>
    </w:tbl>
    <w:p>
      <w:pPr>
        <w:bidi/>
        <w:spacing w:after="120" w:before="0"/>
      </w:pP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6"/>
        <w:gridCol w:w="2192"/>
        <w:gridCol w:w="6576"/>
      </w:tblGrid>
      <w:tr>
        <w:trPr>
          <w:cantSplit/>
          <w:tblHeader/>
        </w:trPr>
        <w:tc>
          <w:tcPr>
            <w:tcW w:type="dxa" w:w="109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البند في هذه الوثيقة</w:t>
            </w:r>
          </w:p>
        </w:tc>
        <w:tc>
          <w:tcPr>
            <w:tcW w:type="dxa" w:w="21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المتطلب أو القاعدة أو القرار</w:t>
            </w:r>
          </w:p>
        </w:tc>
        <w:tc>
          <w:tcPr>
            <w:tcW w:type="dxa" w:w="657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المصدر</w:t>
            </w:r>
          </w:p>
        </w:tc>
      </w:tr>
      <w:tr>
        <w:trPr>
          <w:cantSplit/>
        </w:trPr>
        <w:tc>
          <w:tcPr>
            <w:tcW w:type="dxa" w:w="109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§1 قواعد عامة</w:t>
            </w:r>
          </w:p>
        </w:tc>
        <w:tc>
          <w:tcPr>
            <w:tcW w:type="dxa" w:w="21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FR-PLT-021، FR-PLT-023، FR-PLT-036، FR-PLT-041</w:t>
            </w:r>
          </w:p>
        </w:tc>
        <w:tc>
          <w:tcPr>
            <w:tcW w:type="dxa" w:w="657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docs/10-detailed-analysis/10-m0-m1-platform-organization.md:123-143</w:t>
            </w:r>
          </w:p>
        </w:tc>
      </w:tr>
      <w:tr>
        <w:trPr>
          <w:cantSplit/>
        </w:trPr>
        <w:tc>
          <w:tcPr>
            <w:tcW w:type="dxa" w:w="109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§2 الفاعلون</w:t>
            </w:r>
          </w:p>
        </w:tc>
        <w:tc>
          <w:tcPr>
            <w:tcW w:type="dxa" w:w="21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00 §3، مصفوفة 10-m0-m1 §2</w:t>
            </w:r>
          </w:p>
        </w:tc>
        <w:tc>
          <w:tcPr>
            <w:tcW w:type="dxa" w:w="657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docs/10-detailed-analysis/00-overview-and-cross-cutting.md:54-67</w:t>
            </w:r>
          </w:p>
        </w:tc>
      </w:tr>
      <w:tr>
        <w:trPr>
          <w:cantSplit/>
        </w:trPr>
        <w:tc>
          <w:tcPr>
            <w:tcW w:type="dxa" w:w="109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§3 رموز الصلاحيات</w:t>
            </w:r>
          </w:p>
        </w:tc>
        <w:tc>
          <w:tcPr>
            <w:tcW w:type="dxa" w:w="21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FR-PLT-017، BR-PLT-008، BR-PLT-019، DQ-F07-1</w:t>
            </w:r>
          </w:p>
        </w:tc>
        <w:tc>
          <w:tcPr>
            <w:tcW w:type="dxa" w:w="657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docs/10-detailed-analysis/10-m0-m1-platform-organization.md:41-69</w:t>
            </w:r>
          </w:p>
        </w:tc>
      </w:tr>
      <w:tr>
        <w:trPr>
          <w:cantSplit/>
        </w:trPr>
        <w:tc>
          <w:tcPr>
            <w:tcW w:type="dxa" w:w="109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UC-PLT-08 إلى UC-PLT-11</w:t>
            </w:r>
          </w:p>
        </w:tc>
        <w:tc>
          <w:tcPr>
            <w:tcW w:type="dxa" w:w="21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ADR 0002، O-24 (erd_open_items)</w:t>
            </w:r>
          </w:p>
        </w:tc>
        <w:tc>
          <w:tcPr>
            <w:tcW w:type="dxa" w:w="657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docs/adr/0002-login-and-session-bound-context.md، db/static/030_session_context.sql</w:t>
            </w:r>
          </w:p>
        </w:tc>
      </w:tr>
      <w:tr>
        <w:trPr>
          <w:cantSplit/>
        </w:trPr>
        <w:tc>
          <w:tcPr>
            <w:tcW w:type="dxa" w:w="109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UC-PLT-02، UC-PLT-05، UC-PLT-07</w:t>
            </w:r>
          </w:p>
        </w:tc>
        <w:tc>
          <w:tcPr>
            <w:tcW w:type="dxa" w:w="21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O-12 (20-database-design)</w:t>
            </w:r>
          </w:p>
        </w:tc>
        <w:tc>
          <w:tcPr>
            <w:tcW w:type="dxa" w:w="657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docs/20-database-design.md:540</w:t>
            </w:r>
          </w:p>
        </w:tc>
      </w:tr>
      <w:tr>
        <w:trPr>
          <w:cantSplit/>
        </w:trPr>
        <w:tc>
          <w:tcPr>
            <w:tcW w:type="dxa" w:w="109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UC-PLT-03، UC-PLT-09</w:t>
            </w:r>
          </w:p>
        </w:tc>
        <w:tc>
          <w:tcPr>
            <w:tcW w:type="dxa" w:w="21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O-18 (erd_open_items)</w:t>
            </w:r>
          </w:p>
        </w:tc>
        <w:tc>
          <w:tcPr>
            <w:tcW w:type="dxa" w:w="657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tools/dbgen/erd_open_items.py:116-120</w:t>
            </w:r>
          </w:p>
        </w:tc>
      </w:tr>
      <w:tr>
        <w:trPr>
          <w:cantSplit/>
        </w:trPr>
        <w:tc>
          <w:tcPr>
            <w:tcW w:type="dxa" w:w="109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UC-PLT-18</w:t>
            </w:r>
          </w:p>
        </w:tc>
        <w:tc>
          <w:tcPr>
            <w:tcW w:type="dxa" w:w="21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O-12 (erd_open_items)</w:t>
            </w:r>
          </w:p>
        </w:tc>
        <w:tc>
          <w:tcPr>
            <w:tcW w:type="dxa" w:w="657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tools/dbgen/erd_open_items.py:80-83</w:t>
            </w:r>
          </w:p>
        </w:tc>
      </w:tr>
      <w:tr>
        <w:trPr>
          <w:cantSplit/>
        </w:trPr>
        <w:tc>
          <w:tcPr>
            <w:tcW w:type="dxa" w:w="109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§7 و§8</w:t>
            </w:r>
          </w:p>
        </w:tc>
        <w:tc>
          <w:tcPr>
            <w:tcW w:type="dxa" w:w="21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سيناريوهات القبول AC-ORG-1…3، AC-PTY-1…3</w:t>
            </w:r>
          </w:p>
        </w:tc>
        <w:tc>
          <w:tcPr>
            <w:tcW w:type="dxa" w:w="657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docs/10-detailed-analysis/10-m0-m1-platform-organization.md:660-693</w:t>
            </w:r>
          </w:p>
        </w:tc>
      </w:tr>
    </w:tbl>
    <w:p>
      <w:pPr>
        <w:bidi/>
        <w:spacing w:after="120" w:before="0"/>
      </w:pPr>
    </w:p>
    <w:sectPr>
      <w:headerReference w:type="default" r:id="rId7"/>
      <w:footerReference w:type="default" r:id="rId8"/>
      <w:pgSz w:w="11906" w:h="16838" w:orient="portrait"/>
      <w:pgMar w:top="1134" w:right="1021" w:bottom="1134" w:left="1021" w:header="500" w:footer="500" w:gutter="0"/>
      <w:pgNumType/>
      <w:bidi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Arial" w:cs="Arial" w:eastAsia="Arial" w:hAnsi="Arial"/>
        <w:color w:val="5B6670"/>
        <w:sz w:val="17"/>
        <w:szCs w:val="17"/>
        <w:rtl/>
      </w:rPr>
      <w:t xml:space="preserve">صفحة </w:t>
    </w:r>
    <w:r>
      <w:rPr>
        <w:rFonts w:ascii="Arial" w:cs="Arial" w:eastAsia="Arial" w:hAnsi="Arial"/>
        <w:color w:val="5B6670"/>
        <w:sz w:val="17"/>
        <w:szCs w:val="17"/>
        <w:rtl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B6670"/>
        <w:sz w:val="17"/>
        <w:szCs w:val="17"/>
        <w:rtl/>
      </w:rPr>
      <w:t xml:space="preserve"> من </w:t>
    </w:r>
    <w:r>
      <w:rPr>
        <w:rFonts w:ascii="Arial" w:cs="Arial" w:eastAsia="Arial" w:hAnsi="Arial"/>
        <w:color w:val="5B6670"/>
        <w:sz w:val="17"/>
        <w:szCs w:val="17"/>
        <w:rtl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9D6" w:sz="4" w:space="4"/>
      </w:pBdr>
      <w:bidi/>
      <w:spacing w:after="0"/>
    </w:pPr>
    <w:r>
      <w:rPr>
        <w:rFonts w:ascii="Arial" w:cs="Arial" w:eastAsia="Arial" w:hAnsi="Arial"/>
        <w:color w:val="5B6670"/>
        <w:sz w:val="17"/>
        <w:szCs w:val="17"/>
        <w:rtl/>
      </w:rPr>
      <w:t xml:space="preserve">DOC-F07 · BankFas · مستندات الجاهزية P0 · 0.1 مسودة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74" w:hanging="284"/>
      </w:pPr>
    </w:lvl>
    <w:lvl w:ilvl="1" w15:tentative="1">
      <w:start w:val="1"/>
      <w:numFmt w:val="bullet"/>
      <w:lvlText w:val="–"/>
      <w:lvlJc w:val="left"/>
      <w:pPr>
        <w:ind w:left="1028" w:hanging="284"/>
      </w:pPr>
    </w:lvl>
    <w:lvl w:ilvl="2" w15:tentative="1">
      <w:start w:val="1"/>
      <w:numFmt w:val="bullet"/>
      <w:lvlText w:val="·"/>
      <w:lvlJc w:val="left"/>
      <w:pPr>
        <w:ind w:left="1482" w:hanging="284"/>
      </w:pPr>
    </w:lvl>
    <w:lvl w:ilvl="3" w15:tentative="1">
      <w:start w:val="1"/>
      <w:numFmt w:val="bullet"/>
      <w:lvlText w:val="·"/>
      <w:lvlJc w:val="left"/>
      <w:pPr>
        <w:ind w:left="1936" w:hanging="284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6"/>
    <w:lvlOverride w:ilvl="0">
      <w:startOverride w:val="1"/>
    </w:lvlOverride>
  </w:num>
  <w:num w:numId="17">
    <w:abstractNumId w:val="17"/>
    <w:lvlOverride w:ilvl="0">
      <w:startOverride w:val="1"/>
    </w:lvlOverride>
  </w:num>
  <w:num w:numId="18">
    <w:abstractNumId w:val="18"/>
    <w:lvlOverride w:ilvl="0">
      <w:startOverride w:val="1"/>
    </w:lvlOverride>
  </w:num>
  <w:num w:numId="19">
    <w:abstractNumId w:val="19"/>
    <w:lvlOverride w:ilvl="0">
      <w:startOverride w:val="1"/>
    </w:lvlOverride>
  </w:num>
  <w:num w:numId="20">
    <w:abstractNumId w:val="20"/>
    <w:lvlOverride w:ilvl="0">
      <w:startOverride w:val="1"/>
    </w:lvlOverride>
  </w:num>
  <w:num w:numId="21">
    <w:abstractNumId w:val="21"/>
    <w:lvlOverride w:ilvl="0">
      <w:startOverride w:val="1"/>
    </w:lvlOverride>
  </w:num>
  <w:num w:numId="22">
    <w:abstractNumId w:val="22"/>
    <w:lvlOverride w:ilvl="0">
      <w:startOverride w:val="1"/>
    </w:lvlOverride>
  </w:num>
  <w:num w:numId="23">
    <w:abstractNumId w:val="23"/>
    <w:lvlOverride w:ilvl="0">
      <w:startOverride w:val="1"/>
    </w:lvlOverride>
  </w:num>
  <w:num w:numId="24">
    <w:abstractNumId w:val="24"/>
    <w:lvlOverride w:ilvl="0">
      <w:startOverride w:val="1"/>
    </w:lvlOverride>
  </w:num>
  <w:num w:numId="25">
    <w:abstractNumId w:val="25"/>
    <w:lvlOverride w:ilvl="0">
      <w:startOverride w:val="1"/>
    </w:lvlOverride>
  </w:num>
  <w:num w:numId="26">
    <w:abstractNumId w:val="26"/>
    <w:lvlOverride w:ilvl="0">
      <w:startOverride w:val="1"/>
    </w:lvlOverride>
  </w:num>
  <w:num w:numId="27">
    <w:abstractNumId w:val="27"/>
    <w:lvlOverride w:ilvl="0">
      <w:startOverride w:val="1"/>
    </w:lvlOverride>
  </w:num>
  <w:num w:numId="28">
    <w:abstractNumId w:val="28"/>
    <w:lvlOverride w:ilvl="0">
      <w:startOverride w:val="1"/>
    </w:lvlOverride>
  </w:num>
  <w:num w:numId="29">
    <w:abstractNumId w:val="29"/>
    <w:lvlOverride w:ilvl="0">
      <w:startOverride w:val="1"/>
    </w:lvlOverride>
  </w:num>
  <w:num w:numId="30">
    <w:abstractNumId w:val="3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  <w:rtl/>
        <w:lang w:val="ar-SA" w:bidi="ar-SA"/>
      </w:rPr>
    </w:rPrDefault>
    <w:pPrDefault>
      <w:pPr>
        <w:bidi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bidi/>
      <w:spacing w:after="160" w:before="0"/>
    </w:pPr>
    <w:rPr>
      <w:b/>
      <w:bCs/>
      <w:color w:val="1F3A5F"/>
      <w:sz w:val="48"/>
      <w:szCs w:val="48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1F3A5F" w:sz="8" w:space="3"/>
      </w:pBdr>
      <w:bidi/>
      <w:spacing w:after="140" w:before="380"/>
      <w:outlineLvl w:val="0"/>
    </w:pPr>
    <w:rPr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bidi/>
      <w:spacing w:after="100" w:before="260"/>
      <w:outlineLvl w:val="1"/>
    </w:pPr>
    <w:rPr>
      <w:b/>
      <w:bCs/>
      <w:color w:val="2B5C8A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bidi/>
      <w:spacing w:after="80" w:before="200"/>
      <w:outlineLvl w:val="2"/>
    </w:pPr>
    <w:rPr>
      <w:b/>
      <w:bCs/>
      <w:color w:val="2B5C8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1e4383d9786c19d213b6a9c91b17c885e13d382.png"/><Relationship Id="rId10" Type="http://schemas.openxmlformats.org/officeDocument/2006/relationships/image" Target="media/61c2076a612afa878642a74961390d1e80f0a414.png"/><Relationship Id="rId11" Type="http://schemas.openxmlformats.org/officeDocument/2006/relationships/image" Target="media/9a616d0e3f597381f38a09e363a53d45f616fd04.png"/><Relationship Id="rId12" Type="http://schemas.openxmlformats.org/officeDocument/2006/relationships/image" Target="media/ca157179864743ec7f86c3f767bd6d2c3e436767.png"/><Relationship Id="rId13" Type="http://schemas.openxmlformats.org/officeDocument/2006/relationships/image" Target="media/594adcb0c400ae2ceea3c937f60bc004aff1b184.png"/><Relationship Id="rId14" Type="http://schemas.openxmlformats.org/officeDocument/2006/relationships/image" Target="media/6d3c74a58d1a11c2fb88d72b4e761d342f8f9e40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DOC-F07 — كتالوج حالات الاستخدام: المنصة والهيكل المؤسسي والأشخاص (M0 وM1)</dc:title>
  <dc:creator>Claude</dc:creator>
  <dc:description>BankFas database design document</dc:description>
  <cp:lastModifiedBy>Un-named</cp:lastModifiedBy>
  <cp:revision>1</cp:revision>
  <dcterms:created xsi:type="dcterms:W3CDTF">2026-10-12T18:03:18.887Z</dcterms:created>
  <dcterms:modified xsi:type="dcterms:W3CDTF">2026-10-12T18:03:18.888Z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