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للتغيير والإعادة وإعادة التجزئة والدعوة وفك القفل، ثم DENY UPDATE على PasswordHash وStatus وأعمدة القفل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إجراءان بصفة tp_auth_exec لتمديد الخمول حتى المهلة المطلقة وللإنهاء (DQ-F04-8، DQ-F03-6)، ثم DENY UPDATE على الأعمدة الثلاثة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لـ tp_app، وفحص السجل داخل إجراء؛ وإلا قد تُعاد التجزئة الحالية إن خُزّنت في السجل</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داخل القاعدة ثم DENY SELECT على CodeHash (DQ-F03-3)</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2026-10-12T18:03:31.747Z</dcterms:created>
  <dcterms:modified xsi:type="dcterms:W3CDTF">2026-10-12T18:03:31.747Z</dcterms:modified>
</cp:coreProperties>
</file>

<file path=docProps/custom.xml><?xml version="1.0" encoding="utf-8"?>
<Properties xmlns="http://schemas.openxmlformats.org/officeDocument/2006/custom-properties" xmlns:vt="http://schemas.openxmlformats.org/officeDocument/2006/docPropsVTypes"/>
</file>