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867"/>
        <w:gridCol w:w="7004"/>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لا إجراء ولا قادح في القاعدة يكتب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بلا أثر في التدقيق (O-24)</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وسجلات النظام</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 المجموعات المقترحة في DOC-S08 §10</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بعد معالجة O-24 (tools/dbgen/erd_open_items.py:155)؛ حتى ذلك الحين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هو الأثر الوحيد.</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E0A800"/>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Arial" w:cs="Arial" w:eastAsia="Arial" w:hAnsi="Arial"/>
          <w:color w:val="E0A800"/>
          <w:sz w:val="26"/>
          <w:szCs w:val="26"/>
          <w:rtl/>
        </w:rPr>
        <w:t xml:space="preserve">●</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1325"/>
        <w:gridCol w:w="2652"/>
        <w:gridCol w:w="1177"/>
        <w:gridCol w:w="1030"/>
        <w:gridCol w:w="2650"/>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3097"/>
        <w:gridCol w:w="1353"/>
        <w:gridCol w:w="1934"/>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2026-10-12T18:10:07.143Z</dcterms:created>
  <dcterms:modified xsi:type="dcterms:W3CDTF">2026-10-12T18:10:07.144Z</dcterms:modified>
</cp:coreProperties>
</file>

<file path=docProps/custom.xml><?xml version="1.0" encoding="utf-8"?>
<Properties xmlns="http://schemas.openxmlformats.org/officeDocument/2006/custom-properties" xmlns:vt="http://schemas.openxmlformats.org/officeDocument/2006/docPropsVTypes"/>
</file>