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bidi/>
      </w:pPr>
      <w:r>
        <w:rPr>
          <w:rFonts w:ascii="Arial" w:cs="Arial" w:eastAsia="Arial" w:hAnsi="Arial"/>
          <w:b/>
          <w:bCs/>
          <w:color w:val="1F3A5F"/>
          <w:sz w:val="48"/>
          <w:szCs w:val="48"/>
          <w:rtl/>
        </w:rPr>
        <w:t xml:space="preserve">DOC-S13 — خطة اختبار الأمن والعزل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44"/>
        <w:gridCol w:w="8220"/>
      </w:tblGrid>
      <w:tr>
        <w:trPr>
          <w:cantSplit/>
          <w:tblHeader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القيمة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DOC-S13 (docs/30-readiness-documents.md)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الإصدار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0.1 — مسودة للمراجعة — 2026-10-12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المالك المقترح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مهندس ضمان الجودة مع مهندس الأمن (docs/30-readiness-documents.md:44)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الأولوية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P1 قبل S2؛ وبنود API في S0 تبدأ مع أول نقطة (O-09، 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يغطي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X-SEC-5، FR-PLT-020، FR-PLT-021، FR-PLT-036، FR-PLT-041، FR-PLT-046، BR-PLT-001، NFR-SEC-01، NFR-SEC-02، NFR-SEC-13، NFR-SEC-18، O-09 وO-18 إلى O-22 وO-24 (erd_open_items)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يعتمد على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DOC-S01 (THR-nn)، DOC-S03، DOC-S04، DOC-S06، DOC-B01، DOC-B03، DOC-B04، DOC-B06، DOC-B11</w:t>
            </w:r>
          </w:p>
        </w:tc>
      </w:tr>
      <w:tr>
        <w:trPr>
          <w:cantSplit/>
        </w:trPr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E8EE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sz w:val="18"/>
                <w:szCs w:val="18"/>
                <w:rtl/>
              </w:rPr>
              <w:t xml:space="preserve">المصادر</w:t>
            </w:r>
          </w:p>
        </w:tc>
        <w:tc>
          <w:tcPr>
            <w:tcW w:type="dxa" w:w="822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db/tests/fac_share_rule_tests.sql، tools/ci/db_ci.sh، ../.github/workflows/treasury-db-ci.yml (جذر المستودع)، tools/dbgen/check_grants.py، tools/dbgen/erd_open_items.py، db/static/010_rls.sql، db/static/030_session_context.sql، db/generated/tsql/005_delete_grants.sql، db/generated/tsql/007_table_grants.sql، docs/10-detailed-analysis/*.md</w:t>
            </w:r>
          </w:p>
        </w:tc>
      </w:tr>
    </w:tbl>
    <w:p>
      <w:pPr>
        <w:bidi/>
        <w:spacing w:after="120" w:before="0"/>
      </w:pPr>
    </w:p>
    <w:p>
      <w:pPr>
        <w:pBdr>
          <w:bottom w:val="single" w:color="1F3A5F" w:sz="8" w:space="4"/>
        </w:pBdr>
        <w:bidi/>
        <w:spacing w:after="100" w:before="280"/>
      </w:pPr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المحتويات</w:t>
      </w:r>
    </w:p>
    <w:p>
      <w:pPr>
        <w:bidi/>
        <w:spacing w:after="50" w:before="0"/>
        <w:ind w:left="0"/>
      </w:pPr>
      <w:hyperlink w:history="1" w:anchor="_sec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1. الغرض والنطاق</w:t>
        </w:r>
      </w:hyperlink>
    </w:p>
    <w:p>
      <w:pPr>
        <w:bidi/>
        <w:spacing w:after="50" w:before="0"/>
        <w:ind w:left="0"/>
      </w:pPr>
      <w:hyperlink w:history="1" w:anchor="_sec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2. ما يوجد اليوم</w:t>
        </w:r>
      </w:hyperlink>
    </w:p>
    <w:p>
      <w:pPr>
        <w:bidi/>
        <w:spacing w:after="50" w:before="0"/>
        <w:ind w:left="0"/>
      </w:pPr>
      <w:hyperlink w:history="1" w:anchor="_sec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3. طبقات الاختبار الأمني</w:t>
        </w:r>
      </w:hyperlink>
    </w:p>
    <w:p>
      <w:pPr>
        <w:bidi/>
        <w:spacing w:after="50" w:before="0"/>
        <w:ind w:left="0"/>
      </w:pPr>
      <w:hyperlink w:history="1" w:anchor="_sec4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4. اختبارات العزل القائمة في القاعدة وربطها بالتهديدات</w:t>
        </w:r>
      </w:hyperlink>
    </w:p>
    <w:p>
      <w:pPr>
        <w:bidi/>
        <w:spacing w:after="50" w:before="0"/>
        <w:ind w:left="0"/>
      </w:pPr>
      <w:hyperlink w:history="1" w:anchor="_sec5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5. عبور المشتركين وIDOR وغياب السياق على مستوى API</w:t>
        </w:r>
      </w:hyperlink>
    </w:p>
    <w:p>
      <w:pPr>
        <w:bidi/>
        <w:spacing w:after="50" w:before="0"/>
        <w:ind w:left="0"/>
      </w:pPr>
      <w:hyperlink w:history="1" w:anchor="_sec1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6. ربط OWASP ASVS المستوى 2 بالضوابط والاختبارات</w:t>
        </w:r>
      </w:hyperlink>
    </w:p>
    <w:p>
      <w:pPr>
        <w:bidi/>
        <w:spacing w:after="50" w:before="0"/>
        <w:ind w:left="0"/>
      </w:pPr>
      <w:hyperlink w:history="1" w:anchor="_sec1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7. اختبارات الجلسة وCSRF والترويسات</w:t>
        </w:r>
      </w:hyperlink>
    </w:p>
    <w:p>
      <w:pPr>
        <w:bidi/>
        <w:spacing w:after="50" w:before="0"/>
        <w:ind w:left="0"/>
      </w:pPr>
      <w:hyperlink w:history="1" w:anchor="_sec1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8. اختبارات سياسة كلمة المرور وMFA</w:t>
        </w:r>
      </w:hyperlink>
    </w:p>
    <w:p>
      <w:pPr>
        <w:bidi/>
        <w:spacing w:after="50" w:before="0"/>
        <w:ind w:left="0"/>
      </w:pPr>
      <w:hyperlink w:history="1" w:anchor="_sec1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9. اختبار الاختراق</w:t>
        </w:r>
      </w:hyperlink>
    </w:p>
    <w:p>
      <w:pPr>
        <w:bidi/>
        <w:spacing w:after="50" w:before="0"/>
        <w:ind w:left="0"/>
      </w:pPr>
      <w:hyperlink w:history="1" w:anchor="_sec17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10. المخاطر المتبقية: حالات تُكتب عند الإغلاق</w:t>
        </w:r>
      </w:hyperlink>
    </w:p>
    <w:p>
      <w:pPr>
        <w:bidi/>
        <w:spacing w:after="50" w:before="0"/>
        <w:ind w:left="0"/>
      </w:pPr>
      <w:hyperlink w:history="1" w:anchor="_sec20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11. البوابات لكل شريحة</w:t>
        </w:r>
      </w:hyperlink>
    </w:p>
    <w:p>
      <w:pPr>
        <w:bidi/>
        <w:spacing w:after="50" w:before="0"/>
        <w:ind w:left="0"/>
      </w:pPr>
      <w:hyperlink w:history="1" w:anchor="_sec21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12. القرارات المطلوبة</w:t>
        </w:r>
      </w:hyperlink>
    </w:p>
    <w:p>
      <w:pPr>
        <w:bidi/>
        <w:spacing w:after="50" w:before="0"/>
        <w:ind w:left="0"/>
      </w:pPr>
      <w:hyperlink w:history="1" w:anchor="_sec22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13. تعارضات وفجوات في المصادر</w:t>
        </w:r>
      </w:hyperlink>
    </w:p>
    <w:p>
      <w:pPr>
        <w:bidi/>
        <w:spacing w:after="50" w:before="0"/>
        <w:ind w:left="0"/>
      </w:pPr>
      <w:hyperlink w:history="1" w:anchor="_sec23">
        <w:r>
          <w:rPr>
            <w:rFonts w:ascii="Arial" w:cs="Arial" w:eastAsia="Arial" w:hAnsi="Arial"/>
            <w:b/>
            <w:bCs/>
            <w:color w:val="1F3A5F"/>
            <w:sz w:val="20"/>
            <w:szCs w:val="20"/>
            <w:rtl/>
          </w:rPr>
          <w:t xml:space="preserve">14. التتبع</w:t>
        </w:r>
      </w:hyperlink>
    </w:p>
    <w:p>
      <w:r>
        <w:br w:type="page"/>
      </w:r>
    </w:p>
    <w:p>
      <w:pPr>
        <w:pStyle w:val="Heading1"/>
        <w:bidi/>
      </w:pPr>
      <w:bookmarkStart w:name="_sec1" w:id="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1. الغرض والنطاق</w:t>
      </w:r>
      <w:bookmarkEnd w:id="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تحدد الوثيقة كل اختبار أمني لكل طبقة، ونتيجته المتوقعة، وموضعه في CI، وبوابة الشريحة التي يوقفها.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داخل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اختبارات العزل في القاعدة، واختبارات عبور المشتركين وIDOR وغياب السياق لكل نقطة API، وربط فصول OWASP ASVS المستوى 2 بالضوابط والاختبارات، واختبارات الجلسة وCSRF والترويسات، واختبارات سياسة كلمة المرور وMFA، واختبار الاختراق، وحالات المخاطر المتبقية O-24.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خارج النطاق: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قيم السياسات (DOC-S04)، وتصميم الضوابط (DOC-S03)، وإعدادات TLS (DOC-S05)، وبيانات الاختبار (DOC-B06)، واستراتيجية الاختبار العامة وشدة العيوب (DOC-B01)، والاستجابة للحوادث (DOC-S15).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يوجد كود تطبيق في المستودع بعد (docs/30-readiness-documents.md:338)، فكل اختبار على مستوى API أو المتصفح مقترح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 اختبارات القاعدة موجودة وتمر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.</w:t>
      </w:r>
    </w:p>
    <w:p>
      <w:pPr>
        <w:bidi/>
        <w:spacing w:after="6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اختصارات: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أرقام T حالات db/tests/tenant_isolation_tests.sql، وFSR-Tn حالات db/tests/fac_share_rule_tests.sql (DQ-B01-4). THR-nn من DOC-S01. «030» هو db/static/030_session_context.sql.</w:t>
      </w:r>
    </w:p>
    <w:p>
      <w:pPr>
        <w:pStyle w:val="Heading1"/>
        <w:bidi/>
      </w:pPr>
      <w:bookmarkStart w:name="_sec2" w:id="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2. ما يوجد اليوم</w:t>
      </w:r>
      <w:bookmarkEnd w:id="2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"/>
        <w:gridCol w:w="1563"/>
        <w:gridCol w:w="7219"/>
      </w:tblGrid>
      <w:tr>
        <w:trPr>
          <w:cantSplit/>
          <w:tblHeader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العزل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 حالة: T1 إلى T38 مع T8b وT16b وT16c، بصفة tp_app وtp_readonly وtp_platform، في معاملة واحدة تُلغى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db/tests/tenant_isolation_tests.sql:1-19، :21-27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قاعدة الحصص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 حالات للمحفّز V-FAC-02، سلامة أعمال لا أمن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db/tests/fac_share_rule_tests.sql:2، :47-150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المنح الثابتة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بلا SQL Server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tools/dbgen/check_grants.py:4-16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الخطوة 3 للمنح، و6 للحصص (6 PASS بالضبط)، و7 للعزل (41 PASS بالضبط)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tools/ci/db_ci.sh:47-49، :59-74، :75-92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 GitHub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في جذر المستودع، يعمل عند تغيّر db/ أو tools/dbgen/ أو tools/ci/؛ أول تشغيل أخضر في 2026-10-12 بـ 6 و41 حالة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../.github/workflows/treasury-db-ci.yml (جذر المستودع):7-21؛ O-02 (tools/dbgen/erd_open_items.py:22)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API والمتصفح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توجد، لأن التطبيق غير موجود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O-09 (erd_open_items، tools/dbgen/erd_open_items.py:62-66)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المطلوب في المواصفات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«اختبار آلي لكل نقطة API ضد IDOR وضد عبور المشتركين»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docs/10-detailed-analysis/13-m6-workflow-engine-notifications.md:687؛ docs/10-detailed-analysis/14-m7-m8-letters-of-credit.md:666</w:t>
            </w:r>
          </w:p>
        </w:tc>
      </w:tr>
      <w:tr>
        <w:trPr>
          <w:cantSplit/>
        </w:trPr>
        <w:tc>
          <w:tcPr>
            <w:tcW w:type="dxa" w:w="10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الهدف الأمني</w:t>
            </w:r>
          </w:p>
        </w:tc>
        <w:tc>
          <w:tcPr>
            <w:tcW w:type="dxa" w:w="156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ASVS المستوى 2، واختبار اختراق قبل التجربة (S5)</w:t>
            </w:r>
          </w:p>
        </w:tc>
        <w:tc>
          <w:tcPr>
            <w:tcW w:type="dxa" w:w="721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docs/10-detailed-analysis/10-m0-m1-platform-organization.md:591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المرشّح يقصر الخط على ملفات القاعدة (../.github/workflows/treasury-db-ci.yml:10-20)، فلا يعمل عند تغيّر كود التطبيق. خط التطبيق في DOC-B11 §5.2 يحمل الطبقات L3 إلى L5.</w:t>
      </w:r>
    </w:p>
    <w:p>
      <w:pPr>
        <w:pStyle w:val="Heading1"/>
        <w:bidi/>
      </w:pPr>
      <w:bookmarkStart w:name="_sec3" w:id="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3. طبقات الاختبار الأمني</w:t>
      </w:r>
      <w:bookmarkEnd w:id="3"/>
    </w:p>
    <w:p>
      <w:pPr>
        <w:keepNext/>
        <w:bidi/>
        <w:spacing w:after="60" w:before="160"/>
        <w:jc w:val="center"/>
      </w:pPr>
      <w:r>
        <w:drawing>
          <wp:inline distT="0" distB="0" distL="0" distR="0">
            <wp:extent cx="1733550" cy="8191500"/>
            <wp:effectExtent t="0" r="0" b="0" l="0"/>
            <wp:docPr id="1" name="diagram-1.png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733550" cy="8191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61"/>
        <w:gridCol w:w="1826"/>
        <w:gridCol w:w="2741"/>
        <w:gridCol w:w="1644"/>
        <w:gridCol w:w="2192"/>
      </w:tblGrid>
      <w:tr>
        <w:trPr>
          <w:cantSplit/>
          <w:tblHeader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الطبقة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تغطيه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الأداة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أين تعمل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تفشل البناء أو البوابة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ثابت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المنح والتشفير وترتيب النشر؛ وفحص انحراف التصنيف المقترح في DOC-S06 §10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، فحص الانحراف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الخطوة 3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L2 القاعدة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 والدخول والقفل والجلسات والمنح الفعلية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sqlcmd في db/tests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الخطوتان 6 و7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L3 تكامل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 لكل استعلام، والربط لكل طلب، وسحب الربط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xUnit مع حاوية SQL Server 2025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 API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الحالات X1 إلى X11 في §5 لكل عملية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مولّد من OpenAPI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بناء؛ عملية بلا حالات تفشل البناء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 حزم وأسرار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ثغرات الحزم، وأسرار في المستودع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الحزم في خط التطبيق (DOC-B11 §5.2)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CI وأسبوعيًا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ثغرة عالية بلا استثناء (NFR-SEC-16)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L6 متصفح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وCSRF وCSP والترويسات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Playwright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(DQ-B01-1)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 ديناميكي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 للتطبيق المنشور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(DQ-S13-5)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الاختبار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كل شريحة</w:t>
            </w:r>
          </w:p>
        </w:tc>
      </w:tr>
      <w:tr>
        <w:trPr>
          <w:cantSplit/>
        </w:trPr>
        <w:tc>
          <w:tcPr>
            <w:tcW w:type="dxa" w:w="14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L8 اختراق</w:t>
            </w:r>
          </w:p>
        </w:tc>
        <w:tc>
          <w:tcPr>
            <w:tcW w:type="dxa" w:w="182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2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مختبِر مستقل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من UAT ببيانات اصطناعية</w:t>
            </w:r>
          </w:p>
        </w:tc>
        <w:tc>
          <w:tcPr>
            <w:tcW w:type="dxa" w:w="21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 (NFR-SEC-18)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4" w:id="4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4. اختبارات العزل القائمة في القاعدة وربطها بالتهديدات</w:t>
      </w:r>
      <w:bookmarkEnd w:id="4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الحالات تمر في tools/ci/db_ci.sh على حاوية التطوير (السطور 75-92). العمود «السطر» يشير إلى db/tests/tenant_isolation_tests.sql.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17"/>
        <w:gridCol w:w="3151"/>
        <w:gridCol w:w="3198"/>
        <w:gridCol w:w="1598"/>
      </w:tblGrid>
      <w:tr>
        <w:trPr>
          <w:cantSplit/>
          <w:tblHeader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تثبته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السطر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ربط لا يرى tp_app أي تسهيل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يرى تسهيله وحده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تسهيل مشترك آخر لا يُقرأ بالمفتاح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138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THR-26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152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للمشترك نفسه يُقبل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167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تسهيل مشترك آخر لا يصل الصف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182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نقل صف إلى مشترك آخر يُرفض 33504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تسهيل 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T8b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يوم عطلة لمشترك آخر لا يحذف شيئًا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الصف العام يُقرأ، وصف المشترك الآخر لا يُقرأ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248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يدرج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263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يعدّل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275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لا يحذف صفًا عامًا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صريح (DQ-S13-9)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287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يضيف صف تدقيق لنفسه (ضابط إيجابي لـ T14)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302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تدقيق لمشترك آخر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THR-24، THR-39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314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يعدّل التدقيق ولا يحذفه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THR-57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326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المنصة تقرأ أحداثها لا أحداث المشتركين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340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ضبط TenantId يدويًا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360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T16b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جدول الربط ولا يكتبه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T16c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ربط خاطئ أو غائب لا يكشف صفًا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392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اتصال غير مربوط لا يرى المشترك ولا وحداته عبر العروض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411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الإجراء يرفض مشتركًا مجهولًا أو مغلقًا (50002)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THR-23، THR-27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T18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مشترك لا تربط مشتركًا آخر، وجلسة مستخدم معطّل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442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خاطئ وجلسة منتهية بالخمول وجلسة منهاة لا تربط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455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يقارن التجزئة في القاعدة ويرفض بخطأ واحد 50005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THR-02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470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إخفاقات تقفل، والكلمة الصحيحة ترفض بعدها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THR-01، THR-11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499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لا يقرأ التجزئة ولا ينشئ جلسة ولا يغيّر الرمز ولا يمدد المهلة المطلقة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THR-04، THR-19، THR-22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ربط قبل تسجيل MFA، والفشل يُسجَّل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THR-06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546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تعطيل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565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T26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إغلاق المشترك يسحب ربط اتصالاته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579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يقرأ ولا يكتب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593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صف المستخدم يسحب ربطه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608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المشترك المعلّق لا يحذف صفوفه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جلسة يسحب ربط مستخدمها فورًا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643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صالحة تربط مشتركها ومستخدمها فقط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658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T20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السياق المربوط لا يتغير، والربط الثاني يُرفض 50004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THR-17، THR-18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678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T29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سجل المشتركين ولا قائمة الوحدات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693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عمودًا مقيّدًا (230)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704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T22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لا تقرأ جدول المشغّلين ولا جدول الربط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THR-42، THR-43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713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T23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التقارير تقرأ عمودًا غير مقيّد (ضابط إيجابي)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THR-42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724</w:t>
            </w:r>
          </w:p>
        </w:tc>
      </w:tr>
      <w:tr>
        <w:trPr>
          <w:cantSplit/>
        </w:trPr>
        <w:tc>
          <w:tcPr>
            <w:tcW w:type="dxa" w:w="191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T24</w:t>
            </w:r>
          </w:p>
        </w:tc>
        <w:tc>
          <w:tcPr>
            <w:tcW w:type="dxa" w:w="31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جدول فيه TenantId مُرشَّح وكل سياسة مفعّلة</w:t>
            </w:r>
          </w:p>
        </w:tc>
        <w:tc>
          <w:tcPr>
            <w:tcW w:type="dxa" w:w="31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THR-07، THR-17، THR-37</w:t>
            </w:r>
          </w:p>
        </w:tc>
        <w:tc>
          <w:tcPr>
            <w:tcW w:type="dxa" w:w="159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735</w:t>
            </w:r>
          </w:p>
        </w:tc>
      </w:tr>
    </w:tbl>
    <w:p>
      <w:pPr>
        <w:bidi/>
        <w:spacing w:after="120" w:before="0"/>
      </w:pP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العدد: 41 حالة، منها 4 ضوابط إيجابية (T5 وT13 وT19 وT23). الحالات FSR-T1 إلى FSR-T6 لا تقابل أي THR لأنها تحمي سلامة الحصص (O-03، tools/dbgen/erd_open_items.py:27-31).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التهديدات التي لا حالة قاعدة لها بعد: THR-20 وTHR-21 (O-24)، وTHR-25 (O-20)، وTHR-27 للمؤشرات (O-22)، وTHR-14 وTHR-28 وTHR-29 وTHR-31 وTHR-33 (نتائج المراجعة DR). حالاتها المقترحة في §10.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عند إضافة حالة يتغير العدّاد الثابت 41 في tools/ci/db_ci.sh:88 يدويًا، إلى أن يُشتق من الملف (DOC-B01 §9).</w:t>
      </w:r>
    </w:p>
    <w:p>
      <w:pPr>
        <w:bidi/>
        <w:spacing w:after="60" w:before="0"/>
      </w:pPr>
    </w:p>
    <w:p>
      <w:pPr>
        <w:pStyle w:val="Heading1"/>
        <w:bidi/>
      </w:pPr>
      <w:bookmarkStart w:name="_sec5" w:id="5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5. عبور المشتركين وIDOR وغياب السياق على مستوى API</w:t>
      </w:r>
      <w:bookmarkEnd w:id="5"/>
    </w:p>
    <w:p>
      <w:pPr>
        <w:pStyle w:val="Heading2"/>
        <w:bidi/>
      </w:pPr>
      <w:bookmarkStart w:name="_sec6" w:id="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5.1 التجهيز</w:t>
      </w:r>
      <w:bookmarkEnd w:id="6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كل تشغيل يبدأ بقاعدة منشورة بـ tools/deploy/deploy.sh، ثم يؤهّل مشتركين اصطناعيين A وB بإجراء التأهيل نفسه (DOC-F05)، ويبذر لكلٍّ منهما بيانات من مولّدات DOC-B06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في كل مشترك: شركتان C1 وC2، ومستخدم لكل دور نظام، ومستخدم U1 نطاقه C1 وحدها، ومستخدم بلا أي صلاحية.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لكل مورد في الشريحة صف واحد على الأقل في C1 وفي C2 لكل مشترك.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الاتصال بحساب tp_app عبر sec.usp_StartSession ثم sec.usp_SetSessionContext، لا بحساب sa (DOC-B01 §3).</w:t>
      </w:r>
    </w:p>
    <w:p>
      <w:pPr>
        <w:pStyle w:val="ListParagraph"/>
        <w:numPr>
          <w:ilvl w:val="0"/>
          <w:numId w:val="2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يُحفظ PublicId كل صف من B قبل التشغيل، لأن التصفية تخفيها عن A.</w:t>
      </w:r>
    </w:p>
    <w:p>
      <w:pPr>
        <w:bidi/>
        <w:spacing w:after="60" w:before="0"/>
      </w:pPr>
    </w:p>
    <w:p>
      <w:pPr>
        <w:pStyle w:val="Heading2"/>
        <w:bidi/>
      </w:pPr>
      <w:bookmarkStart w:name="_sec7" w:id="7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5.2 الحالات لكل عملية</w:t>
      </w:r>
      <w:bookmarkEnd w:id="7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1"/>
        <w:gridCol w:w="1688"/>
        <w:gridCol w:w="1594"/>
        <w:gridCol w:w="5631"/>
      </w:tblGrid>
      <w:tr>
        <w:trPr>
          <w:cantSplit/>
          <w:tblHeader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الرمز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بلا كوكي جلسة أو بجلسة منتهية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 SESSION_INVALID، ولا استعلام بيانات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§9.1؛ T32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غياب السياق: الاتصال يصل الاستعلام بلا ربط عبر مفتاح اختبار (DQ-S13-4)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القراءة صفر صفوف أو 404؛ الكتابة 33504 فتعيد 500 مع تنبيه أمني؛ 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FR-PLT-036؛ NFR-SEC-02؛ T1، T28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X3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المشترك B في المسار بجلسة A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 NOT_FOUND بالجسم نفسه لمعرّف غير موجود؛ لا أثر في B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FR-PLT-021؛ AC-PLT-1؛ T3، T6، T8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X4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لصف في C2 بجلسة U1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404، لا 403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 (docs/10-detailed-analysis/10-m0-m1-platform-organization.md:122)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X5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مستخدم بلا الصلاحية المعلنة في x-permission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FORBIDDEN قبل أي فحص للمعرّف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FR-PLT-021 (:123)؛ DOC-B04 §12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X6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القوائم والبحث والعدّ والتصدير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صف من B ولا من خارج النطاق، ولا يتأثر total بهما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§5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X7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PublicId من B داخل الجسم مرجعًا (roleIds، companyId، facilityId…)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422 REFERENCE_INVALID أو 404، ولا صف يُكتب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§9.4؛ O-20 (erd_open_items)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جلسة A على مضيف B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401؛ لا ربط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FR-PLT-046؛ AC-PLT-21؛ T18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TenantId في المسار أو الاستعلام أو الجسم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400 UNKNOWN_PARAMETER للاستعلام؛ وللجسم 400 MALFORMED_REQUEST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(DQ-S13-8)؛ لا يتغير المشترك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BR-PLT-001؛ DOC-B04 §3.1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X10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معطّلة للمشترك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MODULE_DISABLED، والبيانات باقية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FR-PLT-003 (:105)</w:t>
            </w:r>
          </w:p>
        </w:tc>
      </w:tr>
      <w:tr>
        <w:trPr>
          <w:cantSplit/>
        </w:trPr>
        <w:tc>
          <w:tcPr>
            <w:tcW w:type="dxa" w:w="95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X11</w:t>
            </w:r>
          </w:p>
        </w:tc>
        <w:tc>
          <w:tcPr>
            <w:tcW w:type="dxa" w:w="168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كتابة في مشترك SUSPENDED أو ARCHIVED_READ_ONLY</w:t>
            </w:r>
          </w:p>
        </w:tc>
        <w:tc>
          <w:tcPr>
            <w:tcW w:type="dxa" w:w="159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 TENANT_READ_ONLY ولا صف يتغير</w:t>
            </w:r>
          </w:p>
        </w:tc>
        <w:tc>
          <w:tcPr>
            <w:tcW w:type="dxa" w:w="563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BR-PLT-002؛ T27، T31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قواعد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التوليد.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تُولَّد قائمة الحالات من وثيقة OpenAPI المولَّدة في البناء (FR-PLT-041، :143). الامتدادات x-permission وx-company-scoped وx-module تحدد أي الحالات تنطبق (DQ-S13-3). عملية بلا حالات تفشل البناء، كما تطلب O-09 (tools/dbgen/erd_open_items.py:65).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المعرّف.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SEC-API-{operationId}-X{n}، مثل SEC-API-getUser-X3. يحمل كل اختبار وسم FR وTHR ليقرأه مولّد التتبع (DOC-B08).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تطابق الاستجابة.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في X3 وX4 تُقارن الحالة والجسم والترويسات بطلب معرّف عشوائي غير موجود، فلا يكشف الفرق وجود الصف.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فحص الجسم.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كل استجابة في هذه الاختبارات تُمسح بحثًا عن PublicId أو اسم أو قيمة مقيّدة من B (DOC-S06 §10).</w:t>
      </w:r>
    </w:p>
    <w:p>
      <w:pPr>
        <w:pStyle w:val="ListParagraph"/>
        <w:numPr>
          <w:ilvl w:val="0"/>
          <w:numId w:val="3"/>
        </w:numPr>
        <w:bidi/>
        <w:spacing w:after="70" w:before="0" w:line="300"/>
      </w:pPr>
      <w:r>
        <w:rPr>
          <w:rFonts w:ascii="Arial" w:cs="Arial" w:eastAsia="Arial" w:hAnsi="Arial"/>
          <w:b/>
          <w:bCs/>
          <w:sz w:val="21"/>
          <w:szCs w:val="21"/>
          <w:rtl/>
        </w:rPr>
        <w:t xml:space="preserve">الأثر.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بعد كل حالة كتابة يُقرأ صف B بحساب اختبار مربوط بـ B، ويُتحقق أن RowVersion لم يتغير.</w:t>
      </w:r>
    </w:p>
    <w:p>
      <w:pPr>
        <w:bidi/>
        <w:spacing w:after="60" w:before="0"/>
      </w:pPr>
    </w:p>
    <w:p>
      <w:pPr>
        <w:pStyle w:val="Heading2"/>
        <w:bidi/>
      </w:pPr>
      <w:bookmarkStart w:name="_sec8" w:id="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5.3 نقاط S0 في هيكل OpenAPI</w:t>
      </w:r>
      <w:bookmarkEnd w:id="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المسارات من هيكل DOC-B04 §12. العمود «خاص» يذكر ما يُضاف إلى الحالات العامة.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235"/>
        <w:gridCol w:w="997"/>
        <w:gridCol w:w="2632"/>
      </w:tblGrid>
      <w:tr>
        <w:trPr>
          <w:cantSplit/>
          <w:tblHeader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العملية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خاص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/auth/login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مستخدم من A على مضيف B يعطي 401 INVALID_CREDENTIALS بالرسالة نفسها والزمن نفسه تقريبًا (SEC-AUTH-02)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/auth/mfa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تنتظر MFA من A لا تُستكمل على B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/auth/logout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ينهي جلسة الطالب وحده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/auth/session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يعيد إلا مستخدم الجلسة ومشتركها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/auth/password-reset-requests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202 دائمًا؛ بريد مستخدم B على مضيف A لا يرسل رسالة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/auth/password-resets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صادر لمستخدم B يُرفض على مضيف A بالرسالة الموحدة V-PLT-06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/auth/invitations/accept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كما السابق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X6، X8، X9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البحث q بجزء بريد من B لا يعيد شيئًا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X7، X8، X9،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roleIds من B تعطي 422؛ بريد مستخدم من B لا يكشف وجوده (O-21)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/users/{userId}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/users/{userId}/actions/{action}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X3، X5، X8،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لكل قيمة من القيم الست؛ فك قفل مستخدم B مستحيل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/users/{userId}/roles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X7،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 من B مرجعًا يعطي 422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/users/{userId}/sessions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جلسات مستخدم B تبقى، وT37 يثبت السحب لمستخدم A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X2، X5، X6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/roles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PATCH /roles/{roleId}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PUT /roles/{roleId}/permissions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X3، X5، X11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صلاحية مقفلة لدور غير TM وFO تعطي 403 PERMISSION_LOCKED (AC-PTY-1)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/permissions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كتالوج عالمي للقراءة فقط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GET، POST /platform/tenants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مشترك على مضيف المشغّل يعطي 401؛ الاستجابة عدّادات بلا بيانات أعمال (FR-PLT-005)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GET /platform/tenants/{tenantId}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يقرأ ولا ينشئ</w:t>
            </w:r>
          </w:p>
        </w:tc>
      </w:tr>
      <w:tr>
        <w:trPr>
          <w:cantSplit/>
        </w:trPr>
        <w:tc>
          <w:tcPr>
            <w:tcW w:type="dxa" w:w="6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POST /platform/tenants/{tenantId}/actions/{action}</w:t>
            </w:r>
          </w:p>
        </w:tc>
        <w:tc>
          <w:tcPr>
            <w:tcW w:type="dxa" w:w="99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X1، X5</w:t>
            </w:r>
          </w:p>
        </w:tc>
        <w:tc>
          <w:tcPr>
            <w:tcW w:type="dxa" w:w="263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OPERATOR_SUPPORT يُرفض بـ 403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موارد S0 خارج الهيكل اليوم، ويجب أن تظهر في OpenAPI المولَّد بحالاتها: المستندات ورفعها وتنزيلها (FR-PLT-027 إلى FR-PLT-030)، وعارض التدقيق وتصديره (FR-PLT-024)، والإعدادات (FR-PLT-043)، والترقيم (FR-PLT-026)، والمهام (FR-PLT-044)، ومنح وصول الدعم (FR-PLT-007). تنزيل مستند من B يعطي 404، وتنزيل مستند مقيّد بلا صلاحية الكشف يعطي 403 (AC-PLT-15).</w:t>
      </w:r>
    </w:p>
    <w:p>
      <w:pPr>
        <w:pStyle w:val="Heading2"/>
        <w:bidi/>
      </w:pPr>
      <w:bookmarkStart w:name="_sec9" w:id="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5.4 نقاط الشرائح التالية</w:t>
      </w:r>
      <w:bookmarkEnd w:id="9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قوائم الموارد من §11 في كل مواصفة. الحالات X1 إلى X11 تنطبق على كل مورد، ويضاف لكل وحدة ما يلي.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993"/>
        <w:gridCol w:w="2496"/>
        <w:gridCol w:w="961"/>
        <w:gridCol w:w="1414"/>
      </w:tblGrid>
      <w:tr>
        <w:trPr>
          <w:cantSplit/>
          <w:tblHeader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الوحدة والمصدر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الموارد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حالات خاصة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M1 (docs/10-detailed-analysis/10-m0-m1-platform-organization.md:568)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companies، parties مع identity-documents، authority-grants، authority-query، documents، kyc-profiles، audit-events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 وS2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قواعد رؤية Party (FR-PTY-019)؛ الكشف والصور 403 لغير TM وFO (AC-PTY-1)؛ لا رقم كامل في أي استجابة غير نقطة الكشف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M2-M4 (docs/10-detailed-analysis/11-m2-m4-institutions-accounts-catalogs.md:567)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/institutions، /relationships، /bank-setup، /accounts، /signatories/{id}/authorities، /services/*، /base-rates/{id}/values، /catalogs/{kind}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 وS1-ب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أرقام الحسابات وIBAN مقنّعة؛ الصفوف العامة في الكتالوج المختلط للقراءة فقط (نظير T9 إلى T12)؛ كل خدمة /services/* معرَّضة تُختبر كغيرها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M5 (docs/10-detailed-analysis/12-m5-facilities-pricing-collateral-obligations.md:581)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/facilities، /limits، /utilizations، /reservations، /availability، /pricing/resolve، /collaterals، /obligations، /financial-statements، /terms/compare وغيرها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 وS2-ب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المعرّفات في الاستعلام لـ /availability و/pricing/resolve و/terms/compare تأخذ X3 وX4 لكل معرّف؛ حزمة الكفيل مقنّعة بلا صلاحية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M6 (docs/10-detailed-analysis/13-m6-workflow-engine-notifications.md:675)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/request-types، /templates، /requests وإجراءاته، /claim، /inbox، /search، /notifications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 SOD_VIOLATION؛ /claim على طلب من B يعطي 404؛ إشعار مستخدم آخر 404 (AC-NTF-2)</w:t>
            </w:r>
          </w:p>
        </w:tc>
      </w:tr>
      <w:tr>
        <w:trPr>
          <w:cantSplit/>
        </w:trPr>
        <w:tc>
          <w:tcPr>
            <w:tcW w:type="dxa" w:w="499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M7-M8 (docs/10-detailed-analysis/14-m7-m8-letters-of-credit.md:654)</w:t>
            </w:r>
          </w:p>
        </w:tc>
        <w:tc>
          <w:tcPr>
            <w:tcW w:type="dxa" w:w="24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/lc-terms، /lcs وتعديلاته، /drawings، /export-lcs/{id}/orders، /proformas، /counterparties</w:t>
            </w:r>
          </w:p>
        </w:tc>
        <w:tc>
          <w:tcPr>
            <w:tcW w:type="dxa" w:w="96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141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مسح استجابات الطالب والمبيعات بحثًا عن أعمدة الخزينة (BR-LCI-014، BR-LCE-015، :666)؛ IBAN المستفيد مقنّع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0" w:id="1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6. ربط OWASP ASVS المستوى 2 بالضوابط والاختبارات</w:t>
      </w:r>
      <w:bookmarkEnd w:id="10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الهدف المستوى 2 </w:t>
      </w:r>
      <w:r>
        <w:rPr>
          <w:rFonts w:ascii="Arial" w:cs="Arial" w:eastAsia="Arial" w:hAnsi="Arial"/>
          <w:color w:val="2E9E44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(X-SEC-5، docs/10-detailed-analysis/00-overview-and-cross-cutting.md:140). أسماء الفصول وأرقامها أدناه من الإصدار 5.0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، وتُطابق على نص الإصدار المعتمد قبل الاستعمال (DQ-S13-1). يُحفظ لكل متطلب من المستوى 2 سطر في قائمة فحص: ينطبق أو لا، والدليل، والنتيجة (DQ-S13-2).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54"/>
        <w:gridCol w:w="3979"/>
        <w:gridCol w:w="3977"/>
        <w:gridCol w:w="954"/>
      </w:tblGrid>
      <w:tr>
        <w:trPr>
          <w:cantSplit/>
          <w:tblHeader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الفصل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الضوابط في BankFas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الاختبارات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 Encoding and Sanitization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استعلامات بمعاملات فقط؛ لا SQL ديناميكي في وحدات EXECUTE AS (THR-34)؛ نصوص البنود بلا HTML (docs/10-detailed-analysis/14-m7-m8-letters-of-credit.md:668)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مراجعة كود؛ حمولات حقن في L7؛ AC-NTF-1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V2 Validation and Business Logic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رموز V-XXX-nn في الخادم (DOC-B04 §9.2)؛ If-Match وIdempotency-Key؛ فصل المهام؛ قفل الحد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422 لكل رمز؛ NFR-PERF-03 وNFR-PERF-07؛ FSR-T1 إلى FSR-T6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للقاعدة،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للتطبيق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V3 Web Frontend Security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وCSP والترويسات وCSRF وفحص Origin (DOC-S03 §4 إلى §6)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§7: SEC-SES وSEC-CSRF وSEC-HDR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V4 API and Web Service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عقد OpenAPI؛ معامل مجهول 400؛ لا CORS؛ problem+json (DOC-B04)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AC-PLT-18؛ X9؛ SEC-CSRF-04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V5 File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المحتوى، 25 ميغابايت، فحص البرمجيات قبل الإتاحة، الحجر، التنزيل من نقطة مصرَّحة (FR-PLT-029، FR-PLT-030)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AC-PLT-15؛ NFR-SEC-15؛ X3 على التنزيل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V6 Authentication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Argon2id في القاعدة، والقفل، والخطأ الواحد، وMFA وTOTP ورموز الاسترداد (DOC-S04)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 إلى T36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T-S04-1 إلى T-S04-16 وSEC-AUTH في §8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V7 Session Management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رمز معتم مجزّأ، والمهلتان، والسحب الفوري، والخروج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T25، T26، T30، T32، T35، T37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SEC-SES في §7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V8 Authorization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RLS والربط، والصلاحية، ونطاق الشركة، والصلاحيات المقفلة، وترتيب التقييم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 إلى T24 وT28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X3 إلى X6؛ AC-PTY-1؛ AC-PLT-13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للقاعدة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V9 Self-contained Tokens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الآن: الرمز مرجعي لا JWT (DOC-S03 §3)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يُراجع مع رموز الخدمة والخطافات (docs/10-detailed-analysis/10-m0-m1-platform-organization.md:574-575)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V10 OAuth and OIDC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 حتى FR-PLT-015 في S5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يُضاف مع ربط OIDC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V11 Cryptography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تشفير الأعمدة بمفتاح المشترك، والفهرس الأعمى، ولف المفاتيح، والتدوير (DOC-S02)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R7 وR8 في check_grants.py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AC-PLT-17؛ NFR-REC-04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V12 Secure Communication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1.2 حدًا أدنى وHSTS (DOC-S05)؛ اتصال القاعدة بشهادة موثوقة خارج CI (DOC-B11 §9)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NFR-SEC-09؛ SEC-HDR-04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V13 Configuration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أقل صلاحية للأدوار، ولا أسرار في المستودع، ودخول مستقل لكل بيئة، وبوابة الإصدارات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R1 إلى R10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فحص الأسرار وAC-PLT-4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V14 Data Protection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التصنيف والتقنيع، ولا قيمة مقيّدة في السجلات والإشعارات وOutbox، وno-store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T21، T23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مسح الاستجابات والسجلات (DOC-S06 §10)؛ NFR-SEC-14؛ SEC-HDR-03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V15 Secure Coding and Architecture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حدود الثقة (DOC-F01)، ونموذج التهديدات (DOC-S01)، وجرد الحزم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L5؛ مراجعة THR قبل كل شريحة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V16 Security Logging and Error Handling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تدقيق للإدراج فقط، وأحداث الشدة العالية، وخطأ بلا نص SQL، ومعرّف ارتباط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T13 إلى T15 وT38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؛ AC-PLT-14؛ SEC-ERR-01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جزئيًا</w:t>
            </w:r>
          </w:p>
        </w:tc>
      </w:tr>
      <w:tr>
        <w:trPr>
          <w:cantSplit/>
        </w:trPr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V17 WebRTC</w:t>
            </w:r>
          </w:p>
        </w:tc>
        <w:tc>
          <w:tcPr>
            <w:tcW w:type="dxa" w:w="39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  <w:tc>
          <w:tcPr>
            <w:tcW w:type="dxa" w:w="39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  <w:tc>
          <w:tcPr>
            <w:tcW w:type="dxa" w:w="95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ينطبق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1" w:id="1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7. اختبارات الجلسة وCSRF والترويسات</w:t>
      </w:r>
      <w:bookmarkEnd w:id="11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من DOC-S03، وكلها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حتى يُبنى التطبيق. «متصفح» تعني Playwright على بيئة الاختبار، و«API» اختبار تكامل.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7"/>
        <w:gridCol w:w="2055"/>
        <w:gridCol w:w="3699"/>
        <w:gridCol w:w="1096"/>
        <w:gridCol w:w="1507"/>
      </w:tblGrid>
      <w:tr>
        <w:trPr>
          <w:cantSplit/>
          <w:tblHeader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المستوى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خصائص كوكي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الاسم __Host-bf_session، Secure، HttpOnly، SameSite=Lax، Path=/، بلا Domain ولا Expires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 Set-Cookie في كل استجابة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Domain=bankfas.com أبدًا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§4؛ FR-PLT-046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تثبيت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مرسل قبل الدخول لا يُعتمد؛ رمز جديد 32 بايتًا بعد كل دخول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THR-04؛ 030:53-54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خارج الروابط والسجلات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لقيمة الرمز في سجلات التطبيق والوكيل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الخمول والمهلة المطلقة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بعد 31 دقيقة خمول يعطي 401؛ لا جلسة بعد 12 ساعة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 مع ساعة مزيّفة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T32، T35؛ AC-PLT-12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SEC-SES-06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الخروج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الكوكي بقيمة فارغة وMax-Age=0، والجلسة EndedAt، والطلب التالي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SEC-SES-07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إنهاء المدير للجلسة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الطلب التالي للمستخدم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T37؛ FR-PLT-014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SEC-SES-08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البوابتين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كوكي المشغّل على مضيف مشترك وكوكي المشترك على مضيف المشغّل يعطيان 401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FR-PLT-006؛ DQ-S03-7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طلب يغيّر الحالة بلا رمز CSRF أو برمز جلسة 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Origin من مضيف مشترك آخر، أو بلا Origin ولا Referer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§4،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نموذج الدخول بلا رمز ما قبل الجلسة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403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SEC-CSRF-04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CORS وطلب preflight من أصل آخر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Access-Control-Allow-Origin في أي استجابة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§5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CSP على كل صفحة HTML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السياسة كما في DOC-S03 §6، وصفر مخالفات CSP في تشغيل Playwright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SEC-HDR-02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الترويسات الأخرى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nosniff وno-referrer وPermissions-Policy وCOOP وCORP وX-Frame-Options DENY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SEC-HDR-03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التخزين المؤقت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Cache-Control: no-store لكل استجابة مصدَّقة ولصفحات الدخول والإعادة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SEC-HDR-04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وHSTS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النتيجة في DOC-S05 بعد كل نشر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آلي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SEC-HDR-05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الدعوة والإعادة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الرمز يُرسل بـ POST ثم يُحوَّل إلى عنوان بلا رمز؛ السجلات تحجب المسار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متصفح وتكامل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§6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SEC-IP-01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X-Forwarded-For مزيّف من العميل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ClientIp المخزّن هو ما رآه الوكيل؛ الوصول المباشر إلى منفذ التطبيق مرفوض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 وبيئة الاختبار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§7؛ THR-09</w:t>
            </w:r>
          </w:p>
        </w:tc>
      </w:tr>
      <w:tr>
        <w:trPr>
          <w:cantSplit/>
        </w:trPr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</w:t>
            </w:r>
          </w:p>
        </w:tc>
        <w:tc>
          <w:tcPr>
            <w:tcW w:type="dxa" w:w="205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خطأ قاعدة مصطنع (547، 2627، 33504)</w:t>
            </w:r>
          </w:p>
        </w:tc>
        <w:tc>
          <w:tcPr>
            <w:tcW w:type="dxa" w:w="369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problem+json بلا رقم خطأ SQL ولا اسم قيد ولا قيمة مقيّدة، مع correlationId</w:t>
            </w:r>
          </w:p>
        </w:tc>
        <w:tc>
          <w:tcPr>
            <w:tcW w:type="dxa" w:w="109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API</w:t>
            </w:r>
          </w:p>
        </w:tc>
        <w:tc>
          <w:tcPr>
            <w:tcW w:type="dxa" w:w="150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§8، §9.4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2" w:id="1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8. اختبارات سياسة كلمة المرور وMFA</w:t>
      </w:r>
      <w:bookmarkEnd w:id="12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القيم والاختبارات T-S04-1 إلى T-S04-16 معرَّفة في DOC-S04 §14، ولا تُكرَّر هنا. هذه الوثيقة تحدد موضعها: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38"/>
        <w:gridCol w:w="1440"/>
        <w:gridCol w:w="5577"/>
        <w:gridCol w:w="1609"/>
      </w:tblGrid>
      <w:tr>
        <w:trPr>
          <w:cantSplit/>
          <w:tblHeader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المجموعة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الحالات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الموضع المقترح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موجودة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T33، T34، T35، T36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db/tests/tenant_isolation_tests.sql، الخطوة 7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تمر اليوم </w:t>
            </w: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القاعدة، جديدة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T-S04-1، T-S04-8، T-S04-10، T-S04-12، T-S04-16، وT-F06-1 للقفل الثالث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جديد db/tests/auth_policy_tests.sql بخطوة CI مستقلة وعدّاد خاص (DQ-S13-6)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T-S04-8 بعد DQ-S04-5؛ T-S04-10 بعد DQ-F03-4؛ T-S04-12 بعد نقل الاستهلاك إلى القاعدة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وحدات التطبيق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T-S04-2، T-S04-4، T-S04-5، T-S04-6، T-S04-9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خدمة كلمة المرور وتقييد المعدل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أول كود دخول في S0</w:t>
            </w:r>
          </w:p>
        </w:tc>
      </w:tr>
      <w:tr>
        <w:trPr>
          <w:cantSplit/>
        </w:trPr>
        <w:tc>
          <w:tcPr>
            <w:tcW w:type="dxa" w:w="123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تكامل</w:t>
            </w:r>
          </w:p>
        </w:tc>
        <w:tc>
          <w:tcPr>
            <w:tcW w:type="dxa" w:w="144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T-S04-3، T-S04-7، T-S04-11، T-S04-13، T-S04-14، T-S04-15</w:t>
            </w:r>
          </w:p>
        </w:tc>
        <w:tc>
          <w:tcPr>
            <w:tcW w:type="dxa" w:w="5577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اختبارات التكامل على حاوية SQL Server</w:t>
            </w:r>
          </w:p>
        </w:tc>
        <w:tc>
          <w:tcPr>
            <w:tcW w:type="dxa" w:w="160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الإجراءات المقترحة في DOC-S04</w:t>
            </w:r>
          </w:p>
        </w:tc>
      </w:tr>
    </w:tbl>
    <w:p>
      <w:pPr>
        <w:bidi/>
        <w:spacing w:after="120" w:before="0"/>
      </w:pPr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حالات API إضافية لا تذكرها DOC-S04 </w:t>
      </w:r>
      <w:r>
        <w:rPr>
          <w:rFonts w:ascii="Arial" w:cs="Arial" w:eastAsia="Arial" w:hAnsi="Arial"/>
          <w:color w:val="E0A800"/>
          <w:sz w:val="21"/>
          <w:szCs w:val="21"/>
          <w:rtl/>
        </w:rPr>
        <w:t xml:space="preserve">●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: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782"/>
        <w:gridCol w:w="2023"/>
        <w:gridCol w:w="2023"/>
        <w:gridCol w:w="3036"/>
      </w:tblGrid>
      <w:tr>
        <w:trPr>
          <w:cantSplit/>
          <w:tblHeader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يُختبر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المرجع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SEC-AUTH-01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بريد مجهول، وكلمة خاطئة، وحساب مقفل ومعطّل ومدعو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استجابة 401 واحدة بالجسم نفسه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DOC-B04 §9.5؛ T33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زمن الرد لبريد مجهول مقابل بريد معروف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الفرق بين الوسيطين دون الحد في DQ-S13-7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THR-02؛ DOC-F03 §5.2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SEC-AUTH-03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خمسون دخولًا متزامنًا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تتجاوز ذاكرة التجزئة السقف، ولا خطأ 500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THR-11؛ NFR-PERF-05؛ DQ-B03-7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SEC-AUTH-04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كلمة مرور معروفة في سيناريو كامل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صفر تطابق في السجلات والتدقيق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FR-PLT-010؛ NFR-SEC-14</w:t>
            </w:r>
          </w:p>
        </w:tc>
      </w:tr>
      <w:tr>
        <w:trPr>
          <w:cantSplit/>
        </w:trPr>
        <w:tc>
          <w:tcPr>
            <w:tcW w:type="dxa" w:w="27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SEC-AUTH-05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رابط دعوة أو إعادة بعد إصدار رابط أحدث</w:t>
            </w:r>
          </w:p>
        </w:tc>
        <w:tc>
          <w:tcPr>
            <w:tcW w:type="dxa" w:w="20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الرابط القديم مرفوض بالرسالة الموحدة</w:t>
            </w:r>
          </w:p>
        </w:tc>
        <w:tc>
          <w:tcPr>
            <w:tcW w:type="dxa" w:w="303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§6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13" w:id="1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9. اختبار الاختراق</w:t>
      </w:r>
      <w:bookmarkEnd w:id="13"/>
    </w:p>
    <w:p>
      <w:pPr>
        <w:pStyle w:val="Heading2"/>
        <w:bidi/>
      </w:pPr>
      <w:bookmarkStart w:name="_sec14" w:id="14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9.1 التوقيت</w:t>
      </w:r>
      <w:bookmarkEnd w:id="14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0"/>
        <w:gridCol w:w="1123"/>
        <w:gridCol w:w="1010"/>
        <w:gridCol w:w="6741"/>
      </w:tblGrid>
      <w:tr>
        <w:trPr>
          <w:cantSplit/>
          <w:tblHeader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المرحلة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يجري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ديناميكي آلي (L7)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التطبيق المنشور في بيئة الاختبار بلا مختبِر بشري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خروج كل شريحة من S0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مستقل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فريق خارجي مستقل عن فريق البناء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تجميد ميزات S5 وقبل قرار التجربة (DOC-B12)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2E9E44"/>
                <w:sz w:val="18"/>
                <w:szCs w:val="18"/>
                <w:rtl/>
              </w:rPr>
              <w:t xml:space="preserve">●</w:t>
            </w: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 «قبل التجربة (S5)» (docs/10-detailed-analysis/10-m0-m1-platform-organization.md:591)؛ 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الاختبار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التحقق من إصلاح كل نتيجة حرجة أو عالية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قرار التجربة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إعدادات الإنتاج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TLS والترويسات والمنافذ المفتوحة، بلا وصول إلى البيانات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فتح الإنتاج للمشترك التجريبي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</w:tr>
      <w:tr>
        <w:trPr>
          <w:cantSplit/>
        </w:trPr>
        <w:tc>
          <w:tcPr>
            <w:tcW w:type="dxa" w:w="99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دوري</w:t>
            </w:r>
          </w:p>
        </w:tc>
        <w:tc>
          <w:tcPr>
            <w:tcW w:type="dxa" w:w="11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اختبار اختراق كامل</w:t>
            </w:r>
          </w:p>
        </w:tc>
        <w:tc>
          <w:tcPr>
            <w:tcW w:type="dxa" w:w="10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سنويًا، وبعد كل تغيير معماري كبير </w:t>
            </w:r>
            <w:r>
              <w:rPr>
                <w:rFonts w:ascii="Arial" w:cs="Arial" w:eastAsia="Arial" w:hAnsi="Arial"/>
                <w:color w:val="E0A800"/>
                <w:sz w:val="18"/>
                <w:szCs w:val="18"/>
                <w:rtl/>
              </w:rPr>
              <w:t xml:space="preserve">●</w:t>
            </w:r>
          </w:p>
        </w:tc>
        <w:tc>
          <w:tcPr>
            <w:tcW w:type="dxa" w:w="674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5" w:id="15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9.2 النطاق</w:t>
      </w:r>
      <w:bookmarkEnd w:id="15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81"/>
        <w:gridCol w:w="4483"/>
      </w:tblGrid>
      <w:tr>
        <w:trPr>
          <w:cantSplit/>
          <w:tblHeader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داخل النطاق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خارج النطاق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بوابة المشترك وAPI على عنوان فرعي لبيئة الاختبار، بمشتركين اصطناعيين A وB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البنية التحتية لمزوّد الاستضافة (TB-13)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لوحة المشغّل على مضيفها المستقل (TB-2)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هجمات إغراق الحجم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الدخول وMFA والدعوة والإعادة وتصفير MFA (DOC-F03)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الهندسة الاجتماعية لموظفي العميل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عزل العناوين الفرعية والكوكي (FR-PLT-046)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أي بيانات حقيقية أو مجهّلة؛ البيانات اصطناعية فقط (DOC-B06)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IDOR بين المشتركين وبين الشركات داخل المشترك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رفع الملفات وتنزيلها والكشف والتصدير (FR-PLT-029، FR-PLT-030، FR-PTY-007)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منطق الأعمال: الحجز المتزامن، وفصل المهام، والتجاوز بسبب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السطح الخارجي للخادم: المنافذ وTLS وSSH (DOC-S10)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5381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روابط البريد وسجلات SPF وDKIM وDMARC (THR-51)</w:t>
            </w:r>
          </w:p>
        </w:tc>
        <w:tc>
          <w:tcPr>
            <w:tcW w:type="dxa" w:w="448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—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6" w:id="16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9.3 قواعد التنفيذ </w:t>
      </w:r>
      <w:r>
        <w:rPr>
          <w:rFonts w:ascii="Arial" w:cs="Arial" w:eastAsia="Arial" w:hAnsi="Arial"/>
          <w:color w:val="E0A800"/>
          <w:sz w:val="26"/>
          <w:szCs w:val="26"/>
          <w:rtl/>
        </w:rPr>
        <w:t xml:space="preserve">●</w:t>
      </w:r>
      <w:bookmarkEnd w:id="16"/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تفويض مكتوب يوقّعه OWN وOPS، بنافذة زمنية وعناوين المصدر.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اختبار «رمادي»: حساب لكل دور في المشتركين، وحسابا مشغّل، ووثيقة OpenAPI، وهذه الوثيقة وDOC-S01. لا دخول sa ولا مفاتيح.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البيئة نسخة معزولة بطوبولوجيا UAT، ومفاتيحها مستقلة، وتُعاد بناؤها بعد الاختبار (DOC-B11 §2).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تصنيف النتائج يقابل شدة DOC-B01 §7: الحرج والعالي Sev1 أو Sev2 ويوقفان التجربة؛ المتوسط له تاريخ إصلاح قبل الإطلاق أو قبول موقّع وفق DQ-S01-1؛ المنخفض في السجل.</w:t>
      </w:r>
    </w:p>
    <w:p>
      <w:pPr>
        <w:pStyle w:val="ListParagraph"/>
        <w:numPr>
          <w:ilvl w:val="0"/>
          <w:numId w:val="4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التقرير مستند مقيّد، ويُحفظ مع خطاب إعادة الاختبار دليلًا لـ NFR-SEC-18.</w:t>
      </w:r>
    </w:p>
    <w:p>
      <w:pPr>
        <w:bidi/>
        <w:spacing w:after="60" w:before="0"/>
      </w:pPr>
    </w:p>
    <w:p>
      <w:pPr>
        <w:pStyle w:val="Heading1"/>
        <w:bidi/>
      </w:pPr>
      <w:bookmarkStart w:name="_sec17" w:id="17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10. المخاطر المتبقية: حالات تُكتب عند الإغلاق</w:t>
      </w:r>
      <w:bookmarkEnd w:id="17"/>
    </w:p>
    <w:p>
      <w:pPr>
        <w:pStyle w:val="Heading2"/>
        <w:bidi/>
      </w:pPr>
      <w:bookmarkStart w:name="_sec18" w:id="18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10.1 O-24 (erd_open_items)</w:t>
      </w:r>
      <w:bookmarkEnd w:id="18"/>
    </w:p>
    <w:p>
      <w:pPr>
        <w:bidi/>
        <w:spacing w:after="110" w:before="0" w:line="312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البند مفتوح بتقدير متوسط (tools/dbgen/erd_open_items.py:151-156)، وDOC-S01 §5 يرفعه إلى عالٍ. الحالات أدناه تُضاف إلى db/tests/tenant_isolation_tests.sql بعد T38 حين يُنفَّذ ضابطها، ويرتفع العدّاد في tools/ci/db_ci.sh:88. الأرقام نهائية عند الإضافة.</w:t>
      </w:r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46"/>
        <w:gridCol w:w="1458"/>
        <w:gridCol w:w="2235"/>
        <w:gridCol w:w="4279"/>
        <w:gridCol w:w="946"/>
      </w:tblGrid>
      <w:tr>
        <w:trPr>
          <w:cantSplit/>
          <w:tblHeader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الخطر في O-24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THR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O24-T1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PasswordHash وFailedAttempts وLockedUntil وStatus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 بصفة tp_app المربوط على مستخدم من مشتركه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لكل عمود؛ والإجراء المقترح sec.usp_ChangePassword يعمل (DOC-S04 §5)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O24-T2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تعديل MfaEnabled وMfaSecretEnc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مباشر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THR-19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O24-T3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تجزئة سجل الكلمات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PasswordHash من sec.UserPasswordHistory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db/generated/tsql/007_table_grants.sql:46)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O24-T4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حذف أثر الدخول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DELETE من sec.LoginAttempt؛ ثم دخول ناجح وفاشل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229 (اليوم ممنوح: db/generated/tsql/005_delete_grants.sql:11)؛ وصف لكل نتيجة في aud.AuditLog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THR-30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O24-T5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قراءة تجزئات رموز الاسترداد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SELECT CodeHash من sec.MfaRecoveryCode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(اليوم ممنوح: 007:42)؛ والاستهلاك بالإجراء مرة واحدة (T-S04-12)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R5 في DOC-S03 §12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O24-T6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إعادة فتح جلسة منهاة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EndedAt = NULL على جلسة منهاة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230؛ والإنهاء بـ sec.usp_EndSession يسحب الربط كما في T37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O24-T7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تمديد الخمول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UPDATE IdleExpiresAt بعد AbsoluteExpiresAt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إن قُرّر الحجب؛ وإلا يقصّه الإجراء عند المهلة المطلقة (DQ-F04-8)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THR-22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O24-T8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حد لإخفاقات MFA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خمسة استدعاءات فاشلة لـ sec.usp_ConfirmMfa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الجلسة منهاة والربط مرفوض 50003 (T-S04-8)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THR-05، THR-21</w:t>
            </w:r>
          </w:p>
        </w:tc>
      </w:tr>
      <w:tr>
        <w:trPr>
          <w:cantSplit/>
        </w:trPr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O24-T9</w:t>
            </w:r>
          </w:p>
        </w:tc>
        <w:tc>
          <w:tcPr>
            <w:tcW w:type="dxa" w:w="1458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ربط مستخدم MfaEnabled = 0</w:t>
            </w:r>
          </w:p>
        </w:tc>
        <w:tc>
          <w:tcPr>
            <w:tcW w:type="dxa" w:w="22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جلسة لمستخدم ACTIVE بلا MFA خارج حالة التسجيل</w:t>
            </w:r>
          </w:p>
        </w:tc>
        <w:tc>
          <w:tcPr>
            <w:tcW w:type="dxa" w:w="42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الربط مرفوض 50003 (T-S04-10، DQ-F03-4)</w:t>
            </w:r>
          </w:p>
        </w:tc>
        <w:tc>
          <w:tcPr>
            <w:tcW w:type="dxa" w:w="946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THR-06</w:t>
            </w:r>
          </w:p>
        </w:tc>
      </w:tr>
    </w:tbl>
    <w:p>
      <w:pPr>
        <w:bidi/>
        <w:spacing w:after="120" w:before="0"/>
      </w:pPr>
    </w:p>
    <w:p>
      <w:pPr>
        <w:pStyle w:val="Heading2"/>
        <w:bidi/>
      </w:pPr>
      <w:bookmarkStart w:name="_sec19" w:id="19"/>
      <w:r>
        <w:rPr>
          <w:rFonts w:ascii="Arial" w:cs="Arial" w:eastAsia="Arial" w:hAnsi="Arial"/>
          <w:b/>
          <w:bCs/>
          <w:color w:val="2B5C8A"/>
          <w:sz w:val="26"/>
          <w:szCs w:val="26"/>
          <w:rtl/>
        </w:rPr>
        <w:t xml:space="preserve">10.2 مخاطر مفتوحة أخرى</w:t>
      </w:r>
      <w:bookmarkEnd w:id="19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44"/>
        <w:gridCol w:w="4135"/>
        <w:gridCol w:w="1913"/>
        <w:gridCol w:w="1272"/>
      </w:tblGrid>
      <w:tr>
        <w:trPr>
          <w:cantSplit/>
          <w:tblHeader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الحالة المقترحة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المتوقع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متى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دخول عضو غير مدير الحساب إلى مشترك SUSPENDED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يتبع القرار: (أ) 50003 لغير المدير، أو (ب) 50002 للجميع؛ ويُعدَّل T27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القرار في DOC-F04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O-19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إدراج صف تدقيق TenantId فارغ من اتصال مشترك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33504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DQ-S01-5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O-20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صف مشترك يشير إلى ref.UcpArticle لمشترك آخر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قبل القيد، بلا 547 يكشف الوجود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بعد إضافة الفحص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O-21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قبول متبقٍّ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 يثبت أن TenantId لا يأتي من الطلب، وV-PLT-07 لا يعمل إلا داخل المشترك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نقاط S0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O-22 (erd_open_items)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وحدة يملكها dbo تستدعي sec.usp_SetSessionContext؛ مؤشر مفتوح بعد السحب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فحص ثابت يرفض الوحدة (THR-35)؛ التطبيق يغلق القارئ ويعيد الاتصال؛ 50002 و50003 بالاستجابة نفسها (DQ-B04-8)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الفحص الآن؛ الباقي مع التطبيق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DR-15، DR-17، DR-11، DR-14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منحة دعم بنافذة خارج 1-72 ساعة؛ إعداد أضعف من حده؛ تعديل StorageKey أو Sha256؛ حذف حدث DEAD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بقيد أو محفّز أو DENY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عند إصلاح كل نتيجة (THR-14، THR-28، THR-29، THR-33)</w:t>
            </w:r>
          </w:p>
        </w:tc>
      </w:tr>
      <w:tr>
        <w:trPr>
          <w:cantSplit/>
        </w:trPr>
        <w:tc>
          <w:tcPr>
            <w:tcW w:type="dxa" w:w="254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THR-31</w:t>
            </w:r>
          </w:p>
        </w:tc>
        <w:tc>
          <w:tcPr>
            <w:tcW w:type="dxa" w:w="4135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tp_app يعدّل WrappedKey في sec.TenantKey</w:t>
            </w:r>
          </w:p>
        </w:tc>
        <w:tc>
          <w:tcPr>
            <w:tcW w:type="dxa" w:w="191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230 بعد نقل الكتابة إلى إجراء</w:t>
            </w:r>
          </w:p>
        </w:tc>
        <w:tc>
          <w:tcPr>
            <w:tcW w:type="dxa" w:w="127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مع DOC-S02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0" w:id="20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11. البوابات لكل شريحة</w:t>
      </w:r>
      <w:bookmarkEnd w:id="20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30"/>
        <w:gridCol w:w="8834"/>
      </w:tblGrid>
      <w:tr>
        <w:trPr>
          <w:cantSplit/>
          <w:tblHeader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الشريحة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الشرط الأمني للخروج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S0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L1 وL2 خضراء؛ X1 إلى X11 لكل عملية S0 في OpenAPI المولَّد؛ SEC-SES وSEC-CSRF وSEC-HDR خضراء في بيئة الاختبار؛ O24-T1 إلى O24-T9 مضافة وتمر، لأن DQ-S01-2 يضع إغلاق O-24 قبل كود الدخول؛ لا نتيجة عالية في L7؛ مراجعة فصول V3 وV6 وV7 وV8 من القائمة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S1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حالات X لكل نقطة جديدة؛ مسح الاستجابات للقيم المقنّعة (الهويات والحسابات)؛ T24 يمر بجداول S1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S2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ما سبق، وحالات V2 للحجز المتزامن (NFR-PERF-03)؛ بيانات DOC-B06 جاهزة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S3 وS4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فصل المهام 403؛ مسح استجابات الطالب والمبيعات (docs/10-detailed-analysis/14-m7-m8-letters-of-credit.md:666)</w:t>
            </w:r>
          </w:p>
        </w:tc>
      </w:tr>
      <w:tr>
        <w:trPr>
          <w:cantSplit/>
        </w:trPr>
        <w:tc>
          <w:tcPr>
            <w:tcW w:type="dxa" w:w="103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قبل التجربة</w:t>
            </w:r>
          </w:p>
        </w:tc>
        <w:tc>
          <w:tcPr>
            <w:tcW w:type="dxa" w:w="8834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قائمة ASVS المستوى 2 مكتملة بلا فشل غير مقبول؛ اختبار الاختراق بلا حرج أو عالٍ مفتوح بعد إعادة الاختبار (NFR-SEC-18)؛ فحص إعدادات الإنتاج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1" w:id="21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12. القرارات المطلوبة</w:t>
      </w:r>
      <w:bookmarkEnd w:id="21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92"/>
        <w:gridCol w:w="1579"/>
        <w:gridCol w:w="4310"/>
        <w:gridCol w:w="960"/>
        <w:gridCol w:w="1723"/>
      </w:tblGrid>
      <w:tr>
        <w:trPr>
          <w:cantSplit/>
          <w:tblHeader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المعرّف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السؤال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الافتراض المقترح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من يقرر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ما يعطّله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إصدار ASVS المعتمد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الإصدار 5.0، وتُطابق أرقام الفصول على نصه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§6، قائمة الفحص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DQ-S13-2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شكل قائمة فحص ASVS ومكانها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في المستودع بسطر لكل متطلب من المستوى 2: ينطبق، الدليل، النتيجة، التاريخ؛ يُراجع عند خروج كل شريحة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 مع QA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بوابات §11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DQ-S13-3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امتدادات OpenAPI لتوليد حالات X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x-permission (قائم في DOC-B04)، وx-company-scoped، وx-module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DQ-S13-4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مفتاح اختبار غياب السياق X2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مصنع اتصالات للاختبار يتخطى usp_SetSessionContext، يُبنى في مشروع الاختبار وحده؛ فحص البناء يرفض وجوده في حزمة الإنتاج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DQ-S13-5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أداة الفحص الديناميكي ومزوّد اختبار الاختراق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فاحص DAST مفتوح المصدر، مثل OWASP ZAP، في بيئة الاختبار؛ ومزوّد اختبار خارجي مستقل يختاره OWN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L7، §9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DQ-S13-6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موضع حالات السياسة الجديدة في القاعدة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ملف db/tests/auth_policy_tests.sql بخطوة CI مستقلة وعدّاد خاص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DBA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DQ-S13-7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حد فرق الزمن في SEC-AUTH-02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فرق الوسيطين ≤ 50 مللي ثانية على 200 محاولة لكل نوع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SEC-AUTH-02، THR-02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DQ-S13-8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حقل TenantId أو حقل مجهول في الجسم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رفض 400 MALFORMED_REQUEST، لا إهمال صامت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APP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X9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DQ-S13-9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لا THR في DOC-S01 لكتابة مشترك صفًا عامًا في جدول مختلط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إضافة تهديد T لحد TB-3 ضابطه T10 إلى T12 في تحديث DOC-S01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§4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DQ-S13-10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بيئة اختبار الاختراق وتكراره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نسخة معزولة ببيانات اصطناعية، قبل قرار التجربة بثلاثة أسابيع على الأقل لإتاحة الإصلاح وإعادة الاختبار، ثم سنويًا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OWN مع SEC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§9، DOC-B12</w:t>
            </w:r>
          </w:p>
        </w:tc>
      </w:tr>
      <w:tr>
        <w:trPr>
          <w:cantSplit/>
        </w:trPr>
        <w:tc>
          <w:tcPr>
            <w:tcW w:type="dxa" w:w="129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DQ-S13-11</w:t>
            </w:r>
          </w:p>
        </w:tc>
        <w:tc>
          <w:tcPr>
            <w:tcW w:type="dxa" w:w="1579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مصدر معرّف الارتباط (§13 البند 3)</w:t>
            </w:r>
          </w:p>
        </w:tc>
        <w:tc>
          <w:tcPr>
            <w:tcW w:type="dxa" w:w="431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يولّده الخادم دائمًا ولا يُعتمد ما يرسله العميل، كما في DOC-S03 §8</w:t>
            </w:r>
          </w:p>
        </w:tc>
        <w:tc>
          <w:tcPr>
            <w:tcW w:type="dxa" w:w="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SA</w:t>
            </w:r>
          </w:p>
        </w:tc>
        <w:tc>
          <w:tcPr>
            <w:tcW w:type="dxa" w:w="1723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SEC-ERR-01، NFR-OPS-01</w:t>
            </w:r>
          </w:p>
        </w:tc>
      </w:tr>
    </w:tbl>
    <w:p>
      <w:pPr>
        <w:bidi/>
        <w:spacing w:after="120" w:before="0"/>
      </w:pPr>
    </w:p>
    <w:p>
      <w:pPr>
        <w:pStyle w:val="Heading1"/>
        <w:bidi/>
      </w:pPr>
      <w:bookmarkStart w:name="_sec22" w:id="22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13. تعارضات وفجوات في المصادر</w:t>
      </w:r>
      <w:bookmarkEnd w:id="22"/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docs/30-readiness-documents.md:312 يذكر 34 سطر PASS وأن db_ci.sh يتحقق من 34، والعدد الفعلي 41 (tools/ci/db_ci.sh:88)، وO-09 يذكر 41 أيضًا (tools/dbgen/erd_open_items.py:63).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Segoe UI Emoji" w:cs="Segoe UI Emoji" w:eastAsia="Segoe UI Emoji" w:hAnsi="Segoe UI Emoji"/>
          <w:sz w:val="21"/>
          <w:szCs w:val="21"/>
          <w:rtl/>
        </w:rPr>
        <w:t xml:space="preserve">✅</w:t>
      </w: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 صُحّح (2026-10-12): السجل docs/30-readiness-documents.md يسمّي الآن ../.github/workflows/treasury-db-ci.yml (جذر المستودع) بدل الملف المحذوف .github/workflows/db-ci.yml.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docs/30-readiness/DOC-B04-api-contract-and-error-model.md:62 يقبل X-Correlation-Id من العميل ويولّده الخادم إن غاب، وdocs/30-readiness/DOC-S03-security-architecture-auth-sessions.md:132 يقول إن التطبيق لا يقبله من المتصفح (DQ-S13-11).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هيكل OpenAPI في DOC-B04 §12 لا يضم نقاط المستندات والتدقيق والإعدادات والترقيم والمهام ووصول الدعم، مع أن FR-PLT-007 وFR-PLT-022 إلى FR-PLT-030 وFR-PLT-043 وFR-PLT-044 في S0 (docs/10-detailed-analysis/10-m0-m1-platform-organization.md:109-146).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توقيت اختبار الاختراق: docs/10-detailed-analysis/00-overview-and-cross-cutting.md:217 يقول «قبل الإطلاق»، وdocs/10-detailed-analysis/10-m0-m1-platform-organization.md:591 يقول «قبل التجربة (S5)». نعتمد الأبكر.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DOC-S01 لا يسجل تهديدًا لكتابة المشترك صفًا عامًا في جدول مختلط، والحالات T10 إلى T12 تختبره (DQ-S13-9).</w:t>
      </w:r>
    </w:p>
    <w:p>
      <w:pPr>
        <w:pStyle w:val="ListParagraph"/>
        <w:numPr>
          <w:ilvl w:val="0"/>
          <w:numId w:val="5"/>
        </w:numPr>
        <w:bidi/>
        <w:spacing w:after="70" w:before="0" w:line="300"/>
      </w:pPr>
      <w:r>
        <w:rPr>
          <w:rFonts w:ascii="Arial" w:cs="Arial" w:eastAsia="Arial" w:hAnsi="Arial"/>
          <w:b w:val="false"/>
          <w:bCs w:val="false"/>
          <w:sz w:val="21"/>
          <w:szCs w:val="21"/>
          <w:rtl/>
        </w:rPr>
        <w:t xml:space="preserve">لا تهديد في DOC-S01 لقراءة tp_app تجزئات رموز الاسترداد، مع أن O-24 يذكرها (tools/dbgen/erd_open_items.py:153) وDOC-S03 §12 يسجلها خطرًا R5.</w:t>
      </w:r>
    </w:p>
    <w:p>
      <w:pPr>
        <w:bidi/>
        <w:spacing w:after="60" w:before="0"/>
      </w:pPr>
    </w:p>
    <w:p>
      <w:pPr>
        <w:pStyle w:val="Heading1"/>
        <w:bidi/>
      </w:pPr>
      <w:bookmarkStart w:name="_sec23" w:id="23"/>
      <w:r>
        <w:rPr>
          <w:rFonts w:ascii="Arial" w:cs="Arial" w:eastAsia="Arial" w:hAnsi="Arial"/>
          <w:b/>
          <w:bCs/>
          <w:color w:val="1F3A5F"/>
          <w:sz w:val="32"/>
          <w:szCs w:val="32"/>
          <w:rtl/>
        </w:rPr>
        <w:t xml:space="preserve">14. التتبع</w:t>
      </w:r>
      <w:bookmarkEnd w:id="23"/>
    </w:p>
    <w:tbl>
      <w:tblPr>
        <w:bidiVisual/>
        <w:tblW w:type="dxa" w:w="9864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82"/>
        <w:gridCol w:w="1960"/>
        <w:gridCol w:w="6922"/>
      </w:tblGrid>
      <w:tr>
        <w:trPr>
          <w:cantSplit/>
          <w:tblHeader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البند في هذه الوثيقة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المتطلب أو القاعدة أو القرار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1F3A5F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  <w:rtl/>
              </w:rPr>
              <w:t xml:space="preserve">المصدر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§2، §4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X-SEC-4، FR-PLT-036، BR-PLT-001، O-09 (erd_open_items)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docs/10-detailed-analysis/00-overview-and-cross-cutting.md:139؛ db/tests/tenant_isolation_tests.sql؛ tools/dbgen/erd_open_items.py:62-66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§3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مستويات الاختبار، خط التطبيق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DOC-B01 §3؛ DOC-B11 §5.2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FR-PLT-020، FR-PLT-021، FR-PLT-041، FR-PLT-046، AC-PLT-1، AC-PLT-21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docs/10-detailed-analysis/10-m0-m1-platform-organization.md:122-123، :143، :148، :650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§5.4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قوائم الموارد، IDOR لكل نقطة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10-m0-m1…:568؛ 11-m2-m4…:567؛ 12-m5…:581؛ 13-m6…:675، :687؛ 14-m7-m8…:654، :666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§6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X-SEC-5، NFR-SEC-13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docs/10-detailed-analysis/00-overview-and-cross-cutting.md:140؛ DOC-B03 §5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§7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FR-PLT-014، FR-PLT-006، THR-03، THR-04، THR-08، THR-09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DOC-S03 §3 إلى §8؛ db/static/030_session_context.sql:53-54، :116-118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§8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FR-PLT-010 إلى FR-PLT-013، BR-PLT-004 إلى BR-PLT-006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DOC-S04 §14؛ db/static/030_session_context.sql:23-163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§9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NFR-SEC-18، اختبار الاختراق قبل التجربة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docs/10-detailed-analysis/10-m0-m1-platform-organization.md:591؛ docs/10-detailed-analysis/00-overview-and-cross-cutting.md:217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O-24 (erd_open_items)، THR-19 إلى THR-22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tools/dbgen/erd_open_items.py:151-156؛ db/static/030_session_context.sql:237-239؛ db/generated/tsql/007_table_grants.sql:24، :42، :46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§10.2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O-18 إلى O-22 (erd_open_items)، DR-11، DR-14، DR-15، DR-17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shd w:fill="F5F8FC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tools/dbgen/erd_open_items.py:115-144؛ DOC-S01 §4</w:t>
            </w:r>
          </w:p>
        </w:tc>
      </w:tr>
      <w:tr>
        <w:trPr>
          <w:cantSplit/>
        </w:trPr>
        <w:tc>
          <w:tcPr>
            <w:tcW w:type="dxa" w:w="98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§11</w:t>
            </w:r>
          </w:p>
        </w:tc>
        <w:tc>
          <w:tcPr>
            <w:tcW w:type="dxa" w:w="1960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خروج الشرائح</w:t>
            </w:r>
          </w:p>
        </w:tc>
        <w:tc>
          <w:tcPr>
            <w:tcW w:type="dxa" w:w="6922"/>
            <w:tcBorders>
              <w:top w:val="single" w:color="BFC9D6" w:sz="4"/>
              <w:left w:val="single" w:color="BFC9D6" w:sz="4"/>
              <w:bottom w:val="single" w:color="BFC9D6" w:sz="4"/>
              <w:right w:val="single" w:color="BFC9D6" w:sz="4"/>
            </w:tcBorders>
            <w:tcMar>
              <w:top w:type="dxa" w:w="50"/>
              <w:left w:type="dxa" w:w="90"/>
              <w:bottom w:type="dxa" w:w="50"/>
              <w:right w:type="dxa" w:w="90"/>
            </w:tcMar>
            <w:vAlign w:val="top"/>
          </w:tcPr>
          <w:p>
            <w:pPr>
              <w:keepNext w:val="false"/>
              <w:bidi/>
              <w:spacing w:after="30" w:before="30" w:line="264"/>
            </w:pPr>
            <w:r>
              <w:rPr>
                <w:rFonts w:ascii="Arial" w:cs="Arial" w:eastAsia="Arial" w:hAnsi="Arial"/>
                <w:b w:val="false"/>
                <w:bCs w:val="false"/>
                <w:sz w:val="18"/>
                <w:szCs w:val="18"/>
                <w:rtl/>
              </w:rPr>
              <w:t xml:space="preserve">docs/10-detailed-analysis/00-overview-and-cross-cutting.md:194-201</w:t>
            </w:r>
          </w:p>
        </w:tc>
      </w:tr>
    </w:tbl>
    <w:p>
      <w:pPr>
        <w:bidi/>
        <w:spacing w:after="120" w:before="0"/>
      </w:pPr>
    </w:p>
    <w:sectPr>
      <w:headerReference w:type="default" r:id="rId7"/>
      <w:footerReference w:type="default" r:id="rId8"/>
      <w:pgSz w:w="11906" w:h="16838" w:orient="portrait"/>
      <w:pgMar w:top="1134" w:right="1021" w:bottom="1134" w:left="1021" w:header="500" w:footer="500" w:gutter="0"/>
      <w:pgNumType/>
      <w:bidi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/>
      <w:jc w:val="center"/>
    </w:pPr>
    <w:r>
      <w:rPr>
        <w:rFonts w:ascii="Arial" w:cs="Arial" w:eastAsia="Arial" w:hAnsi="Arial"/>
        <w:color w:val="5B6670"/>
        <w:sz w:val="17"/>
        <w:szCs w:val="17"/>
        <w:rtl/>
      </w:rPr>
      <w:t xml:space="preserve">صفحة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5B6670"/>
        <w:sz w:val="17"/>
        <w:szCs w:val="17"/>
        <w:rtl/>
      </w:rPr>
      <w:t xml:space="preserve"> من </w:t>
    </w:r>
    <w:r>
      <w:rPr>
        <w:rFonts w:ascii="Arial" w:cs="Arial" w:eastAsia="Arial" w:hAnsi="Arial"/>
        <w:color w:val="5B6670"/>
        <w:sz w:val="17"/>
        <w:szCs w:val="17"/>
        <w:rtl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9D6" w:sz="4" w:space="4"/>
      </w:pBdr>
      <w:bidi/>
      <w:spacing w:after="0"/>
    </w:pPr>
    <w:r>
      <w:rPr>
        <w:rFonts w:ascii="Arial" w:cs="Arial" w:eastAsia="Arial" w:hAnsi="Arial"/>
        <w:color w:val="5B6670"/>
        <w:sz w:val="17"/>
        <w:szCs w:val="17"/>
        <w:rtl/>
      </w:rPr>
      <w:t xml:space="preserve">DOC-S13 · BankFas · مستندات الجاهزية P1 وP2 · 0.1 مسودة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74" w:hanging="284"/>
      </w:pPr>
    </w:lvl>
    <w:lvl w:ilvl="1" w15:tentative="1">
      <w:start w:val="1"/>
      <w:numFmt w:val="bullet"/>
      <w:lvlText w:val="–"/>
      <w:lvlJc w:val="left"/>
      <w:pPr>
        <w:ind w:left="1028" w:hanging="284"/>
      </w:pPr>
    </w:lvl>
    <w:lvl w:ilvl="2" w15:tentative="1">
      <w:start w:val="1"/>
      <w:numFmt w:val="bullet"/>
      <w:lvlText w:val="·"/>
      <w:lvlJc w:val="left"/>
      <w:pPr>
        <w:ind w:left="1482" w:hanging="284"/>
      </w:pPr>
    </w:lvl>
    <w:lvl w:ilvl="3" w15:tentative="1">
      <w:start w:val="1"/>
      <w:numFmt w:val="bullet"/>
      <w:lvlText w:val="·"/>
      <w:lvlJc w:val="left"/>
      <w:pPr>
        <w:ind w:left="1936" w:hanging="284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74" w:hanging="340"/>
      </w:pPr>
    </w:lvl>
    <w:lvl w:ilvl="1" w15:tentative="1">
      <w:start w:val="1"/>
      <w:numFmt w:val="decimal"/>
      <w:lvlText w:val="%2."/>
      <w:lvlJc w:val="left"/>
      <w:pPr>
        <w:ind w:left="1028" w:hanging="340"/>
      </w:pPr>
    </w:lvl>
    <w:lvl w:ilvl="2" w15:tentative="1">
      <w:start w:val="1"/>
      <w:numFmt w:val="decimal"/>
      <w:lvlText w:val="%3."/>
      <w:lvlJc w:val="left"/>
      <w:pPr>
        <w:ind w:left="1482" w:hanging="3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5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  <w:rtl/>
        <w:lang w:val="ar-SA" w:bidi="ar-SA"/>
      </w:rPr>
    </w:rPrDefault>
    <w:pPrDefault>
      <w:pPr>
        <w:bidi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bidi/>
      <w:spacing w:after="160" w:before="0"/>
    </w:pPr>
    <w:rPr>
      <w:b/>
      <w:bCs/>
      <w:color w:val="1F3A5F"/>
      <w:sz w:val="48"/>
      <w:szCs w:val="48"/>
    </w:rPr>
  </w:style>
  <w:style w:type="paragraph" w:styleId="Heading1">
    <w:name w:val="heading 1"/>
    <w:basedOn w:val="Normal"/>
    <w:next w:val="Normal"/>
    <w:qFormat/>
    <w:pPr>
      <w:keepNext/>
      <w:pBdr>
        <w:bottom w:val="single" w:color="1F3A5F" w:sz="8" w:space="3"/>
      </w:pBdr>
      <w:bidi/>
      <w:spacing w:after="140" w:before="380"/>
      <w:outlineLvl w:val="0"/>
    </w:pPr>
    <w:rPr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keepNext/>
      <w:bidi/>
      <w:spacing w:after="100" w:before="260"/>
      <w:outlineLvl w:val="1"/>
    </w:pPr>
    <w:rPr>
      <w:b/>
      <w:bCs/>
      <w:color w:val="2B5C8A"/>
      <w:sz w:val="26"/>
      <w:szCs w:val="26"/>
    </w:rPr>
  </w:style>
  <w:style w:type="paragraph" w:styleId="Heading3">
    <w:name w:val="heading 3"/>
    <w:basedOn w:val="Normal"/>
    <w:next w:val="Normal"/>
    <w:qFormat/>
    <w:pPr>
      <w:keepNext/>
      <w:bidi/>
      <w:spacing w:after="80" w:before="200"/>
      <w:outlineLvl w:val="2"/>
    </w:pPr>
    <w:rPr>
      <w:b/>
      <w:bCs/>
      <w:color w:val="2B5C8A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919e7ccc8ddc1563cdb36f5598e321020322758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DOC-S13 — خطة اختبار الأمن والعزل</dc:title>
  <dc:creator>Claude</dc:creator>
  <dc:description>BankFas database design document</dc:description>
  <cp:lastModifiedBy>Un-named</cp:lastModifiedBy>
  <cp:revision>1</cp:revision>
  <dcterms:created xsi:type="dcterms:W3CDTF">2026-10-12T18:10:10.349Z</dcterms:created>
  <dcterms:modified xsi:type="dcterms:W3CDTF">2026-10-12T18:10:10.349Z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