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248 tables · 20 schemas · 919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248 tables in 20 schemas; 919 foreign keys; 652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53</w:t>
            </w:r>
          </w:p>
        </w:tc>
        <w:tc>
          <w:tcPr>
            <w:tcW w:type="dxa" w:w="1701"/>
          </w:tcPr>
          <w:p>
            <w:pPr>
              <w:spacing w:after="0" w:before="0"/>
            </w:pPr>
            <w:r/>
            <w:r>
              <w:rPr>
                <w:rFonts w:ascii="Arial" w:hAnsi="Arial"/>
                <w:b w:val="0"/>
                <w:sz w:val="17"/>
              </w:rPr>
              <w:t>27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91 diagrams cover 248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35</w:t>
            </w:r>
          </w:p>
        </w:tc>
        <w:tc>
          <w:tcPr>
            <w:tcW w:type="dxa" w:w="2268"/>
          </w:tcPr>
          <w:p>
            <w:pPr>
              <w:spacing w:after="0" w:before="0"/>
            </w:pPr>
            <w:r/>
            <w:r>
              <w:rPr>
                <w:rFonts w:ascii="Arial" w:hAnsi="Arial"/>
                <w:b w:val="0"/>
                <w:sz w:val="17"/>
              </w:rPr>
              <w:t>90</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19)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19)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19)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19)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19)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19)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19)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52160" cy="6970221"/>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5852160" cy="6970221"/>
                    </a:xfrm>
                    <a:prstGeom prst="rect"/>
                  </pic:spPr>
                </pic:pic>
              </a:graphicData>
            </a:graphic>
          </wp:inline>
        </w:drawing>
      </w:r>
    </w:p>
    <w:p>
      <w:pPr>
        <w:spacing w:after="120"/>
        <w:jc w:val="center"/>
      </w:pPr>
      <w:r>
        <w:rPr>
          <w:rFonts w:ascii="Arial" w:hAnsi="Arial"/>
          <w:b w:val="0"/>
          <w:i/>
          <w:color w:val="6B7280"/>
          <w:sz w:val="16"/>
        </w:rPr>
        <w:t>Figure 59  Financial statements and balances (part 12 of 19)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fin.LenderRating</w:t>
            </w:r>
          </w:p>
        </w:tc>
        <w:tc>
          <w:tcPr>
            <w:tcW w:type="dxa" w:w="6690"/>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shd w:val="clear" w:color="auto" w:fill="E8EEF6"/>
          </w:tcPr>
          <w:p>
            <w:pPr>
              <w:spacing w:after="0" w:before="0"/>
            </w:pPr>
            <w:r/>
            <w:r>
              <w:rPr>
                <w:rFonts w:ascii="Arial" w:hAnsi="Arial"/>
                <w:b w:val="0"/>
                <w:sz w:val="15"/>
              </w:rPr>
              <w:t>LenderRatingId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84900" cy="3308589"/>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184900" cy="3308589"/>
                    </a:xfrm>
                    <a:prstGeom prst="rect"/>
                  </pic:spPr>
                </pic:pic>
              </a:graphicData>
            </a:graphic>
          </wp:inline>
        </w:drawing>
      </w:r>
    </w:p>
    <w:p>
      <w:pPr>
        <w:spacing w:after="120"/>
        <w:jc w:val="center"/>
      </w:pPr>
      <w:r>
        <w:rPr>
          <w:rFonts w:ascii="Arial" w:hAnsi="Arial"/>
          <w:b w:val="0"/>
          <w:i/>
          <w:color w:val="6B7280"/>
          <w:sz w:val="16"/>
        </w:rPr>
        <w:t>Figure 60  Financial statements and balances (part 13 of 19)  ·  4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w:t>
            </w:r>
          </w:p>
        </w:tc>
        <w:tc>
          <w:tcPr>
            <w:tcW w:type="dxa" w:w="6690"/>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tcPr>
          <w:p>
            <w:pPr>
              <w:spacing w:after="0" w:before="0"/>
            </w:pPr>
            <w:r/>
            <w:r>
              <w:rPr>
                <w:rFonts w:ascii="Arial" w:hAnsi="Arial"/>
                <w:b w:val="0"/>
                <w:sz w:val="15"/>
              </w:rPr>
              <w:t>MacroScenarioId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fin.MacroScenarioCountry</w:t>
            </w:r>
          </w:p>
        </w:tc>
        <w:tc>
          <w:tcPr>
            <w:tcW w:type="dxa" w:w="6690"/>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shd w:val="clear" w:color="auto" w:fill="E8EEF6"/>
          </w:tcPr>
          <w:p>
            <w:pPr>
              <w:spacing w:after="0" w:before="0"/>
            </w:pPr>
            <w:r/>
            <w:r>
              <w:rPr>
                <w:rFonts w:ascii="Arial" w:hAnsi="Arial"/>
                <w:b w:val="0"/>
                <w:sz w:val="15"/>
              </w:rPr>
              <w:t>MacroScenarioCountryId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62040" cy="3851794"/>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162040" cy="3851794"/>
                    </a:xfrm>
                    <a:prstGeom prst="rect"/>
                  </pic:spPr>
                </pic:pic>
              </a:graphicData>
            </a:graphic>
          </wp:inline>
        </w:drawing>
      </w:r>
    </w:p>
    <w:p>
      <w:pPr>
        <w:spacing w:after="120"/>
        <w:jc w:val="center"/>
      </w:pPr>
      <w:r>
        <w:rPr>
          <w:rFonts w:ascii="Arial" w:hAnsi="Arial"/>
          <w:b w:val="0"/>
          <w:i/>
          <w:color w:val="6B7280"/>
          <w:sz w:val="16"/>
        </w:rPr>
        <w:t>Figure 61  Financial statements and balances (part 14 of 19)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4946875"/>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9964420" cy="4946875"/>
                    </a:xfrm>
                    <a:prstGeom prst="rect"/>
                  </pic:spPr>
                </pic:pic>
              </a:graphicData>
            </a:graphic>
          </wp:inline>
        </w:drawing>
      </w:r>
    </w:p>
    <w:p>
      <w:pPr>
        <w:spacing w:after="120"/>
        <w:jc w:val="center"/>
      </w:pPr>
      <w:r>
        <w:rPr>
          <w:rFonts w:ascii="Arial" w:hAnsi="Arial"/>
          <w:b w:val="0"/>
          <w:i/>
          <w:color w:val="6B7280"/>
          <w:sz w:val="16"/>
        </w:rPr>
        <w:t>Figure 62  Financial statements and balances (part 15 of 19)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w:t>
            </w:r>
          </w:p>
        </w:tc>
        <w:tc>
          <w:tcPr>
            <w:tcW w:type="dxa" w:w="6690"/>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tcPr>
          <w:p>
            <w:pPr>
              <w:spacing w:after="0" w:before="0"/>
            </w:pPr>
            <w:r/>
            <w:r>
              <w:rPr>
                <w:rFonts w:ascii="Arial" w:hAnsi="Arial"/>
                <w:b w:val="0"/>
                <w:sz w:val="15"/>
              </w:rPr>
              <w:t>PresentationVersionId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fin.PresentationVersionStep</w:t>
            </w:r>
          </w:p>
        </w:tc>
        <w:tc>
          <w:tcPr>
            <w:tcW w:type="dxa" w:w="6690"/>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shd w:val="clear" w:color="auto" w:fill="E8EEF6"/>
          </w:tcPr>
          <w:p>
            <w:pPr>
              <w:spacing w:after="0" w:before="0"/>
            </w:pPr>
            <w:r/>
            <w:r>
              <w:rPr>
                <w:rFonts w:ascii="Arial" w:hAnsi="Arial"/>
                <w:b w:val="0"/>
                <w:sz w:val="15"/>
              </w:rPr>
              <w:t>PresentationVersionStepId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70270" cy="6934155"/>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5970270" cy="6934155"/>
                    </a:xfrm>
                    <a:prstGeom prst="rect"/>
                  </pic:spPr>
                </pic:pic>
              </a:graphicData>
            </a:graphic>
          </wp:inline>
        </w:drawing>
      </w:r>
    </w:p>
    <w:p>
      <w:pPr>
        <w:spacing w:after="120"/>
        <w:jc w:val="center"/>
      </w:pPr>
      <w:r>
        <w:rPr>
          <w:rFonts w:ascii="Arial" w:hAnsi="Arial"/>
          <w:b w:val="0"/>
          <w:i/>
          <w:color w:val="6B7280"/>
          <w:sz w:val="16"/>
        </w:rPr>
        <w:t>Figure 63  Financial statements and balances (part 16 of 19)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fin.RiskAnchor</w:t>
            </w:r>
          </w:p>
        </w:tc>
        <w:tc>
          <w:tcPr>
            <w:tcW w:type="dxa" w:w="6690"/>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shd w:val="clear" w:color="auto" w:fill="E8EEF6"/>
          </w:tcPr>
          <w:p>
            <w:pPr>
              <w:spacing w:after="0" w:before="0"/>
            </w:pPr>
            <w:r/>
            <w:r>
              <w:rPr>
                <w:rFonts w:ascii="Arial" w:hAnsi="Arial"/>
                <w:b w:val="0"/>
                <w:sz w:val="15"/>
              </w:rPr>
              <w:t>RiskAnchorId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147681"/>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9076690" cy="4147681"/>
                    </a:xfrm>
                    <a:prstGeom prst="rect"/>
                  </pic:spPr>
                </pic:pic>
              </a:graphicData>
            </a:graphic>
          </wp:inline>
        </w:drawing>
      </w:r>
    </w:p>
    <w:p>
      <w:pPr>
        <w:spacing w:after="120"/>
        <w:jc w:val="center"/>
      </w:pPr>
      <w:r>
        <w:rPr>
          <w:rFonts w:ascii="Arial" w:hAnsi="Arial"/>
          <w:b w:val="0"/>
          <w:i/>
          <w:color w:val="6B7280"/>
          <w:sz w:val="16"/>
        </w:rPr>
        <w:t>Figure 64  Financial statements and balances (part 17 of 19)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w:t>
            </w:r>
          </w:p>
        </w:tc>
        <w:tc>
          <w:tcPr>
            <w:tcW w:type="dxa" w:w="6690"/>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tcPr>
          <w:p>
            <w:pPr>
              <w:spacing w:after="0" w:before="0"/>
            </w:pPr>
            <w:r/>
            <w:r>
              <w:rPr>
                <w:rFonts w:ascii="Arial" w:hAnsi="Arial"/>
                <w:b w:val="0"/>
                <w:sz w:val="15"/>
              </w:rPr>
              <w:t>ScorecardId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fin.ScorecardAdjustment</w:t>
            </w:r>
          </w:p>
        </w:tc>
        <w:tc>
          <w:tcPr>
            <w:tcW w:type="dxa" w:w="6690"/>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shd w:val="clear" w:color="auto" w:fill="E8EEF6"/>
          </w:tcPr>
          <w:p>
            <w:pPr>
              <w:spacing w:after="0" w:before="0"/>
            </w:pPr>
            <w:r/>
            <w:r>
              <w:rPr>
                <w:rFonts w:ascii="Arial" w:hAnsi="Arial"/>
                <w:b w:val="0"/>
                <w:sz w:val="15"/>
              </w:rPr>
              <w:t>ScorecardAdjustmentId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fin.ScorecardItemRule</w:t>
            </w:r>
          </w:p>
        </w:tc>
        <w:tc>
          <w:tcPr>
            <w:tcW w:type="dxa" w:w="6690"/>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tcPr>
          <w:p>
            <w:pPr>
              <w:spacing w:after="0" w:before="0"/>
            </w:pPr>
            <w:r/>
            <w:r>
              <w:rPr>
                <w:rFonts w:ascii="Arial" w:hAnsi="Arial"/>
                <w:b w:val="0"/>
                <w:sz w:val="15"/>
              </w:rPr>
              <w:t>ScorecardItemRuleId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fin.ScorecardMetric</w:t>
            </w:r>
          </w:p>
        </w:tc>
        <w:tc>
          <w:tcPr>
            <w:tcW w:type="dxa" w:w="6690"/>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shd w:val="clear" w:color="auto" w:fill="E8EEF6"/>
          </w:tcPr>
          <w:p>
            <w:pPr>
              <w:spacing w:after="0" w:before="0"/>
            </w:pPr>
            <w:r/>
            <w:r>
              <w:rPr>
                <w:rFonts w:ascii="Arial" w:hAnsi="Arial"/>
                <w:b w:val="0"/>
                <w:sz w:val="15"/>
              </w:rPr>
              <w:t>ScorecardMetricId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48680" cy="4763932"/>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5948680" cy="4763932"/>
                    </a:xfrm>
                    <a:prstGeom prst="rect"/>
                  </pic:spPr>
                </pic:pic>
              </a:graphicData>
            </a:graphic>
          </wp:inline>
        </w:drawing>
      </w:r>
    </w:p>
    <w:p>
      <w:pPr>
        <w:spacing w:after="120"/>
        <w:jc w:val="center"/>
      </w:pPr>
      <w:r>
        <w:rPr>
          <w:rFonts w:ascii="Arial" w:hAnsi="Arial"/>
          <w:b w:val="0"/>
          <w:i/>
          <w:color w:val="6B7280"/>
          <w:sz w:val="16"/>
        </w:rPr>
        <w:t>Figure 65  Financial statements and balances (part 18 of 19)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fin.ScorecardParameter</w:t>
            </w:r>
          </w:p>
        </w:tc>
        <w:tc>
          <w:tcPr>
            <w:tcW w:type="dxa" w:w="6690"/>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tcPr>
          <w:p>
            <w:pPr>
              <w:spacing w:after="0" w:before="0"/>
            </w:pPr>
            <w:r/>
            <w:r>
              <w:rPr>
                <w:rFonts w:ascii="Arial" w:hAnsi="Arial"/>
                <w:b w:val="0"/>
                <w:sz w:val="15"/>
              </w:rPr>
              <w:t>ScorecardParameterId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fin.ScorecardSubfactor</w:t>
            </w:r>
          </w:p>
        </w:tc>
        <w:tc>
          <w:tcPr>
            <w:tcW w:type="dxa" w:w="6690"/>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shd w:val="clear" w:color="auto" w:fill="E8EEF6"/>
          </w:tcPr>
          <w:p>
            <w:pPr>
              <w:spacing w:after="0" w:before="0"/>
            </w:pPr>
            <w:r/>
            <w:r>
              <w:rPr>
                <w:rFonts w:ascii="Arial" w:hAnsi="Arial"/>
                <w:b w:val="0"/>
                <w:sz w:val="15"/>
              </w:rPr>
              <w:t>ScorecardSubfactorId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fin.ShockDriver</w:t>
            </w:r>
          </w:p>
        </w:tc>
        <w:tc>
          <w:tcPr>
            <w:tcW w:type="dxa" w:w="6690"/>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tcPr>
          <w:p>
            <w:pPr>
              <w:spacing w:after="0" w:before="0"/>
            </w:pPr>
            <w:r/>
            <w:r>
              <w:rPr>
                <w:rFonts w:ascii="Arial" w:hAnsi="Arial"/>
                <w:b w:val="0"/>
                <w:sz w:val="15"/>
              </w:rPr>
              <w:t>ShockDriverId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w:t>
            </w:r>
          </w:p>
        </w:tc>
        <w:tc>
          <w:tcPr>
            <w:tcW w:type="dxa" w:w="6690"/>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shd w:val="clear" w:color="auto" w:fill="E8EEF6"/>
          </w:tcPr>
          <w:p>
            <w:pPr>
              <w:spacing w:after="0" w:before="0"/>
            </w:pPr>
            <w:r/>
            <w:r>
              <w:rPr>
                <w:rFonts w:ascii="Arial" w:hAnsi="Arial"/>
                <w:b w:val="0"/>
                <w:sz w:val="15"/>
              </w:rPr>
              <w:t>StandardLineId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6089723"/>
            <wp:docPr id="66" name="Picture 66"/>
            <wp:cNvGraphicFramePr>
              <a:graphicFrameLocks noChangeAspect="1"/>
            </wp:cNvGraphicFramePr>
            <a:graphic>
              <a:graphicData uri="http://schemas.openxmlformats.org/drawingml/2006/picture">
                <pic:pic>
                  <pic:nvPicPr>
                    <pic:cNvPr id="0" name="m5_financials_19.png"/>
                    <pic:cNvPicPr/>
                  </pic:nvPicPr>
                  <pic:blipFill>
                    <a:blip r:embed="rId76"/>
                    <a:stretch>
                      <a:fillRect/>
                    </a:stretch>
                  </pic:blipFill>
                  <pic:spPr>
                    <a:xfrm>
                      <a:off x="0" y="0"/>
                      <a:ext cx="6484620" cy="6089723"/>
                    </a:xfrm>
                    <a:prstGeom prst="rect"/>
                  </pic:spPr>
                </pic:pic>
              </a:graphicData>
            </a:graphic>
          </wp:inline>
        </w:drawing>
      </w:r>
    </w:p>
    <w:p>
      <w:pPr>
        <w:spacing w:after="120"/>
        <w:jc w:val="center"/>
      </w:pPr>
      <w:r>
        <w:rPr>
          <w:rFonts w:ascii="Arial" w:hAnsi="Arial"/>
          <w:b w:val="0"/>
          <w:i/>
          <w:color w:val="6B7280"/>
          <w:sz w:val="16"/>
        </w:rPr>
        <w:t>Figure 66  Financial statements and balances (part 19 of 19)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fin.StandardLineTotal</w:t>
            </w:r>
          </w:p>
        </w:tc>
        <w:tc>
          <w:tcPr>
            <w:tcW w:type="dxa" w:w="6690"/>
          </w:tcPr>
          <w:p>
            <w:pPr>
              <w:spacing w:after="0" w:before="0"/>
            </w:pPr>
            <w:r/>
            <w:r>
              <w:rPr>
                <w:rFonts w:ascii="Arial" w:hAnsi="Arial"/>
                <w:b w:val="0"/>
                <w:sz w:val="15"/>
              </w:rPr>
              <w:t>The components of a standard total and their sign, so a total is recomputed after a pro-forma change (docs/35 section 12)</w:t>
            </w:r>
          </w:p>
        </w:tc>
        <w:tc>
          <w:tcPr>
            <w:tcW w:type="dxa" w:w="2948"/>
          </w:tcPr>
          <w:p>
            <w:pPr>
              <w:spacing w:after="0" w:before="0"/>
            </w:pPr>
            <w:r/>
            <w:r>
              <w:rPr>
                <w:rFonts w:ascii="Arial" w:hAnsi="Arial"/>
                <w:b w:val="0"/>
                <w:sz w:val="15"/>
              </w:rPr>
              <w:t>StandardLineTotalId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w:t>
            </w:r>
          </w:p>
        </w:tc>
        <w:tc>
          <w:tcPr>
            <w:tcW w:type="dxa" w:w="6690"/>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shd w:val="clear" w:color="auto" w:fill="E8EEF6"/>
          </w:tcPr>
          <w:p>
            <w:pPr>
              <w:spacing w:after="0" w:before="0"/>
            </w:pPr>
            <w:r/>
            <w:r>
              <w:rPr>
                <w:rFonts w:ascii="Arial" w:hAnsi="Arial"/>
                <w:b w:val="0"/>
                <w:sz w:val="15"/>
              </w:rPr>
              <w:t>StrengtheningPlanId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fin.StrengtheningPlanMember</w:t>
            </w:r>
          </w:p>
        </w:tc>
        <w:tc>
          <w:tcPr>
            <w:tcW w:type="dxa" w:w="6690"/>
          </w:tcPr>
          <w:p>
            <w:pPr>
              <w:spacing w:after="0" w:before="0"/>
            </w:pPr>
            <w:r/>
            <w:r>
              <w:rPr>
                <w:rFonts w:ascii="Arial" w:hAnsi="Arial"/>
                <w:b w:val="0"/>
                <w:sz w:val="15"/>
              </w:rPr>
              <w:t>A remedy of a package plan, in the order the plan applies it</w:t>
            </w:r>
          </w:p>
        </w:tc>
        <w:tc>
          <w:tcPr>
            <w:tcW w:type="dxa" w:w="2948"/>
          </w:tcPr>
          <w:p>
            <w:pPr>
              <w:spacing w:after="0" w:before="0"/>
            </w:pPr>
            <w:r/>
            <w:r>
              <w:rPr>
                <w:rFonts w:ascii="Arial" w:hAnsi="Arial"/>
                <w:b w:val="0"/>
                <w:sz w:val="15"/>
              </w:rPr>
              <w:t>StrengtheningPlanMemberId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7" name="Picture 67"/>
            <wp:cNvGraphicFramePr>
              <a:graphicFrameLocks noChangeAspect="1"/>
            </wp:cNvGraphicFramePr>
            <a:graphic>
              <a:graphicData uri="http://schemas.openxmlformats.org/drawingml/2006/picture">
                <pic:pic>
                  <pic:nvPicPr>
                    <pic:cNvPr id="0" name="m6_wf_templates_1.png"/>
                    <pic:cNvPicPr/>
                  </pic:nvPicPr>
                  <pic:blipFill>
                    <a:blip r:embed="rId77"/>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67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8" name="Picture 68"/>
            <wp:cNvGraphicFramePr>
              <a:graphicFrameLocks noChangeAspect="1"/>
            </wp:cNvGraphicFramePr>
            <a:graphic>
              <a:graphicData uri="http://schemas.openxmlformats.org/drawingml/2006/picture">
                <pic:pic>
                  <pic:nvPicPr>
                    <pic:cNvPr id="0" name="m6_wf_templates_2.png"/>
                    <pic:cNvPicPr/>
                  </pic:nvPicPr>
                  <pic:blipFill>
                    <a:blip r:embed="rId78"/>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68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9" name="Picture 69"/>
            <wp:cNvGraphicFramePr>
              <a:graphicFrameLocks noChangeAspect="1"/>
            </wp:cNvGraphicFramePr>
            <a:graphic>
              <a:graphicData uri="http://schemas.openxmlformats.org/drawingml/2006/picture">
                <pic:pic>
                  <pic:nvPicPr>
                    <pic:cNvPr id="0" name="m6_wf_templates_3.png"/>
                    <pic:cNvPicPr/>
                  </pic:nvPicPr>
                  <pic:blipFill>
                    <a:blip r:embed="rId79"/>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69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0" name="Picture 70"/>
            <wp:cNvGraphicFramePr>
              <a:graphicFrameLocks noChangeAspect="1"/>
            </wp:cNvGraphicFramePr>
            <a:graphic>
              <a:graphicData uri="http://schemas.openxmlformats.org/drawingml/2006/picture">
                <pic:pic>
                  <pic:nvPicPr>
                    <pic:cNvPr id="0" name="m6_wf_templates_4.png"/>
                    <pic:cNvPicPr/>
                  </pic:nvPicPr>
                  <pic:blipFill>
                    <a:blip r:embed="rId80"/>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70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1" name="Picture 71"/>
            <wp:cNvGraphicFramePr>
              <a:graphicFrameLocks noChangeAspect="1"/>
            </wp:cNvGraphicFramePr>
            <a:graphic>
              <a:graphicData uri="http://schemas.openxmlformats.org/drawingml/2006/picture">
                <pic:pic>
                  <pic:nvPicPr>
                    <pic:cNvPr id="0" name="m6_requests_1.png"/>
                    <pic:cNvPicPr/>
                  </pic:nvPicPr>
                  <pic:blipFill>
                    <a:blip r:embed="rId81"/>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71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2" name="Picture 72"/>
            <wp:cNvGraphicFramePr>
              <a:graphicFrameLocks noChangeAspect="1"/>
            </wp:cNvGraphicFramePr>
            <a:graphic>
              <a:graphicData uri="http://schemas.openxmlformats.org/drawingml/2006/picture">
                <pic:pic>
                  <pic:nvPicPr>
                    <pic:cNvPr id="0" name="m6_requests_2.png"/>
                    <pic:cNvPicPr/>
                  </pic:nvPicPr>
                  <pic:blipFill>
                    <a:blip r:embed="rId82"/>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72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3" name="Picture 73"/>
            <wp:cNvGraphicFramePr>
              <a:graphicFrameLocks noChangeAspect="1"/>
            </wp:cNvGraphicFramePr>
            <a:graphic>
              <a:graphicData uri="http://schemas.openxmlformats.org/drawingml/2006/picture">
                <pic:pic>
                  <pic:nvPicPr>
                    <pic:cNvPr id="0" name="m6_requests_3.png"/>
                    <pic:cNvPicPr/>
                  </pic:nvPicPr>
                  <pic:blipFill>
                    <a:blip r:embed="rId83"/>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73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4" name="Picture 74"/>
            <wp:cNvGraphicFramePr>
              <a:graphicFrameLocks noChangeAspect="1"/>
            </wp:cNvGraphicFramePr>
            <a:graphic>
              <a:graphicData uri="http://schemas.openxmlformats.org/drawingml/2006/picture">
                <pic:pic>
                  <pic:nvPicPr>
                    <pic:cNvPr id="0" name="m6_requests_4.png"/>
                    <pic:cNvPicPr/>
                  </pic:nvPicPr>
                  <pic:blipFill>
                    <a:blip r:embed="rId84"/>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74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5" name="Picture 75"/>
            <wp:cNvGraphicFramePr>
              <a:graphicFrameLocks noChangeAspect="1"/>
            </wp:cNvGraphicFramePr>
            <a:graphic>
              <a:graphicData uri="http://schemas.openxmlformats.org/drawingml/2006/picture">
                <pic:pic>
                  <pic:nvPicPr>
                    <pic:cNvPr id="0" name="m6_requests_5.png"/>
                    <pic:cNvPicPr/>
                  </pic:nvPicPr>
                  <pic:blipFill>
                    <a:blip r:embed="rId85"/>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75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6" name="Picture 76"/>
            <wp:cNvGraphicFramePr>
              <a:graphicFrameLocks noChangeAspect="1"/>
            </wp:cNvGraphicFramePr>
            <a:graphic>
              <a:graphicData uri="http://schemas.openxmlformats.org/drawingml/2006/picture">
                <pic:pic>
                  <pic:nvPicPr>
                    <pic:cNvPr id="0" name="m6_requests_6.png"/>
                    <pic:cNvPicPr/>
                  </pic:nvPicPr>
                  <pic:blipFill>
                    <a:blip r:embed="rId86"/>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76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7" name="Picture 77"/>
            <wp:cNvGraphicFramePr>
              <a:graphicFrameLocks noChangeAspect="1"/>
            </wp:cNvGraphicFramePr>
            <a:graphic>
              <a:graphicData uri="http://schemas.openxmlformats.org/drawingml/2006/picture">
                <pic:pic>
                  <pic:nvPicPr>
                    <pic:cNvPr id="0" name="m6_requests_7.png"/>
                    <pic:cNvPicPr/>
                  </pic:nvPicPr>
                  <pic:blipFill>
                    <a:blip r:embed="rId87"/>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77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8" name="Picture 78"/>
            <wp:cNvGraphicFramePr>
              <a:graphicFrameLocks noChangeAspect="1"/>
            </wp:cNvGraphicFramePr>
            <a:graphic>
              <a:graphicData uri="http://schemas.openxmlformats.org/drawingml/2006/picture">
                <pic:pic>
                  <pic:nvPicPr>
                    <pic:cNvPr id="0" name="m6_notifications.png"/>
                    <pic:cNvPicPr/>
                  </pic:nvPicPr>
                  <pic:blipFill>
                    <a:blip r:embed="rId88"/>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78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9" name="Picture 79"/>
            <wp:cNvGraphicFramePr>
              <a:graphicFrameLocks noChangeAspect="1"/>
            </wp:cNvGraphicFramePr>
            <a:graphic>
              <a:graphicData uri="http://schemas.openxmlformats.org/drawingml/2006/picture">
                <pic:pic>
                  <pic:nvPicPr>
                    <pic:cNvPr id="0" name="m7_8_lc_terms_1.png"/>
                    <pic:cNvPicPr/>
                  </pic:nvPicPr>
                  <pic:blipFill>
                    <a:blip r:embed="rId89"/>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0" name="Picture 80"/>
            <wp:cNvGraphicFramePr>
              <a:graphicFrameLocks noChangeAspect="1"/>
            </wp:cNvGraphicFramePr>
            <a:graphic>
              <a:graphicData uri="http://schemas.openxmlformats.org/drawingml/2006/picture">
                <pic:pic>
                  <pic:nvPicPr>
                    <pic:cNvPr id="0" name="m7_8_lc_terms_2.png"/>
                    <pic:cNvPicPr/>
                  </pic:nvPicPr>
                  <pic:blipFill>
                    <a:blip r:embed="rId90"/>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1" name="Picture 81"/>
            <wp:cNvGraphicFramePr>
              <a:graphicFrameLocks noChangeAspect="1"/>
            </wp:cNvGraphicFramePr>
            <a:graphic>
              <a:graphicData uri="http://schemas.openxmlformats.org/drawingml/2006/picture">
                <pic:pic>
                  <pic:nvPicPr>
                    <pic:cNvPr id="0" name="m7_8_lc_terms_3.png"/>
                    <pic:cNvPicPr/>
                  </pic:nvPicPr>
                  <pic:blipFill>
                    <a:blip r:embed="rId91"/>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2" name="Picture 82"/>
            <wp:cNvGraphicFramePr>
              <a:graphicFrameLocks noChangeAspect="1"/>
            </wp:cNvGraphicFramePr>
            <a:graphic>
              <a:graphicData uri="http://schemas.openxmlformats.org/drawingml/2006/picture">
                <pic:pic>
                  <pic:nvPicPr>
                    <pic:cNvPr id="0" name="m7_8_lc_terms_4.png"/>
                    <pic:cNvPicPr/>
                  </pic:nvPicPr>
                  <pic:blipFill>
                    <a:blip r:embed="rId92"/>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3" name="Picture 83"/>
            <wp:cNvGraphicFramePr>
              <a:graphicFrameLocks noChangeAspect="1"/>
            </wp:cNvGraphicFramePr>
            <a:graphic>
              <a:graphicData uri="http://schemas.openxmlformats.org/drawingml/2006/picture">
                <pic:pic>
                  <pic:nvPicPr>
                    <pic:cNvPr id="0" name="m7_8_lc_terms_5.png"/>
                    <pic:cNvPicPr/>
                  </pic:nvPicPr>
                  <pic:blipFill>
                    <a:blip r:embed="rId93"/>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83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4" name="Picture 84"/>
            <wp:cNvGraphicFramePr>
              <a:graphicFrameLocks noChangeAspect="1"/>
            </wp:cNvGraphicFramePr>
            <a:graphic>
              <a:graphicData uri="http://schemas.openxmlformats.org/drawingml/2006/picture">
                <pic:pic>
                  <pic:nvPicPr>
                    <pic:cNvPr id="0" name="m7_8_lc_ops_1.png"/>
                    <pic:cNvPicPr/>
                  </pic:nvPicPr>
                  <pic:blipFill>
                    <a:blip r:embed="rId94"/>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84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5" name="Picture 85"/>
            <wp:cNvGraphicFramePr>
              <a:graphicFrameLocks noChangeAspect="1"/>
            </wp:cNvGraphicFramePr>
            <a:graphic>
              <a:graphicData uri="http://schemas.openxmlformats.org/drawingml/2006/picture">
                <pic:pic>
                  <pic:nvPicPr>
                    <pic:cNvPr id="0" name="m7_8_lc_ops_2.png"/>
                    <pic:cNvPicPr/>
                  </pic:nvPicPr>
                  <pic:blipFill>
                    <a:blip r:embed="rId95"/>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85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6" name="Picture 86"/>
            <wp:cNvGraphicFramePr>
              <a:graphicFrameLocks noChangeAspect="1"/>
            </wp:cNvGraphicFramePr>
            <a:graphic>
              <a:graphicData uri="http://schemas.openxmlformats.org/drawingml/2006/picture">
                <pic:pic>
                  <pic:nvPicPr>
                    <pic:cNvPr id="0" name="m7_8_lc_ops_3.png"/>
                    <pic:cNvPicPr/>
                  </pic:nvPicPr>
                  <pic:blipFill>
                    <a:blip r:embed="rId96"/>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86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7" name="Picture 87"/>
            <wp:cNvGraphicFramePr>
              <a:graphicFrameLocks noChangeAspect="1"/>
            </wp:cNvGraphicFramePr>
            <a:graphic>
              <a:graphicData uri="http://schemas.openxmlformats.org/drawingml/2006/picture">
                <pic:pic>
                  <pic:nvPicPr>
                    <pic:cNvPr id="0" name="m7_8_lc_ops_4.png"/>
                    <pic:cNvPicPr/>
                  </pic:nvPicPr>
                  <pic:blipFill>
                    <a:blip r:embed="rId97"/>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87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8" name="Picture 88"/>
            <wp:cNvGraphicFramePr>
              <a:graphicFrameLocks noChangeAspect="1"/>
            </wp:cNvGraphicFramePr>
            <a:graphic>
              <a:graphicData uri="http://schemas.openxmlformats.org/drawingml/2006/picture">
                <pic:pic>
                  <pic:nvPicPr>
                    <pic:cNvPr id="0" name="m7_8_lc_ops_5.png"/>
                    <pic:cNvPicPr/>
                  </pic:nvPicPr>
                  <pic:blipFill>
                    <a:blip r:embed="rId98"/>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88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9" name="Picture 89"/>
            <wp:cNvGraphicFramePr>
              <a:graphicFrameLocks noChangeAspect="1"/>
            </wp:cNvGraphicFramePr>
            <a:graphic>
              <a:graphicData uri="http://schemas.openxmlformats.org/drawingml/2006/picture">
                <pic:pic>
                  <pic:nvPicPr>
                    <pic:cNvPr id="0" name="m7_8_lc_ops_6.png"/>
                    <pic:cNvPicPr/>
                  </pic:nvPicPr>
                  <pic:blipFill>
                    <a:blip r:embed="rId99"/>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89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0" name="Picture 90"/>
            <wp:cNvGraphicFramePr>
              <a:graphicFrameLocks noChangeAspect="1"/>
            </wp:cNvGraphicFramePr>
            <a:graphic>
              <a:graphicData uri="http://schemas.openxmlformats.org/drawingml/2006/picture">
                <pic:pic>
                  <pic:nvPicPr>
                    <pic:cNvPr id="0" name="m7_8_lc_ops_7.png"/>
                    <pic:cNvPicPr/>
                  </pic:nvPicPr>
                  <pic:blipFill>
                    <a:blip r:embed="rId100"/>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90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1" name="Picture 91"/>
            <wp:cNvGraphicFramePr>
              <a:graphicFrameLocks noChangeAspect="1"/>
            </wp:cNvGraphicFramePr>
            <a:graphic>
              <a:graphicData uri="http://schemas.openxmlformats.org/drawingml/2006/picture">
                <pic:pic>
                  <pic:nvPicPr>
                    <pic:cNvPr id="0" name="m7_8_lc_ops_8.png"/>
                    <pic:cNvPicPr/>
                  </pic:nvPicPr>
                  <pic:blipFill>
                    <a:blip r:embed="rId101"/>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91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2" name="Picture 92"/>
            <wp:cNvGraphicFramePr>
              <a:graphicFrameLocks noChangeAspect="1"/>
            </wp:cNvGraphicFramePr>
            <a:graphic>
              <a:graphicData uri="http://schemas.openxmlformats.org/drawingml/2006/picture">
                <pic:pic>
                  <pic:nvPicPr>
                    <pic:cNvPr id="0" name="m7_8_lc_ops_9.png"/>
                    <pic:cNvPicPr/>
                  </pic:nvPicPr>
                  <pic:blipFill>
                    <a:blip r:embed="rId102"/>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92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fin.LenderRating</w:t>
            </w:r>
          </w:p>
        </w:tc>
        <w:tc>
          <w:tcPr>
            <w:tcW w:type="dxa" w:w="10205"/>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w:t>
            </w:r>
          </w:p>
        </w:tc>
        <w:tc>
          <w:tcPr>
            <w:tcW w:type="dxa" w:w="10205"/>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fin.PresentationVersionStep</w:t>
            </w:r>
          </w:p>
        </w:tc>
        <w:tc>
          <w:tcPr>
            <w:tcW w:type="dxa" w:w="10205"/>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fin.RiskAnchor</w:t>
            </w:r>
          </w:p>
        </w:tc>
        <w:tc>
          <w:tcPr>
            <w:tcW w:type="dxa" w:w="10205"/>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w:t>
            </w:r>
          </w:p>
        </w:tc>
        <w:tc>
          <w:tcPr>
            <w:tcW w:type="dxa" w:w="10205"/>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fin.ScorecardAdjustment</w:t>
            </w:r>
          </w:p>
        </w:tc>
        <w:tc>
          <w:tcPr>
            <w:tcW w:type="dxa" w:w="10205"/>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fin.ScorecardItemRule</w:t>
            </w:r>
          </w:p>
        </w:tc>
        <w:tc>
          <w:tcPr>
            <w:tcW w:type="dxa" w:w="10205"/>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fin.ScorecardMetric</w:t>
            </w:r>
          </w:p>
        </w:tc>
        <w:tc>
          <w:tcPr>
            <w:tcW w:type="dxa" w:w="10205"/>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fin.ScorecardParameter</w:t>
            </w:r>
          </w:p>
        </w:tc>
        <w:tc>
          <w:tcPr>
            <w:tcW w:type="dxa" w:w="10205"/>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fin.ScorecardSubfactor</w:t>
            </w:r>
          </w:p>
        </w:tc>
        <w:tc>
          <w:tcPr>
            <w:tcW w:type="dxa" w:w="10205"/>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fin.ShockDriver</w:t>
            </w:r>
          </w:p>
        </w:tc>
        <w:tc>
          <w:tcPr>
            <w:tcW w:type="dxa" w:w="10205"/>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w:t>
            </w:r>
          </w:p>
        </w:tc>
        <w:tc>
          <w:tcPr>
            <w:tcW w:type="dxa" w:w="10205"/>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fin.StandardLineTotal</w:t>
            </w:r>
          </w:p>
        </w:tc>
        <w:tc>
          <w:tcPr>
            <w:tcW w:type="dxa" w:w="10205"/>
          </w:tcPr>
          <w:p>
            <w:pPr>
              <w:spacing w:after="0" w:before="0"/>
            </w:pPr>
            <w:r/>
            <w:r>
              <w:rPr>
                <w:rFonts w:ascii="Arial" w:hAnsi="Arial"/>
                <w:b w:val="0"/>
                <w:sz w:val="15"/>
              </w:rPr>
              <w:t>The components of a standard total and their sign, so a total is recomputed after a pro-forma change (docs/35 section 12)</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fin.StrengtheningPlan</w:t>
            </w:r>
          </w:p>
        </w:tc>
        <w:tc>
          <w:tcPr>
            <w:tcW w:type="dxa" w:w="10205"/>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fin.StrengtheningPlanMember</w:t>
            </w:r>
          </w:p>
        </w:tc>
        <w:tc>
          <w:tcPr>
            <w:tcW w:type="dxa" w:w="10205"/>
          </w:tcPr>
          <w:p>
            <w:pPr>
              <w:spacing w:after="0" w:before="0"/>
            </w:pPr>
            <w:r/>
            <w:r>
              <w:rPr>
                <w:rFonts w:ascii="Arial" w:hAnsi="Arial"/>
                <w:b w:val="0"/>
                <w:sz w:val="15"/>
              </w:rPr>
              <w:t>A remedy of a package plan, in the order the plan applies it</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ref.Industry</w:t>
            </w:r>
          </w:p>
        </w:tc>
        <w:tc>
          <w:tcPr>
            <w:tcW w:type="dxa" w:w="10205"/>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919</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207</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712</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631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796</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92</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