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600"/>
        <w:jc w:val="right"/>
      </w:pPr>
      <w:r>
        <w:rPr>
          <w:rFonts w:ascii="Arial" w:cs="Arial" w:eastAsia="Arial" w:hAnsi="Arial"/>
          <w:b/>
          <w:bCs/>
          <w:color w:val="1F3A5F"/>
          <w:sz w:val="44"/>
          <w:szCs w:val="44"/>
          <w:rtl/>
        </w:rPr>
        <w:t xml:space="preserve">مخطط علاقات جداول قاعدة البيانات</w:t>
      </w:r>
    </w:p>
    <w:p>
      <w:pPr>
        <w:bidi/>
        <w:spacing w:after="360" w:before="0"/>
        <w:jc w:val="right"/>
      </w:pPr>
      <w:r>
        <w:rPr>
          <w:rFonts w:ascii="Arial" w:cs="Arial" w:eastAsia="Arial" w:hAnsi="Arial"/>
          <w:color w:val="5B6670"/>
          <w:sz w:val="26"/>
          <w:szCs w:val="26"/>
          <w:rtl/>
        </w:rPr>
        <w:t xml:space="preserve">مخطط ERD بتدوين Crow's Foot · SQL Server 2025</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3000"/>
        <w:gridCol w:w="19011"/>
      </w:tblGrid>
      <w:tr>
        <w:tc>
          <w:tcPr>
            <w:tcW w:type="dxa" w:w="3000"/>
            <w:tcBorders>
              <w:top w:val="single" w:color="BFC9D6" w:sz="4"/>
              <w:left w:val="single" w:color="BFC9D6" w:sz="4"/>
              <w:bottom w:val="single" w:color="BFC9D6" w:sz="4"/>
              <w:right w:val="single" w:color="BFC9D6" w:sz="4"/>
            </w:tcBorders>
            <w:shd w:fill="E8EEF6"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sz w:val="16"/>
                <w:szCs w:val="16"/>
                <w:rtl/>
              </w:rPr>
              <w:t xml:space="preserve">الوثيقة</w:t>
            </w:r>
          </w:p>
        </w:tc>
        <w:tc>
          <w:tcPr>
            <w:tcW w:type="dxa" w:w="190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مخطط علاقات الجداول (ERD) لكل وحدة وللنواة، مع جداول العلاقات الكاملة</w:t>
            </w:r>
          </w:p>
        </w:tc>
      </w:tr>
      <w:tr>
        <w:tc>
          <w:tcPr>
            <w:tcW w:type="dxa" w:w="3000"/>
            <w:tcBorders>
              <w:top w:val="single" w:color="BFC9D6" w:sz="4"/>
              <w:left w:val="single" w:color="BFC9D6" w:sz="4"/>
              <w:bottom w:val="single" w:color="BFC9D6" w:sz="4"/>
              <w:right w:val="single" w:color="BFC9D6" w:sz="4"/>
            </w:tcBorders>
            <w:shd w:fill="E8EEF6"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sz w:val="16"/>
                <w:szCs w:val="16"/>
                <w:rtl/>
              </w:rPr>
              <w:t xml:space="preserve">الإصدار</w:t>
            </w:r>
          </w:p>
        </w:tc>
        <w:tc>
          <w:tcPr>
            <w:tcW w:type="dxa" w:w="190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v0.3 مسودة</w:t>
            </w:r>
          </w:p>
        </w:tc>
      </w:tr>
      <w:tr>
        <w:tc>
          <w:tcPr>
            <w:tcW w:type="dxa" w:w="3000"/>
            <w:tcBorders>
              <w:top w:val="single" w:color="BFC9D6" w:sz="4"/>
              <w:left w:val="single" w:color="BFC9D6" w:sz="4"/>
              <w:bottom w:val="single" w:color="BFC9D6" w:sz="4"/>
              <w:right w:val="single" w:color="BFC9D6" w:sz="4"/>
            </w:tcBorders>
            <w:shd w:fill="E8EEF6"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sz w:val="16"/>
                <w:szCs w:val="16"/>
                <w:rtl/>
              </w:rPr>
              <w:t xml:space="preserve">التاريخ</w:t>
            </w:r>
          </w:p>
        </w:tc>
        <w:tc>
          <w:tcPr>
            <w:tcW w:type="dxa" w:w="190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2026-10-11</w:t>
            </w:r>
          </w:p>
        </w:tc>
      </w:tr>
      <w:tr>
        <w:tc>
          <w:tcPr>
            <w:tcW w:type="dxa" w:w="3000"/>
            <w:tcBorders>
              <w:top w:val="single" w:color="BFC9D6" w:sz="4"/>
              <w:left w:val="single" w:color="BFC9D6" w:sz="4"/>
              <w:bottom w:val="single" w:color="BFC9D6" w:sz="4"/>
              <w:right w:val="single" w:color="BFC9D6" w:sz="4"/>
            </w:tcBorders>
            <w:shd w:fill="E8EEF6"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sz w:val="16"/>
                <w:szCs w:val="16"/>
                <w:rtl/>
              </w:rPr>
              <w:t xml:space="preserve">الجداول</w:t>
            </w:r>
          </w:p>
        </w:tc>
        <w:tc>
          <w:tcPr>
            <w:tcW w:type="dxa" w:w="190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194 جدولًا في 8 مخططًا (schema)</w:t>
            </w:r>
          </w:p>
        </w:tc>
      </w:tr>
      <w:tr>
        <w:tc>
          <w:tcPr>
            <w:tcW w:type="dxa" w:w="3000"/>
            <w:tcBorders>
              <w:top w:val="single" w:color="BFC9D6" w:sz="4"/>
              <w:left w:val="single" w:color="BFC9D6" w:sz="4"/>
              <w:bottom w:val="single" w:color="BFC9D6" w:sz="4"/>
              <w:right w:val="single" w:color="BFC9D6" w:sz="4"/>
            </w:tcBorders>
            <w:shd w:fill="E8EEF6"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sz w:val="16"/>
                <w:szCs w:val="16"/>
                <w:rtl/>
              </w:rPr>
              <w:t xml:space="preserve">المفاتيح الأجنبية</w:t>
            </w:r>
          </w:p>
        </w:tc>
        <w:tc>
          <w:tcPr>
            <w:tcW w:type="dxa" w:w="190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763 مفتاحًا في DDL = 184 مفتاح ملكية للمشترك (TenantId → plat.Tenant، تُولَّد آليًا) + 579 علاقة، منها 533 مكتوبة في النموذج و46 مولّدة آليًا من علامتي rev وsrc</w:t>
            </w:r>
          </w:p>
        </w:tc>
      </w:tr>
      <w:tr>
        <w:tc>
          <w:tcPr>
            <w:tcW w:type="dxa" w:w="3000"/>
            <w:tcBorders>
              <w:top w:val="single" w:color="BFC9D6" w:sz="4"/>
              <w:left w:val="single" w:color="BFC9D6" w:sz="4"/>
              <w:bottom w:val="single" w:color="BFC9D6" w:sz="4"/>
              <w:right w:val="single" w:color="BFC9D6" w:sz="4"/>
            </w:tcBorders>
            <w:shd w:fill="E8EEF6"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sz w:val="16"/>
                <w:szCs w:val="16"/>
                <w:rtl/>
              </w:rPr>
              <w:t xml:space="preserve">القيود الفريدة</w:t>
            </w:r>
          </w:p>
        </w:tc>
        <w:tc>
          <w:tcPr>
            <w:tcW w:type="dxa" w:w="190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515 قيدًا في DDL (قيود UQ والفهارس الفريدة)</w:t>
            </w:r>
          </w:p>
        </w:tc>
      </w:tr>
      <w:tr>
        <w:tc>
          <w:tcPr>
            <w:tcW w:type="dxa" w:w="3000"/>
            <w:tcBorders>
              <w:top w:val="single" w:color="BFC9D6" w:sz="4"/>
              <w:left w:val="single" w:color="BFC9D6" w:sz="4"/>
              <w:bottom w:val="single" w:color="BFC9D6" w:sz="4"/>
              <w:right w:val="single" w:color="BFC9D6" w:sz="4"/>
            </w:tcBorders>
            <w:shd w:fill="E8EEF6"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sz w:val="16"/>
                <w:szCs w:val="16"/>
                <w:rtl/>
              </w:rPr>
              <w:t xml:space="preserve">مجموعات الرسم</w:t>
            </w:r>
          </w:p>
        </w:tc>
        <w:tc>
          <w:tcPr>
            <w:tcW w:type="dxa" w:w="190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60 مجموعةً رسم: 5 للنواة و55 للوحدات م0 إلى م7/م8، بحد 4 جداول لكل رسم</w:t>
            </w:r>
          </w:p>
        </w:tc>
      </w:tr>
      <w:tr>
        <w:tc>
          <w:tcPr>
            <w:tcW w:type="dxa" w:w="3000"/>
            <w:tcBorders>
              <w:top w:val="single" w:color="BFC9D6" w:sz="4"/>
              <w:left w:val="single" w:color="BFC9D6" w:sz="4"/>
              <w:bottom w:val="single" w:color="BFC9D6" w:sz="4"/>
              <w:right w:val="single" w:color="BFC9D6" w:sz="4"/>
            </w:tcBorders>
            <w:shd w:fill="E8EEF6"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sz w:val="16"/>
                <w:szCs w:val="16"/>
                <w:rtl/>
              </w:rPr>
              <w:t xml:space="preserve">المصدر</w:t>
            </w:r>
          </w:p>
        </w:tc>
        <w:tc>
          <w:tcPr>
            <w:tcW w:type="dxa" w:w="190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db/model/*.model (الأعمدة والعلاقات) · db/generated/tsql (المفاتيح والقيود) · tools/dbgen/erd_manifest.py</w:t>
            </w:r>
          </w:p>
        </w:tc>
      </w:tr>
    </w:tbl>
    <w:p>
      <w:pPr>
        <w:pStyle w:val="Heading1"/>
        <w:pageBreakBefore/>
        <w:bidi/>
      </w:pPr>
      <w:r>
        <w:rPr>
          <w:rFonts w:ascii="Arial" w:cs="Arial" w:eastAsia="Arial" w:hAnsi="Arial"/>
          <w:b/>
          <w:bCs/>
          <w:color w:val="1F3A5F"/>
          <w:sz w:val="32"/>
          <w:szCs w:val="32"/>
          <w:rtl/>
        </w:rPr>
        <w:t xml:space="preserve">قراءة الرسم</w:t>
      </w:r>
    </w:p>
    <w:p>
      <w:pPr>
        <w:keepNext w:val="false"/>
        <w:bidi/>
        <w:spacing w:after="140" w:before="0" w:line="300"/>
      </w:pPr>
      <w:r>
        <w:rPr>
          <w:rFonts w:ascii="Arial" w:cs="Arial" w:eastAsia="Arial" w:hAnsi="Arial"/>
          <w:b w:val="false"/>
          <w:bCs w:val="false"/>
          <w:i w:val="false"/>
          <w:iCs w:val="false"/>
          <w:sz w:val="20"/>
          <w:szCs w:val="20"/>
          <w:rtl/>
        </w:rPr>
        <w:t xml:space="preserve">ترسم الرسوم بتدوين Crow's Foot. كل خط يربط جدول الأب بجدول الابن، واسمه أعمدة الربط بينهما.</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1785"/>
        <w:gridCol w:w="4165"/>
        <w:gridCol w:w="16061"/>
      </w:tblGrid>
      <w:tr>
        <w:trPr>
          <w:cantSplit/>
          <w:tblHeader/>
        </w:trPr>
        <w:tc>
          <w:tcPr>
            <w:tcW w:type="dxa" w:w="1785"/>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الرمز</w:t>
            </w:r>
          </w:p>
        </w:tc>
        <w:tc>
          <w:tcPr>
            <w:tcW w:type="dxa" w:w="4165"/>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الطرف</w:t>
            </w:r>
          </w:p>
        </w:tc>
        <w:tc>
          <w:tcPr>
            <w:tcW w:type="dxa" w:w="1606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المعنى</w:t>
            </w:r>
          </w:p>
        </w:tc>
      </w:tr>
      <w:tr>
        <w:trPr>
          <w:cantSplit/>
        </w:trPr>
        <w:tc>
          <w:tcPr>
            <w:tcW w:type="dxa" w:w="178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t>
            </w:r>
          </w:p>
        </w:tc>
        <w:tc>
          <w:tcPr>
            <w:tcW w:type="dxa" w:w="416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طرف الأب، إلزامي</w:t>
            </w:r>
          </w:p>
        </w:tc>
        <w:tc>
          <w:tcPr>
            <w:tcW w:type="dxa" w:w="1606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كل صف ابن يجب أن يشير إلى أب واحد، فالعمود الإلزامي لا يقبل NULL.</w:t>
            </w:r>
          </w:p>
        </w:tc>
      </w:tr>
      <w:tr>
        <w:trPr>
          <w:cantSplit/>
        </w:trPr>
        <w:tc>
          <w:tcPr>
            <w:tcW w:type="dxa" w:w="178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w:t>
            </w:r>
          </w:p>
        </w:tc>
        <w:tc>
          <w:tcPr>
            <w:tcW w:type="dxa" w:w="416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طرف الأب، اختياري</w:t>
            </w:r>
          </w:p>
        </w:tc>
        <w:tc>
          <w:tcPr>
            <w:tcW w:type="dxa" w:w="1606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الابن قد لا يشير إلى أب، والعمود يقبل NULL.</w:t>
            </w:r>
          </w:p>
        </w:tc>
      </w:tr>
      <w:tr>
        <w:trPr>
          <w:cantSplit/>
        </w:trPr>
        <w:tc>
          <w:tcPr>
            <w:tcW w:type="dxa" w:w="178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w:t>
            </w:r>
          </w:p>
        </w:tc>
        <w:tc>
          <w:tcPr>
            <w:tcW w:type="dxa" w:w="416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طرف الابن</w:t>
            </w:r>
          </w:p>
        </w:tc>
        <w:tc>
          <w:tcPr>
            <w:tcW w:type="dxa" w:w="1606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الأب الواحد يمكن أن يملك صفرًا أو أكثر من الأبناء.</w:t>
            </w:r>
          </w:p>
        </w:tc>
      </w:tr>
      <w:tr>
        <w:trPr>
          <w:cantSplit/>
        </w:trPr>
        <w:tc>
          <w:tcPr>
            <w:tcW w:type="dxa" w:w="178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PK</w:t>
            </w:r>
          </w:p>
        </w:tc>
        <w:tc>
          <w:tcPr>
            <w:tcW w:type="dxa" w:w="416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مفتاح أساسي</w:t>
            </w:r>
          </w:p>
        </w:tc>
        <w:tc>
          <w:tcPr>
            <w:tcW w:type="dxa" w:w="1606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كما في DDL؛ يسبقه TenantId في المفاتيح المركّبة.</w:t>
            </w:r>
          </w:p>
        </w:tc>
      </w:tr>
      <w:tr>
        <w:trPr>
          <w:cantSplit/>
        </w:trPr>
        <w:tc>
          <w:tcPr>
            <w:tcW w:type="dxa" w:w="178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FK</w:t>
            </w:r>
          </w:p>
        </w:tc>
        <w:tc>
          <w:tcPr>
            <w:tcW w:type="dxa" w:w="416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مفتاح أجنبي عملي</w:t>
            </w:r>
          </w:p>
        </w:tc>
        <w:tc>
          <w:tcPr>
            <w:tcW w:type="dxa" w:w="1606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يشير إلى جدول آخر. عمود الملكية TenantId لا يُعدّ هنا (انظر الملاحظات).</w:t>
            </w:r>
          </w:p>
        </w:tc>
      </w:tr>
      <w:tr>
        <w:trPr>
          <w:cantSplit/>
        </w:trPr>
        <w:tc>
          <w:tcPr>
            <w:tcW w:type="dxa" w:w="178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UK</w:t>
            </w:r>
          </w:p>
        </w:tc>
        <w:tc>
          <w:tcPr>
            <w:tcW w:type="dxa" w:w="416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عدد القيود الفريدة</w:t>
            </w:r>
          </w:p>
        </w:tc>
        <w:tc>
          <w:tcPr>
            <w:tcW w:type="dxa" w:w="1606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عدد قيود UQ والفهارس الفريدة في DDL، ومنها المصفّى بشرط؛ لا يُرسم في الشكل.</w:t>
            </w:r>
          </w:p>
        </w:tc>
      </w:tr>
      <w:tr>
        <w:trPr>
          <w:cantSplit/>
        </w:trPr>
        <w:tc>
          <w:tcPr>
            <w:tcW w:type="dxa" w:w="178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الحذف</w:t>
            </w:r>
          </w:p>
        </w:tc>
        <w:tc>
          <w:tcPr>
            <w:tcW w:type="dxa" w:w="416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حذف متسلسل / يمنع الحذف</w:t>
            </w:r>
          </w:p>
        </w:tc>
        <w:tc>
          <w:tcPr>
            <w:tcW w:type="dxa" w:w="1606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حذف متسلسل: يُحذف الابن مع أبيه. يمنع الحذف: لا يُحذف الأب ما دام له أبناء.</w:t>
            </w:r>
          </w:p>
        </w:tc>
      </w:tr>
      <w:tr>
        <w:trPr>
          <w:cantSplit/>
        </w:trPr>
        <w:tc>
          <w:tcPr>
            <w:tcW w:type="dxa" w:w="178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الرسم</w:t>
            </w:r>
          </w:p>
        </w:tc>
        <w:tc>
          <w:tcPr>
            <w:tcW w:type="dxa" w:w="416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 / لا</w:t>
            </w:r>
          </w:p>
        </w:tc>
        <w:tc>
          <w:tcPr>
            <w:tcW w:type="dxa" w:w="1606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الرسم يعرض العلاقات بين جداول الرسم نفسه، ومنها العلاقة الذاتية (جدول يشير إلى نفسه). العلاقة إلى جدول في رسم آخر، وعمود الإثبات، تُذكران في جدول العلاقات ولا تُرسمان.</w:t>
            </w:r>
          </w:p>
        </w:tc>
      </w:tr>
      <w:tr>
        <w:trPr>
          <w:cantSplit/>
        </w:trPr>
        <w:tc>
          <w:tcPr>
            <w:tcW w:type="dxa" w:w="178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نطاق الربط</w:t>
            </w:r>
          </w:p>
        </w:tc>
        <w:tc>
          <w:tcPr>
            <w:tcW w:type="dxa" w:w="416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أعمدة إضافية</w:t>
            </w:r>
          </w:p>
        </w:tc>
        <w:tc>
          <w:tcPr>
            <w:tcW w:type="dxa" w:w="1606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الأعمدة التي تضاف إلى العمود نفسه ليكوّن المفتاح المركّب، مثل FacilityId وLimitId.</w:t>
            </w:r>
          </w:p>
        </w:tc>
      </w:tr>
      <w:tr>
        <w:trPr>
          <w:cantSplit/>
        </w:trPr>
        <w:tc>
          <w:tcPr>
            <w:tcW w:type="dxa" w:w="178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النوع</w:t>
            </w:r>
          </w:p>
        </w:tc>
        <w:tc>
          <w:tcPr>
            <w:tcW w:type="dxa" w:w="416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 / إثبات</w:t>
            </w:r>
          </w:p>
        </w:tc>
        <w:tc>
          <w:tcPr>
            <w:tcW w:type="dxa" w:w="1606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 علاقة وظيفية بين بيانات العمل. إثبات: تتبع المصدر أو التحقق أو التعارض أو سلسلة المراجعة.</w:t>
            </w:r>
          </w:p>
        </w:tc>
      </w:tr>
    </w:tbl>
    <w:p>
      <w:pPr>
        <w:keepNext/>
        <w:bidi/>
        <w:spacing w:after="80" w:before="200"/>
      </w:pPr>
      <w:r>
        <w:rPr>
          <w:rFonts w:ascii="Arial" w:cs="Arial" w:eastAsia="Arial" w:hAnsi="Arial"/>
          <w:b/>
          <w:bCs/>
          <w:i w:val="false"/>
          <w:iCs w:val="false"/>
          <w:sz w:val="20"/>
          <w:szCs w:val="20"/>
          <w:rtl/>
        </w:rPr>
        <w:t xml:space="preserve">ملاحظات الرسم والجداول:</w:t>
      </w:r>
    </w:p>
    <w:p>
      <w:pPr>
        <w:keepNext w:val="false"/>
        <w:bidi/>
        <w:spacing w:after="110" w:before="0" w:line="300"/>
      </w:pPr>
      <w:r>
        <w:rPr>
          <w:rFonts w:ascii="Arial" w:cs="Arial" w:eastAsia="Arial" w:hAnsi="Arial"/>
          <w:b w:val="false"/>
          <w:bCs w:val="false"/>
          <w:i w:val="false"/>
          <w:iCs w:val="false"/>
          <w:sz w:val="20"/>
          <w:szCs w:val="20"/>
          <w:rtl/>
        </w:rPr>
        <w:t xml:space="preserve">• كل جدول مملوك للمشترك يحمل عمود TenantId يشير إلى plat.Tenant، وهي 184 علاقة ملكية، لا تُرسم ولا تُعرض في جداول العلاقات. plat.Tenant هو جذر المشترك: يحمل TenantId مفتاحًا أساسيًا لا مفتاح ملكية، فلا يُعدّ في العمود.</w:t>
      </w:r>
    </w:p>
    <w:p>
      <w:pPr>
        <w:keepNext w:val="false"/>
        <w:bidi/>
        <w:spacing w:after="110" w:before="0" w:line="300"/>
      </w:pPr>
      <w:r>
        <w:rPr>
          <w:rFonts w:ascii="Arial" w:cs="Arial" w:eastAsia="Arial" w:hAnsi="Arial"/>
          <w:b w:val="false"/>
          <w:bCs w:val="false"/>
          <w:i w:val="false"/>
          <w:iCs w:val="false"/>
          <w:sz w:val="20"/>
          <w:szCs w:val="20"/>
          <w:rtl/>
        </w:rPr>
        <w:t xml:space="preserve">• أعمدة الإثبات والتتبع (ActorUserId، AssignedBy، CandidateASourceDocumentId، CandidateBSourceDocumentId، ConflictId، CreatedBy، EndedBy، GrantedBy، OnBehalfOfUserId، RevokedBy، SourceDocumentId، SupersedesId، UpdatedBy، VerifiedBy) تُعلَّم «إثبات»، وهي 75 مفتاحًا أجنبيًا، ولا تُرسم.</w:t>
      </w:r>
    </w:p>
    <w:p>
      <w:pPr>
        <w:keepNext w:val="false"/>
        <w:bidi/>
        <w:spacing w:after="110" w:before="0" w:line="300"/>
      </w:pPr>
      <w:r>
        <w:rPr>
          <w:rFonts w:ascii="Arial" w:cs="Arial" w:eastAsia="Arial" w:hAnsi="Arial"/>
          <w:b w:val="false"/>
          <w:bCs w:val="false"/>
          <w:i w:val="false"/>
          <w:iCs w:val="false"/>
          <w:sz w:val="20"/>
          <w:szCs w:val="20"/>
          <w:rtl/>
        </w:rPr>
        <w:t xml:space="preserve">• كل جدول يظهر في رسم واحد بالضبط في الملحق أ؛ وقد يظهر أيضًا في رسوم النواة.</w:t>
      </w:r>
    </w:p>
    <w:p>
      <w:pPr>
        <w:keepNext w:val="false"/>
        <w:bidi/>
        <w:spacing w:after="110" w:before="0" w:line="300"/>
      </w:pPr>
      <w:r>
        <w:rPr>
          <w:rFonts w:ascii="Arial" w:cs="Arial" w:eastAsia="Arial" w:hAnsi="Arial"/>
          <w:b w:val="false"/>
          <w:bCs w:val="false"/>
          <w:i w:val="false"/>
          <w:iCs w:val="false"/>
          <w:sz w:val="20"/>
          <w:szCs w:val="20"/>
          <w:rtl/>
        </w:rPr>
        <w:t xml:space="preserve">• الإحالات المختصرة في وصف الجداول (مثل «10» و«13» و«§6.2») تشير إلى وثائق المواصفات في مجلد docs/، وليست جزءًا من هذا الملف.</w:t>
      </w:r>
    </w:p>
    <w:p>
      <w:pPr>
        <w:keepNext w:val="false"/>
        <w:bidi/>
        <w:spacing w:after="110" w:before="0" w:line="300"/>
      </w:pPr>
      <w:r>
        <w:rPr>
          <w:rFonts w:ascii="Arial" w:cs="Arial" w:eastAsia="Arial" w:hAnsi="Arial"/>
          <w:b w:val="false"/>
          <w:bCs w:val="false"/>
          <w:i w:val="false"/>
          <w:iCs w:val="false"/>
          <w:sz w:val="20"/>
          <w:szCs w:val="20"/>
          <w:rtl/>
        </w:rPr>
        <w:t xml:space="preserve">• الأرقام تُحسب من النموذج والـDDL المولَّد، وتُقارَن بينهما قبل كتابة هذا الملف: 194 جدولًا، و763 مفتاحًا أجنبيًا، و515 قيدًا فريدًا.</w:t>
      </w:r>
    </w:p>
    <w:p>
      <w:pPr>
        <w:pStyle w:val="Heading1"/>
        <w:pageBreakBefore/>
        <w:bidi/>
      </w:pPr>
      <w:r>
        <w:rPr>
          <w:rFonts w:ascii="Arial" w:cs="Arial" w:eastAsia="Arial" w:hAnsi="Arial"/>
          <w:b/>
          <w:bCs/>
          <w:color w:val="1F3A5F"/>
          <w:sz w:val="32"/>
          <w:szCs w:val="32"/>
          <w:rtl/>
        </w:rPr>
        <w:t xml:space="preserve">1. خريطة المخططات</w:t>
      </w:r>
    </w:p>
    <w:p>
      <w:pPr>
        <w:keepNext w:val="false"/>
        <w:bidi/>
        <w:spacing w:after="120" w:before="0" w:line="300"/>
      </w:pPr>
      <w:r>
        <w:rPr>
          <w:rFonts w:ascii="Arial" w:cs="Arial" w:eastAsia="Arial" w:hAnsi="Arial"/>
          <w:b w:val="false"/>
          <w:bCs w:val="false"/>
          <w:i w:val="false"/>
          <w:iCs w:val="false"/>
          <w:sz w:val="20"/>
          <w:szCs w:val="20"/>
          <w:rtl/>
        </w:rPr>
        <w:t xml:space="preserve">كل مخطط (schema) صندوق، والعلاقة بين مخططين عدد المفاتيح الأجنبية التي تربط جداولهما. الخريطة مقسومة إلى قسمين ليبقى النص مقروءًا؛ العلاقات بين القسمين ترد في جدول الأزواج أدناه، وتُرسم الأزواج التي فيها خمسة مفاتيح فأكثر فقط.</w:t>
      </w:r>
    </w:p>
    <w:p>
      <w:pPr>
        <w:keepNext/>
        <w:bidi/>
        <w:spacing w:after="60" w:before="60"/>
        <w:jc w:val="center"/>
      </w:pPr>
      <w:r>
        <w:drawing>
          <wp:inline distT="0" distB="0" distL="0" distR="0">
            <wp:extent cx="13973175" cy="3362325"/>
            <wp:effectExtent t="0" r="0" b="0" l="0"/>
            <wp:docPr id="1" name="diagrams/erd/schema_map_1.png" descr="الشكل 1: خريطة المخططات (1/2) · الأساس: المنصة والهوية والمؤسسة والحسابات والإعدادات" title="الشكل 1: خريطة المخططات (1/2) · الأساس: المنصة والهوية والمؤسسة والحسابات والإعداد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3973175" cy="3362325"/>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1: خريطة المخططات (1/2) · الأساس: المنصة والهوية والمؤسسة والحسابات والإعدادات</w:t>
      </w:r>
    </w:p>
    <w:p>
      <w:pPr>
        <w:keepNext/>
        <w:bidi/>
        <w:spacing w:after="60" w:before="60"/>
        <w:jc w:val="center"/>
      </w:pPr>
      <w:r>
        <w:drawing>
          <wp:inline distT="0" distB="0" distL="0" distR="0">
            <wp:extent cx="13973175" cy="2286000"/>
            <wp:effectExtent t="0" r="0" b="0" l="0"/>
            <wp:docPr id="1" name="diagrams/erd/schema_map_2.png" descr="الشكل 2: خريطة المخططات (2/2) · التسهيلات والعمليات: التسعير والضمانات والالتزامات والبيانات المالية والطلبات والاعتمادات" title="الشكل 2: خريطة المخططات (2/2) · التسهيلات والعمليات: التسعير والضمانات والالتزامات والبيانات المالية والطلبات والاعتماد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3973175" cy="2286000"/>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2: خريطة المخططات (2/2) · التسهيلات والعمليات: التسعير والضمانات والالتزامات والبيانات المالية والطلبات والاعتمادات</w:t>
      </w:r>
    </w:p>
    <w:p>
      <w:pPr>
        <w:pStyle w:val="Heading2"/>
        <w:pageBreakBefore/>
        <w:bidi/>
      </w:pPr>
      <w:r>
        <w:rPr>
          <w:rFonts w:ascii="Arial" w:cs="Arial" w:eastAsia="Arial" w:hAnsi="Arial"/>
          <w:b/>
          <w:bCs/>
          <w:color w:val="2B5C8A"/>
          <w:sz w:val="26"/>
          <w:szCs w:val="26"/>
          <w:rtl/>
        </w:rPr>
        <w:t xml:space="preserve">العلاقات بين المخططات (5 مفاتيح فأكثر)</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8254"/>
        <w:gridCol w:w="8254"/>
        <w:gridCol w:w="5503"/>
      </w:tblGrid>
      <w:tr>
        <w:trPr>
          <w:cantSplit/>
          <w:tblHeader/>
        </w:trPr>
        <w:tc>
          <w:tcPr>
            <w:tcW w:type="dxa" w:w="825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 الأب</w:t>
            </w:r>
          </w:p>
        </w:tc>
        <w:tc>
          <w:tcPr>
            <w:tcW w:type="dxa" w:w="825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 الابن</w:t>
            </w:r>
          </w:p>
        </w:tc>
        <w:tc>
          <w:tcPr>
            <w:tcW w:type="dxa" w:w="550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عدد المفاتيح</w:t>
            </w:r>
          </w:p>
        </w:tc>
      </w:tr>
      <w:tr>
        <w:trPr>
          <w:cantSplit/>
        </w:trPr>
        <w:tc>
          <w:tcPr>
            <w:tcW w:type="dxa" w:w="825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w:t>
            </w:r>
          </w:p>
        </w:tc>
        <w:tc>
          <w:tcPr>
            <w:tcW w:type="dxa" w:w="825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w:t>
            </w:r>
          </w:p>
        </w:tc>
        <w:tc>
          <w:tcPr>
            <w:tcW w:type="dxa" w:w="550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5</w:t>
            </w:r>
          </w:p>
        </w:tc>
      </w:tr>
      <w:tr>
        <w:trPr>
          <w:cantSplit/>
        </w:trPr>
        <w:tc>
          <w:tcPr>
            <w:tcW w:type="dxa" w:w="825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w:t>
            </w:r>
          </w:p>
        </w:tc>
        <w:tc>
          <w:tcPr>
            <w:tcW w:type="dxa" w:w="825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w:t>
            </w:r>
          </w:p>
        </w:tc>
        <w:tc>
          <w:tcPr>
            <w:tcW w:type="dxa" w:w="550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7</w:t>
            </w:r>
          </w:p>
        </w:tc>
      </w:tr>
      <w:tr>
        <w:trPr>
          <w:cantSplit/>
        </w:trPr>
        <w:tc>
          <w:tcPr>
            <w:tcW w:type="dxa" w:w="825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w:t>
            </w:r>
          </w:p>
        </w:tc>
        <w:tc>
          <w:tcPr>
            <w:tcW w:type="dxa" w:w="825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w:t>
            </w:r>
          </w:p>
        </w:tc>
        <w:tc>
          <w:tcPr>
            <w:tcW w:type="dxa" w:w="550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7</w:t>
            </w:r>
          </w:p>
        </w:tc>
      </w:tr>
      <w:tr>
        <w:trPr>
          <w:cantSplit/>
        </w:trPr>
        <w:tc>
          <w:tcPr>
            <w:tcW w:type="dxa" w:w="825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w:t>
            </w:r>
          </w:p>
        </w:tc>
        <w:tc>
          <w:tcPr>
            <w:tcW w:type="dxa" w:w="825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prc</w:t>
            </w:r>
          </w:p>
        </w:tc>
        <w:tc>
          <w:tcPr>
            <w:tcW w:type="dxa" w:w="550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6</w:t>
            </w:r>
          </w:p>
        </w:tc>
      </w:tr>
      <w:tr>
        <w:trPr>
          <w:cantSplit/>
        </w:trPr>
        <w:tc>
          <w:tcPr>
            <w:tcW w:type="dxa" w:w="825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w:t>
            </w:r>
          </w:p>
        </w:tc>
        <w:tc>
          <w:tcPr>
            <w:tcW w:type="dxa" w:w="825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w:t>
            </w:r>
          </w:p>
        </w:tc>
        <w:tc>
          <w:tcPr>
            <w:tcW w:type="dxa" w:w="550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5</w:t>
            </w:r>
          </w:p>
        </w:tc>
      </w:tr>
      <w:tr>
        <w:trPr>
          <w:cantSplit/>
        </w:trPr>
        <w:tc>
          <w:tcPr>
            <w:tcW w:type="dxa" w:w="825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w:t>
            </w:r>
          </w:p>
        </w:tc>
        <w:tc>
          <w:tcPr>
            <w:tcW w:type="dxa" w:w="825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w:t>
            </w:r>
          </w:p>
        </w:tc>
        <w:tc>
          <w:tcPr>
            <w:tcW w:type="dxa" w:w="550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8</w:t>
            </w:r>
          </w:p>
        </w:tc>
      </w:tr>
      <w:tr>
        <w:trPr>
          <w:cantSplit/>
        </w:trPr>
        <w:tc>
          <w:tcPr>
            <w:tcW w:type="dxa" w:w="825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w:t>
            </w:r>
          </w:p>
        </w:tc>
        <w:tc>
          <w:tcPr>
            <w:tcW w:type="dxa" w:w="825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w:t>
            </w:r>
          </w:p>
        </w:tc>
        <w:tc>
          <w:tcPr>
            <w:tcW w:type="dxa" w:w="550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5</w:t>
            </w:r>
          </w:p>
        </w:tc>
      </w:tr>
      <w:tr>
        <w:trPr>
          <w:cantSplit/>
        </w:trPr>
        <w:tc>
          <w:tcPr>
            <w:tcW w:type="dxa" w:w="825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w:t>
            </w:r>
          </w:p>
        </w:tc>
        <w:tc>
          <w:tcPr>
            <w:tcW w:type="dxa" w:w="825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prc</w:t>
            </w:r>
          </w:p>
        </w:tc>
        <w:tc>
          <w:tcPr>
            <w:tcW w:type="dxa" w:w="550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7</w:t>
            </w:r>
          </w:p>
        </w:tc>
      </w:tr>
      <w:tr>
        <w:trPr>
          <w:cantSplit/>
        </w:trPr>
        <w:tc>
          <w:tcPr>
            <w:tcW w:type="dxa" w:w="825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w:t>
            </w:r>
          </w:p>
        </w:tc>
        <w:tc>
          <w:tcPr>
            <w:tcW w:type="dxa" w:w="825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w:t>
            </w:r>
          </w:p>
        </w:tc>
        <w:tc>
          <w:tcPr>
            <w:tcW w:type="dxa" w:w="550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5</w:t>
            </w:r>
          </w:p>
        </w:tc>
      </w:tr>
      <w:tr>
        <w:trPr>
          <w:cantSplit/>
        </w:trPr>
        <w:tc>
          <w:tcPr>
            <w:tcW w:type="dxa" w:w="825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w:t>
            </w:r>
          </w:p>
        </w:tc>
        <w:tc>
          <w:tcPr>
            <w:tcW w:type="dxa" w:w="825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w:t>
            </w:r>
          </w:p>
        </w:tc>
        <w:tc>
          <w:tcPr>
            <w:tcW w:type="dxa" w:w="550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8</w:t>
            </w:r>
          </w:p>
        </w:tc>
      </w:tr>
      <w:tr>
        <w:trPr>
          <w:cantSplit/>
        </w:trPr>
        <w:tc>
          <w:tcPr>
            <w:tcW w:type="dxa" w:w="825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w:t>
            </w:r>
          </w:p>
        </w:tc>
        <w:tc>
          <w:tcPr>
            <w:tcW w:type="dxa" w:w="825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w:t>
            </w:r>
          </w:p>
        </w:tc>
        <w:tc>
          <w:tcPr>
            <w:tcW w:type="dxa" w:w="550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8</w:t>
            </w:r>
          </w:p>
        </w:tc>
      </w:tr>
      <w:tr>
        <w:trPr>
          <w:cantSplit/>
        </w:trPr>
        <w:tc>
          <w:tcPr>
            <w:tcW w:type="dxa" w:w="825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w:t>
            </w:r>
          </w:p>
        </w:tc>
        <w:tc>
          <w:tcPr>
            <w:tcW w:type="dxa" w:w="825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w:t>
            </w:r>
          </w:p>
        </w:tc>
        <w:tc>
          <w:tcPr>
            <w:tcW w:type="dxa" w:w="550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5</w:t>
            </w:r>
          </w:p>
        </w:tc>
      </w:tr>
      <w:tr>
        <w:trPr>
          <w:cantSplit/>
        </w:trPr>
        <w:tc>
          <w:tcPr>
            <w:tcW w:type="dxa" w:w="825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w:t>
            </w:r>
          </w:p>
        </w:tc>
        <w:tc>
          <w:tcPr>
            <w:tcW w:type="dxa" w:w="825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w:t>
            </w:r>
          </w:p>
        </w:tc>
        <w:tc>
          <w:tcPr>
            <w:tcW w:type="dxa" w:w="550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5</w:t>
            </w:r>
          </w:p>
        </w:tc>
      </w:tr>
      <w:tr>
        <w:trPr>
          <w:cantSplit/>
        </w:trPr>
        <w:tc>
          <w:tcPr>
            <w:tcW w:type="dxa" w:w="825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w:t>
            </w:r>
          </w:p>
        </w:tc>
        <w:tc>
          <w:tcPr>
            <w:tcW w:type="dxa" w:w="825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w:t>
            </w:r>
          </w:p>
        </w:tc>
        <w:tc>
          <w:tcPr>
            <w:tcW w:type="dxa" w:w="550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5</w:t>
            </w:r>
          </w:p>
        </w:tc>
      </w:tr>
      <w:tr>
        <w:trPr>
          <w:cantSplit/>
        </w:trPr>
        <w:tc>
          <w:tcPr>
            <w:tcW w:type="dxa" w:w="825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w:t>
            </w:r>
          </w:p>
        </w:tc>
        <w:tc>
          <w:tcPr>
            <w:tcW w:type="dxa" w:w="825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w:t>
            </w:r>
          </w:p>
        </w:tc>
        <w:tc>
          <w:tcPr>
            <w:tcW w:type="dxa" w:w="550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13</w:t>
            </w:r>
          </w:p>
        </w:tc>
      </w:tr>
      <w:tr>
        <w:trPr>
          <w:cantSplit/>
        </w:trPr>
        <w:tc>
          <w:tcPr>
            <w:tcW w:type="dxa" w:w="825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w:t>
            </w:r>
          </w:p>
        </w:tc>
        <w:tc>
          <w:tcPr>
            <w:tcW w:type="dxa" w:w="825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w:t>
            </w:r>
          </w:p>
        </w:tc>
        <w:tc>
          <w:tcPr>
            <w:tcW w:type="dxa" w:w="550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8</w:t>
            </w:r>
          </w:p>
        </w:tc>
      </w:tr>
      <w:tr>
        <w:trPr>
          <w:cantSplit/>
        </w:trPr>
        <w:tc>
          <w:tcPr>
            <w:tcW w:type="dxa" w:w="825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w:t>
            </w:r>
          </w:p>
        </w:tc>
        <w:tc>
          <w:tcPr>
            <w:tcW w:type="dxa" w:w="825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w:t>
            </w:r>
          </w:p>
        </w:tc>
        <w:tc>
          <w:tcPr>
            <w:tcW w:type="dxa" w:w="550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6</w:t>
            </w:r>
          </w:p>
        </w:tc>
      </w:tr>
      <w:tr>
        <w:trPr>
          <w:cantSplit/>
        </w:trPr>
        <w:tc>
          <w:tcPr>
            <w:tcW w:type="dxa" w:w="825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w:t>
            </w:r>
          </w:p>
        </w:tc>
        <w:tc>
          <w:tcPr>
            <w:tcW w:type="dxa" w:w="825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w:t>
            </w:r>
          </w:p>
        </w:tc>
        <w:tc>
          <w:tcPr>
            <w:tcW w:type="dxa" w:w="550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9</w:t>
            </w:r>
          </w:p>
        </w:tc>
      </w:tr>
      <w:tr>
        <w:trPr>
          <w:cantSplit/>
        </w:trPr>
        <w:tc>
          <w:tcPr>
            <w:tcW w:type="dxa" w:w="825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w:t>
            </w:r>
          </w:p>
        </w:tc>
        <w:tc>
          <w:tcPr>
            <w:tcW w:type="dxa" w:w="825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w:t>
            </w:r>
          </w:p>
        </w:tc>
        <w:tc>
          <w:tcPr>
            <w:tcW w:type="dxa" w:w="550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6</w:t>
            </w:r>
          </w:p>
        </w:tc>
      </w:tr>
      <w:tr>
        <w:trPr>
          <w:cantSplit/>
        </w:trPr>
        <w:tc>
          <w:tcPr>
            <w:tcW w:type="dxa" w:w="825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w:t>
            </w:r>
          </w:p>
        </w:tc>
        <w:tc>
          <w:tcPr>
            <w:tcW w:type="dxa" w:w="825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ntf</w:t>
            </w:r>
          </w:p>
        </w:tc>
        <w:tc>
          <w:tcPr>
            <w:tcW w:type="dxa" w:w="550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6</w:t>
            </w:r>
          </w:p>
        </w:tc>
      </w:tr>
      <w:tr>
        <w:trPr>
          <w:cantSplit/>
        </w:trPr>
        <w:tc>
          <w:tcPr>
            <w:tcW w:type="dxa" w:w="825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w:t>
            </w:r>
          </w:p>
        </w:tc>
        <w:tc>
          <w:tcPr>
            <w:tcW w:type="dxa" w:w="825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w:t>
            </w:r>
          </w:p>
        </w:tc>
        <w:tc>
          <w:tcPr>
            <w:tcW w:type="dxa" w:w="550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28</w:t>
            </w:r>
          </w:p>
        </w:tc>
      </w:tr>
      <w:tr>
        <w:trPr>
          <w:cantSplit/>
        </w:trPr>
        <w:tc>
          <w:tcPr>
            <w:tcW w:type="dxa" w:w="825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w:t>
            </w:r>
          </w:p>
        </w:tc>
        <w:tc>
          <w:tcPr>
            <w:tcW w:type="dxa" w:w="825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w:t>
            </w:r>
          </w:p>
        </w:tc>
        <w:tc>
          <w:tcPr>
            <w:tcW w:type="dxa" w:w="550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5</w:t>
            </w:r>
          </w:p>
        </w:tc>
      </w:tr>
    </w:tbl>
    <w:p>
      <w:pPr>
        <w:pStyle w:val="Heading2"/>
        <w:pageBreakBefore/>
        <w:bidi/>
      </w:pPr>
      <w:r>
        <w:rPr>
          <w:rFonts w:ascii="Arial" w:cs="Arial" w:eastAsia="Arial" w:hAnsi="Arial"/>
          <w:b/>
          <w:bCs/>
          <w:color w:val="2B5C8A"/>
          <w:sz w:val="26"/>
          <w:szCs w:val="26"/>
          <w:rtl/>
        </w:rPr>
        <w:t xml:space="preserve">المخططات والجداول</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8254"/>
        <w:gridCol w:w="6878"/>
        <w:gridCol w:w="6879"/>
      </w:tblGrid>
      <w:tr>
        <w:trPr>
          <w:cantSplit/>
          <w:tblHeader/>
        </w:trPr>
        <w:tc>
          <w:tcPr>
            <w:tcW w:type="dxa" w:w="825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687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عدد الجداول</w:t>
            </w:r>
          </w:p>
        </w:tc>
        <w:tc>
          <w:tcPr>
            <w:tcW w:type="dxa" w:w="687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مفتاح الملكية TenantId</w:t>
            </w:r>
          </w:p>
        </w:tc>
      </w:tr>
      <w:tr>
        <w:trPr>
          <w:cantSplit/>
        </w:trPr>
        <w:tc>
          <w:tcPr>
            <w:tcW w:type="dxa" w:w="825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w:t>
            </w:r>
          </w:p>
        </w:tc>
        <w:tc>
          <w:tcPr>
            <w:tcW w:type="dxa" w:w="687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6</w:t>
            </w:r>
          </w:p>
        </w:tc>
        <w:tc>
          <w:tcPr>
            <w:tcW w:type="dxa" w:w="687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6</w:t>
            </w:r>
          </w:p>
        </w:tc>
      </w:tr>
      <w:tr>
        <w:trPr>
          <w:cantSplit/>
        </w:trPr>
        <w:tc>
          <w:tcPr>
            <w:tcW w:type="dxa" w:w="825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aud</w:t>
            </w:r>
          </w:p>
        </w:tc>
        <w:tc>
          <w:tcPr>
            <w:tcW w:type="dxa" w:w="687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c>
          <w:tcPr>
            <w:tcW w:type="dxa" w:w="687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r>
        <w:trPr>
          <w:cantSplit/>
        </w:trPr>
        <w:tc>
          <w:tcPr>
            <w:tcW w:type="dxa" w:w="825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w:t>
            </w:r>
          </w:p>
        </w:tc>
        <w:tc>
          <w:tcPr>
            <w:tcW w:type="dxa" w:w="687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26</w:t>
            </w:r>
          </w:p>
        </w:tc>
        <w:tc>
          <w:tcPr>
            <w:tcW w:type="dxa" w:w="687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26</w:t>
            </w:r>
          </w:p>
        </w:tc>
      </w:tr>
      <w:tr>
        <w:trPr>
          <w:cantSplit/>
        </w:trPr>
        <w:tc>
          <w:tcPr>
            <w:tcW w:type="dxa" w:w="825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cfg</w:t>
            </w:r>
          </w:p>
        </w:tc>
        <w:tc>
          <w:tcPr>
            <w:tcW w:type="dxa" w:w="687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12</w:t>
            </w:r>
          </w:p>
        </w:tc>
        <w:tc>
          <w:tcPr>
            <w:tcW w:type="dxa" w:w="687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11</w:t>
            </w:r>
          </w:p>
        </w:tc>
      </w:tr>
      <w:tr>
        <w:trPr>
          <w:cantSplit/>
        </w:trPr>
        <w:tc>
          <w:tcPr>
            <w:tcW w:type="dxa" w:w="825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cmp</w:t>
            </w:r>
          </w:p>
        </w:tc>
        <w:tc>
          <w:tcPr>
            <w:tcW w:type="dxa" w:w="687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c>
          <w:tcPr>
            <w:tcW w:type="dxa" w:w="687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r>
        <w:trPr>
          <w:cantSplit/>
        </w:trPr>
        <w:tc>
          <w:tcPr>
            <w:tcW w:type="dxa" w:w="825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w:t>
            </w:r>
          </w:p>
        </w:tc>
        <w:tc>
          <w:tcPr>
            <w:tcW w:type="dxa" w:w="687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7</w:t>
            </w:r>
          </w:p>
        </w:tc>
        <w:tc>
          <w:tcPr>
            <w:tcW w:type="dxa" w:w="687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7</w:t>
            </w:r>
          </w:p>
        </w:tc>
      </w:tr>
      <w:tr>
        <w:trPr>
          <w:cantSplit/>
        </w:trPr>
        <w:tc>
          <w:tcPr>
            <w:tcW w:type="dxa" w:w="825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w:t>
            </w:r>
          </w:p>
        </w:tc>
        <w:tc>
          <w:tcPr>
            <w:tcW w:type="dxa" w:w="687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c>
          <w:tcPr>
            <w:tcW w:type="dxa" w:w="687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r>
        <w:trPr>
          <w:cantSplit/>
        </w:trPr>
        <w:tc>
          <w:tcPr>
            <w:tcW w:type="dxa" w:w="825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w:t>
            </w:r>
          </w:p>
        </w:tc>
        <w:tc>
          <w:tcPr>
            <w:tcW w:type="dxa" w:w="687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13</w:t>
            </w:r>
          </w:p>
        </w:tc>
        <w:tc>
          <w:tcPr>
            <w:tcW w:type="dxa" w:w="687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13</w:t>
            </w:r>
          </w:p>
        </w:tc>
      </w:tr>
      <w:tr>
        <w:trPr>
          <w:cantSplit/>
        </w:trPr>
        <w:tc>
          <w:tcPr>
            <w:tcW w:type="dxa" w:w="825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fin</w:t>
            </w:r>
          </w:p>
        </w:tc>
        <w:tc>
          <w:tcPr>
            <w:tcW w:type="dxa" w:w="687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7</w:t>
            </w:r>
          </w:p>
        </w:tc>
        <w:tc>
          <w:tcPr>
            <w:tcW w:type="dxa" w:w="687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7</w:t>
            </w:r>
          </w:p>
        </w:tc>
      </w:tr>
      <w:tr>
        <w:trPr>
          <w:cantSplit/>
        </w:trPr>
        <w:tc>
          <w:tcPr>
            <w:tcW w:type="dxa" w:w="825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w:t>
            </w:r>
          </w:p>
        </w:tc>
        <w:tc>
          <w:tcPr>
            <w:tcW w:type="dxa" w:w="687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6</w:t>
            </w:r>
          </w:p>
        </w:tc>
        <w:tc>
          <w:tcPr>
            <w:tcW w:type="dxa" w:w="687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6</w:t>
            </w:r>
          </w:p>
        </w:tc>
      </w:tr>
      <w:tr>
        <w:trPr>
          <w:cantSplit/>
        </w:trPr>
        <w:tc>
          <w:tcPr>
            <w:tcW w:type="dxa" w:w="825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w:t>
            </w:r>
          </w:p>
        </w:tc>
        <w:tc>
          <w:tcPr>
            <w:tcW w:type="dxa" w:w="687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21</w:t>
            </w:r>
          </w:p>
        </w:tc>
        <w:tc>
          <w:tcPr>
            <w:tcW w:type="dxa" w:w="687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21</w:t>
            </w:r>
          </w:p>
        </w:tc>
      </w:tr>
      <w:tr>
        <w:trPr>
          <w:cantSplit/>
        </w:trPr>
        <w:tc>
          <w:tcPr>
            <w:tcW w:type="dxa" w:w="825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ntf</w:t>
            </w:r>
          </w:p>
        </w:tc>
        <w:tc>
          <w:tcPr>
            <w:tcW w:type="dxa" w:w="687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7</w:t>
            </w:r>
          </w:p>
        </w:tc>
        <w:tc>
          <w:tcPr>
            <w:tcW w:type="dxa" w:w="687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7</w:t>
            </w:r>
          </w:p>
        </w:tc>
      </w:tr>
      <w:tr>
        <w:trPr>
          <w:cantSplit/>
        </w:trPr>
        <w:tc>
          <w:tcPr>
            <w:tcW w:type="dxa" w:w="825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w:t>
            </w:r>
          </w:p>
        </w:tc>
        <w:tc>
          <w:tcPr>
            <w:tcW w:type="dxa" w:w="687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8</w:t>
            </w:r>
          </w:p>
        </w:tc>
        <w:tc>
          <w:tcPr>
            <w:tcW w:type="dxa" w:w="687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8</w:t>
            </w:r>
          </w:p>
        </w:tc>
      </w:tr>
      <w:tr>
        <w:trPr>
          <w:cantSplit/>
        </w:trPr>
        <w:tc>
          <w:tcPr>
            <w:tcW w:type="dxa" w:w="825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w:t>
            </w:r>
          </w:p>
        </w:tc>
        <w:tc>
          <w:tcPr>
            <w:tcW w:type="dxa" w:w="687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14</w:t>
            </w:r>
          </w:p>
        </w:tc>
        <w:tc>
          <w:tcPr>
            <w:tcW w:type="dxa" w:w="687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14</w:t>
            </w:r>
          </w:p>
        </w:tc>
      </w:tr>
      <w:tr>
        <w:trPr>
          <w:cantSplit/>
        </w:trPr>
        <w:tc>
          <w:tcPr>
            <w:tcW w:type="dxa" w:w="825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plat</w:t>
            </w:r>
          </w:p>
        </w:tc>
        <w:tc>
          <w:tcPr>
            <w:tcW w:type="dxa" w:w="687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7</w:t>
            </w:r>
          </w:p>
        </w:tc>
        <w:tc>
          <w:tcPr>
            <w:tcW w:type="dxa" w:w="687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r>
        <w:trPr>
          <w:cantSplit/>
        </w:trPr>
        <w:tc>
          <w:tcPr>
            <w:tcW w:type="dxa" w:w="825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prc</w:t>
            </w:r>
          </w:p>
        </w:tc>
        <w:tc>
          <w:tcPr>
            <w:tcW w:type="dxa" w:w="687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5</w:t>
            </w:r>
          </w:p>
        </w:tc>
        <w:tc>
          <w:tcPr>
            <w:tcW w:type="dxa" w:w="687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5</w:t>
            </w:r>
          </w:p>
        </w:tc>
      </w:tr>
      <w:tr>
        <w:trPr>
          <w:cantSplit/>
        </w:trPr>
        <w:tc>
          <w:tcPr>
            <w:tcW w:type="dxa" w:w="825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w:t>
            </w:r>
          </w:p>
        </w:tc>
        <w:tc>
          <w:tcPr>
            <w:tcW w:type="dxa" w:w="687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11</w:t>
            </w:r>
          </w:p>
        </w:tc>
        <w:tc>
          <w:tcPr>
            <w:tcW w:type="dxa" w:w="687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11</w:t>
            </w:r>
          </w:p>
        </w:tc>
      </w:tr>
      <w:tr>
        <w:trPr>
          <w:cantSplit/>
        </w:trPr>
        <w:tc>
          <w:tcPr>
            <w:tcW w:type="dxa" w:w="825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w:t>
            </w:r>
          </w:p>
        </w:tc>
        <w:tc>
          <w:tcPr>
            <w:tcW w:type="dxa" w:w="687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4</w:t>
            </w:r>
          </w:p>
        </w:tc>
        <w:tc>
          <w:tcPr>
            <w:tcW w:type="dxa" w:w="687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w:t>
            </w:r>
          </w:p>
        </w:tc>
      </w:tr>
      <w:tr>
        <w:trPr>
          <w:cantSplit/>
        </w:trPr>
        <w:tc>
          <w:tcPr>
            <w:tcW w:type="dxa" w:w="825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w:t>
            </w:r>
          </w:p>
        </w:tc>
        <w:tc>
          <w:tcPr>
            <w:tcW w:type="dxa" w:w="687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14</w:t>
            </w:r>
          </w:p>
        </w:tc>
        <w:tc>
          <w:tcPr>
            <w:tcW w:type="dxa" w:w="687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13</w:t>
            </w:r>
          </w:p>
        </w:tc>
      </w:tr>
      <w:tr>
        <w:trPr>
          <w:cantSplit/>
        </w:trPr>
        <w:tc>
          <w:tcPr>
            <w:tcW w:type="dxa" w:w="825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w:t>
            </w:r>
          </w:p>
        </w:tc>
        <w:tc>
          <w:tcPr>
            <w:tcW w:type="dxa" w:w="687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19</w:t>
            </w:r>
          </w:p>
        </w:tc>
        <w:tc>
          <w:tcPr>
            <w:tcW w:type="dxa" w:w="687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19</w:t>
            </w:r>
          </w:p>
        </w:tc>
      </w:tr>
    </w:tbl>
    <w:p>
      <w:pPr>
        <w:pStyle w:val="Heading1"/>
        <w:pageBreakBefore/>
        <w:bidi/>
      </w:pPr>
      <w:r>
        <w:rPr>
          <w:rFonts w:ascii="Arial" w:cs="Arial" w:eastAsia="Arial" w:hAnsi="Arial"/>
          <w:b/>
          <w:bCs/>
          <w:color w:val="1F3A5F"/>
          <w:sz w:val="32"/>
          <w:szCs w:val="32"/>
          <w:rtl/>
        </w:rPr>
        <w:t xml:space="preserve">2. النواة: المشترك والهوية والصلاحيات</w:t>
      </w:r>
    </w:p>
    <w:p>
      <w:pPr>
        <w:keepNext w:val="false"/>
        <w:bidi/>
        <w:spacing w:after="120" w:before="0" w:line="300"/>
      </w:pPr>
      <w:r>
        <w:rPr>
          <w:rFonts w:ascii="Arial" w:cs="Arial" w:eastAsia="Arial" w:hAnsi="Arial"/>
          <w:b w:val="false"/>
          <w:bCs w:val="false"/>
          <w:i w:val="false"/>
          <w:iCs w:val="false"/>
          <w:sz w:val="20"/>
          <w:szCs w:val="20"/>
          <w:rtl/>
        </w:rPr>
        <w:t xml:space="preserve">تُرسم جداول النواة (17 جدولًا) في 5 رسوم متتالية، لكل رسم أربعة جداول على الأكثر. العلاقات بين رسوم النواة تظهر في جداول العلاقات.</w:t>
      </w:r>
    </w:p>
    <w:p>
      <w:pPr>
        <w:pStyle w:val="Heading2"/>
        <w:bidi/>
      </w:pPr>
      <w:r>
        <w:rPr>
          <w:rFonts w:ascii="Arial" w:cs="Arial" w:eastAsia="Arial" w:hAnsi="Arial"/>
          <w:b/>
          <w:bCs/>
          <w:color w:val="2B5C8A"/>
          <w:sz w:val="26"/>
          <w:szCs w:val="26"/>
          <w:rtl/>
        </w:rPr>
        <w:t xml:space="preserve">2.1 النواة (1/5) · المشترك والهوية والصلاحيات</w:t>
      </w:r>
    </w:p>
    <w:p>
      <w:pPr>
        <w:keepNext/>
        <w:bidi/>
        <w:spacing w:after="60" w:before="0"/>
      </w:pPr>
      <w:r>
        <w:rPr>
          <w:rFonts w:ascii="Arial" w:cs="Arial" w:eastAsia="Arial" w:hAnsi="Arial"/>
          <w:b w:val="false"/>
          <w:bCs w:val="false"/>
          <w:i w:val="false"/>
          <w:iCs w:val="false"/>
          <w:color w:val="5B6670"/>
          <w:sz w:val="16"/>
          <w:szCs w:val="16"/>
          <w:rtl/>
        </w:rPr>
        <w:t xml:space="preserve">جداول هذا الرسم من النواة؛ رسم مستقل ليبقى النص مقروءًا</w:t>
      </w:r>
    </w:p>
    <w:p>
      <w:pPr>
        <w:keepNext/>
        <w:bidi/>
        <w:spacing w:after="60" w:before="60"/>
        <w:jc w:val="center"/>
      </w:pPr>
      <w:r>
        <w:drawing>
          <wp:inline distT="0" distB="0" distL="0" distR="0">
            <wp:extent cx="12763500" cy="4429125"/>
            <wp:effectExtent t="0" r="0" b="0" l="0"/>
            <wp:docPr id="1" name="diagrams/erd/core_tenancy_1.png" descr="الشكل 3: النواة (1/5) · المشترك والهوية والصلاحيات (4 جداول)" title="الشكل 3: النواة (1/5) · المشترك والهوية والصلاحيات (4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2763500" cy="4429125"/>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3: النواة (1/5) · المشترك والهوية والصلاحيات (4 جداول)</w:t>
      </w:r>
    </w:p>
    <w:p>
      <w:pPr>
        <w:pStyle w:val="Heading2"/>
        <w:bidi/>
      </w:pPr>
      <w:r>
        <w:rPr>
          <w:rFonts w:ascii="Arial" w:cs="Arial" w:eastAsia="Arial" w:hAnsi="Arial"/>
          <w:b/>
          <w:bCs/>
          <w:color w:val="2B5C8A"/>
          <w:sz w:val="26"/>
          <w:szCs w:val="26"/>
          <w:rtl/>
        </w:rPr>
        <w:t xml:space="preserve">الجداول</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4909"/>
        <w:gridCol w:w="1487"/>
        <w:gridCol w:w="9663"/>
        <w:gridCol w:w="3719"/>
        <w:gridCol w:w="1041"/>
        <w:gridCol w:w="1192"/>
      </w:tblGrid>
      <w:tr>
        <w:trPr>
          <w:cantSplit/>
          <w:tblHeader/>
        </w:trPr>
        <w:tc>
          <w:tcPr>
            <w:tcW w:type="dxa" w:w="49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48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966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371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104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119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plat.Tenant</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plat</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 وصول مباشر لتطبيق المشترك (يقرأ صفّه عبر plat.v_CurrentTenant) · جذر العزل: المشترك (FR-PLT-001/002/046، BR-PLT-001/002)</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TenantId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r>
        <w:trPr>
          <w:cantSplit/>
        </w:trPr>
        <w:tc>
          <w:tcPr>
            <w:tcW w:type="dxa" w:w="49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plat.Plan</w:t>
            </w:r>
          </w:p>
        </w:tc>
        <w:tc>
          <w:tcPr>
            <w:tcW w:type="dxa" w:w="148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plat</w:t>
            </w:r>
          </w:p>
        </w:tc>
        <w:tc>
          <w:tcPr>
            <w:tcW w:type="dxa" w:w="966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باقة: حزمة وحدات وحدود ناعمة (FR-PLT-003/004، Q-PLT-11)</w:t>
            </w:r>
          </w:p>
        </w:tc>
        <w:tc>
          <w:tcPr>
            <w:tcW w:type="dxa" w:w="37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PlanId</w:t>
            </w:r>
          </w:p>
        </w:tc>
        <w:tc>
          <w:tcPr>
            <w:tcW w:type="dxa" w:w="104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c>
          <w:tcPr>
            <w:tcW w:type="dxa" w:w="11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plat.TenantModule</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plat</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الوحدات المفعّلة لكل مشترك؛ ملكية المنصة فقط: لا يكتبها تطبيق المشترك ويقرؤها عبر عرض مُحدَّد (DR-01)</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TenantModuleId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w:t>
            </w:r>
          </w:p>
        </w:tc>
      </w:tr>
      <w:tr>
        <w:trPr>
          <w:cantSplit/>
        </w:trPr>
        <w:tc>
          <w:tcPr>
            <w:tcW w:type="dxa" w:w="49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plat.SupportAccessGrant</w:t>
            </w:r>
          </w:p>
        </w:tc>
        <w:tc>
          <w:tcPr>
            <w:tcW w:type="dxa" w:w="148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plat</w:t>
            </w:r>
          </w:p>
        </w:tc>
        <w:tc>
          <w:tcPr>
            <w:tcW w:type="dxa" w:w="966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وصول الدعم المؤقت يفعّله مدير حساب المشترك (FR-PLT-007، BR-PLT-017)</w:t>
            </w:r>
          </w:p>
        </w:tc>
        <w:tc>
          <w:tcPr>
            <w:tcW w:type="dxa" w:w="37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SupportAccessGrantId</w:t>
            </w:r>
          </w:p>
        </w:tc>
        <w:tc>
          <w:tcPr>
            <w:tcW w:type="dxa" w:w="104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c>
          <w:tcPr>
            <w:tcW w:type="dxa" w:w="11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w:t>
            </w:r>
          </w:p>
        </w:tc>
      </w:tr>
    </w:tbl>
    <w:p>
      <w:pPr>
        <w:pStyle w:val="Heading2"/>
        <w:bidi/>
      </w:pPr>
      <w:r>
        <w:rPr>
          <w:rFonts w:ascii="Arial" w:cs="Arial" w:eastAsia="Arial" w:hAnsi="Arial"/>
          <w:b/>
          <w:bCs/>
          <w:color w:val="2B5C8A"/>
          <w:sz w:val="26"/>
          <w:szCs w:val="26"/>
          <w:rtl/>
        </w:rPr>
        <w:t xml:space="preserve">العلاقات</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5009"/>
        <w:gridCol w:w="4098"/>
        <w:gridCol w:w="3946"/>
        <w:gridCol w:w="1518"/>
        <w:gridCol w:w="1821"/>
        <w:gridCol w:w="3036"/>
        <w:gridCol w:w="1366"/>
        <w:gridCol w:w="1217"/>
      </w:tblGrid>
      <w:tr>
        <w:trPr>
          <w:cantSplit/>
          <w:tblHeader/>
        </w:trPr>
        <w:tc>
          <w:tcPr>
            <w:tcW w:type="dxa" w:w="50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409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394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51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82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303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136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121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plat.Tenant</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PlanId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plat.Plan</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plat.Tenant</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HomeCountryId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ref.Country</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plat.TenantModule</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EnabledBy</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plat.PlatformOperator</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plat.SupportAccessGrant</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OperatorId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plat.PlatformOperator</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plat.SupportAccessGrant</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GrantedBy</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plat.SupportAccessGrant</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RevokedBy</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bl>
    <w:p>
      <w:pPr>
        <w:pStyle w:val="Heading2"/>
        <w:bidi/>
      </w:pPr>
      <w:r>
        <w:rPr>
          <w:rFonts w:ascii="Arial" w:cs="Arial" w:eastAsia="Arial" w:hAnsi="Arial"/>
          <w:b/>
          <w:bCs/>
          <w:color w:val="2B5C8A"/>
          <w:sz w:val="26"/>
          <w:szCs w:val="26"/>
          <w:rtl/>
        </w:rPr>
        <w:t xml:space="preserve">2.2 النواة (2/5) · المشترك والهوية والصلاحيات</w:t>
      </w:r>
    </w:p>
    <w:p>
      <w:pPr>
        <w:keepNext/>
        <w:bidi/>
        <w:spacing w:after="60" w:before="0"/>
      </w:pPr>
      <w:r>
        <w:rPr>
          <w:rFonts w:ascii="Arial" w:cs="Arial" w:eastAsia="Arial" w:hAnsi="Arial"/>
          <w:b w:val="false"/>
          <w:bCs w:val="false"/>
          <w:i w:val="false"/>
          <w:iCs w:val="false"/>
          <w:color w:val="5B6670"/>
          <w:sz w:val="16"/>
          <w:szCs w:val="16"/>
          <w:rtl/>
        </w:rPr>
        <w:t xml:space="preserve">جداول هذا الرسم من النواة؛ رسم مستقل ليبقى النص مقروءًا</w:t>
      </w:r>
    </w:p>
    <w:p>
      <w:pPr>
        <w:keepNext/>
        <w:bidi/>
        <w:spacing w:after="60" w:before="60"/>
        <w:jc w:val="center"/>
      </w:pPr>
      <w:r>
        <w:drawing>
          <wp:inline distT="0" distB="0" distL="0" distR="0">
            <wp:extent cx="11782425" cy="6638925"/>
            <wp:effectExtent t="0" r="0" b="0" l="0"/>
            <wp:docPr id="1" name="diagrams/erd/core_tenancy_2.png" descr="الشكل 4: النواة (2/5) · المشترك والهوية والصلاحيات (4 جداول)" title="الشكل 4: النواة (2/5) · المشترك والهوية والصلاحيات (4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1782425" cy="6638925"/>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4: النواة (2/5) · المشترك والهوية والصلاحيات (4 جداول)</w:t>
      </w:r>
    </w:p>
    <w:p>
      <w:pPr>
        <w:pStyle w:val="Heading2"/>
        <w:bidi/>
      </w:pPr>
      <w:r>
        <w:rPr>
          <w:rFonts w:ascii="Arial" w:cs="Arial" w:eastAsia="Arial" w:hAnsi="Arial"/>
          <w:b/>
          <w:bCs/>
          <w:color w:val="2B5C8A"/>
          <w:sz w:val="26"/>
          <w:szCs w:val="26"/>
          <w:rtl/>
        </w:rPr>
        <w:t xml:space="preserve">الجداول</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4909"/>
        <w:gridCol w:w="1487"/>
        <w:gridCol w:w="9663"/>
        <w:gridCol w:w="3719"/>
        <w:gridCol w:w="1041"/>
        <w:gridCol w:w="1192"/>
      </w:tblGrid>
      <w:tr>
        <w:trPr>
          <w:cantSplit/>
          <w:tblHeader/>
        </w:trPr>
        <w:tc>
          <w:tcPr>
            <w:tcW w:type="dxa" w:w="49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48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966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371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104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119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plat.PlatformOperator</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plat</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 يقرؤه تطبيق المشترك (tp_app) · حساب مشغّل المنصة: مخزن هوية منفصل عن AppUser (FR-PLT-006)</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PlatformOperatorId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r>
        <w:trPr>
          <w:cantSplit/>
        </w:trPr>
        <w:tc>
          <w:tcPr>
            <w:tcW w:type="dxa" w:w="49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sec.TenantKey</w:t>
            </w:r>
          </w:p>
        </w:tc>
        <w:tc>
          <w:tcPr>
            <w:tcW w:type="dxa" w:w="148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sec</w:t>
            </w:r>
          </w:p>
        </w:tc>
        <w:tc>
          <w:tcPr>
            <w:tcW w:type="dxa" w:w="966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سجل مفاتيح المشترك؛ المفتاح ملفوف بمفتاح رئيسي خارج القاعدة (FR-PLT-037، BR-PLT-015)</w:t>
            </w:r>
          </w:p>
        </w:tc>
        <w:tc>
          <w:tcPr>
            <w:tcW w:type="dxa" w:w="37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TenantKeyId</w:t>
            </w:r>
          </w:p>
        </w:tc>
        <w:tc>
          <w:tcPr>
            <w:tcW w:type="dxa" w:w="104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c>
          <w:tcPr>
            <w:tcW w:type="dxa" w:w="11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4</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sec</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مستخدم بوابة المشترك (FR-PLT-010..016، BR-PLT-004..006)</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AppUserId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r>
        <w:trPr>
          <w:cantSplit/>
        </w:trPr>
        <w:tc>
          <w:tcPr>
            <w:tcW w:type="dxa" w:w="49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sec.Role</w:t>
            </w:r>
          </w:p>
        </w:tc>
        <w:tc>
          <w:tcPr>
            <w:tcW w:type="dxa" w:w="148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sec</w:t>
            </w:r>
          </w:p>
        </w:tc>
        <w:tc>
          <w:tcPr>
            <w:tcW w:type="dxa" w:w="966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دور يخصصه المشترك أو مبذور (FR-PLT-018)</w:t>
            </w:r>
          </w:p>
        </w:tc>
        <w:tc>
          <w:tcPr>
            <w:tcW w:type="dxa" w:w="37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RoleId</w:t>
            </w:r>
          </w:p>
        </w:tc>
        <w:tc>
          <w:tcPr>
            <w:tcW w:type="dxa" w:w="104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c>
          <w:tcPr>
            <w:tcW w:type="dxa" w:w="11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4</w:t>
            </w:r>
          </w:p>
        </w:tc>
      </w:tr>
    </w:tbl>
    <w:p>
      <w:pPr>
        <w:pStyle w:val="Heading2"/>
        <w:bidi/>
      </w:pPr>
      <w:r>
        <w:rPr>
          <w:rFonts w:ascii="Arial" w:cs="Arial" w:eastAsia="Arial" w:hAnsi="Arial"/>
          <w:b/>
          <w:bCs/>
          <w:color w:val="2B5C8A"/>
          <w:sz w:val="26"/>
          <w:szCs w:val="26"/>
          <w:rtl/>
        </w:rPr>
        <w:t xml:space="preserve">العلاقات</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5009"/>
        <w:gridCol w:w="4098"/>
        <w:gridCol w:w="3946"/>
        <w:gridCol w:w="1518"/>
        <w:gridCol w:w="1821"/>
        <w:gridCol w:w="3036"/>
        <w:gridCol w:w="1366"/>
        <w:gridCol w:w="1217"/>
      </w:tblGrid>
      <w:tr>
        <w:trPr>
          <w:cantSplit/>
          <w:tblHeader/>
        </w:trPr>
        <w:tc>
          <w:tcPr>
            <w:tcW w:type="dxa" w:w="50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409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394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51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82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303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136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121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DepartmentId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org.Department</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LineManagerUserId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MfaKeyId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sec.TenantKey</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MfaKeyPurpose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bl>
    <w:p>
      <w:pPr>
        <w:pStyle w:val="Heading2"/>
        <w:bidi/>
      </w:pPr>
      <w:r>
        <w:rPr>
          <w:rFonts w:ascii="Arial" w:cs="Arial" w:eastAsia="Arial" w:hAnsi="Arial"/>
          <w:b/>
          <w:bCs/>
          <w:color w:val="2B5C8A"/>
          <w:sz w:val="26"/>
          <w:szCs w:val="26"/>
          <w:rtl/>
        </w:rPr>
        <w:t xml:space="preserve">2.3 النواة (3/5) · المشترك والهوية والصلاحيات</w:t>
      </w:r>
    </w:p>
    <w:p>
      <w:pPr>
        <w:keepNext/>
        <w:bidi/>
        <w:spacing w:after="60" w:before="0"/>
      </w:pPr>
      <w:r>
        <w:rPr>
          <w:rFonts w:ascii="Arial" w:cs="Arial" w:eastAsia="Arial" w:hAnsi="Arial"/>
          <w:b w:val="false"/>
          <w:bCs w:val="false"/>
          <w:i w:val="false"/>
          <w:iCs w:val="false"/>
          <w:color w:val="5B6670"/>
          <w:sz w:val="16"/>
          <w:szCs w:val="16"/>
          <w:rtl/>
        </w:rPr>
        <w:t xml:space="preserve">جداول هذا الرسم من النواة؛ رسم مستقل ليبقى النص مقروءًا</w:t>
      </w:r>
    </w:p>
    <w:p>
      <w:pPr>
        <w:keepNext/>
        <w:bidi/>
        <w:spacing w:after="60" w:before="60"/>
        <w:jc w:val="center"/>
      </w:pPr>
      <w:r>
        <w:drawing>
          <wp:inline distT="0" distB="0" distL="0" distR="0">
            <wp:extent cx="12230100" cy="4848225"/>
            <wp:effectExtent t="0" r="0" b="0" l="0"/>
            <wp:docPr id="1" name="diagrams/erd/core_tenancy_3.png" descr="الشكل 5: النواة (3/5) · المشترك والهوية والصلاحيات (4 جداول)" title="الشكل 5: النواة (3/5) · المشترك والهوية والصلاحيات (4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2230100" cy="4848225"/>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5: النواة (3/5) · المشترك والهوية والصلاحيات (4 جداول)</w:t>
      </w:r>
    </w:p>
    <w:p>
      <w:pPr>
        <w:pStyle w:val="Heading2"/>
        <w:bidi/>
      </w:pPr>
      <w:r>
        <w:rPr>
          <w:rFonts w:ascii="Arial" w:cs="Arial" w:eastAsia="Arial" w:hAnsi="Arial"/>
          <w:b/>
          <w:bCs/>
          <w:color w:val="2B5C8A"/>
          <w:sz w:val="26"/>
          <w:szCs w:val="26"/>
          <w:rtl/>
        </w:rPr>
        <w:t xml:space="preserve">الجداول</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4909"/>
        <w:gridCol w:w="1487"/>
        <w:gridCol w:w="9663"/>
        <w:gridCol w:w="3719"/>
        <w:gridCol w:w="1041"/>
        <w:gridCol w:w="1192"/>
      </w:tblGrid>
      <w:tr>
        <w:trPr>
          <w:cantSplit/>
          <w:tblHeader/>
        </w:trPr>
        <w:tc>
          <w:tcPr>
            <w:tcW w:type="dxa" w:w="49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48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966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371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104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119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sec.Permission</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sec</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كتالوج الصلاحيات تملكه المنصة؛ لا يضيف المشترك صلاحية (FR-PLT-017)</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PermissionId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w:t>
            </w:r>
          </w:p>
        </w:tc>
      </w:tr>
      <w:tr>
        <w:trPr>
          <w:cantSplit/>
        </w:trPr>
        <w:tc>
          <w:tcPr>
            <w:tcW w:type="dxa" w:w="49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sec.RolePermission</w:t>
            </w:r>
          </w:p>
        </w:tc>
        <w:tc>
          <w:tcPr>
            <w:tcW w:type="dxa" w:w="148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sec</w:t>
            </w:r>
          </w:p>
        </w:tc>
        <w:tc>
          <w:tcPr>
            <w:tcW w:type="dxa" w:w="966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ربط دور-صلاحية؛ PERMISSION_LOCKED يُفرض في الخدمة (BR-PLT-019)</w:t>
            </w:r>
          </w:p>
        </w:tc>
        <w:tc>
          <w:tcPr>
            <w:tcW w:type="dxa" w:w="37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TenantId, RoleId, PermissionId</w:t>
            </w:r>
          </w:p>
        </w:tc>
        <w:tc>
          <w:tcPr>
            <w:tcW w:type="dxa" w:w="104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c>
          <w:tcPr>
            <w:tcW w:type="dxa" w:w="11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sec.UserRole</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sec</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ربط مستخدم-دور؛ اتحاد الصلاحيات (BR-PLT-007، FR-PLT-018)</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TenantId, UserId, RoleId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r>
      <w:tr>
        <w:trPr>
          <w:cantSplit/>
        </w:trPr>
        <w:tc>
          <w:tcPr>
            <w:tcW w:type="dxa" w:w="49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sec.UserCompanyScope</w:t>
            </w:r>
          </w:p>
        </w:tc>
        <w:tc>
          <w:tcPr>
            <w:tcW w:type="dxa" w:w="148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sec</w:t>
            </w:r>
          </w:p>
        </w:tc>
        <w:tc>
          <w:tcPr>
            <w:tcW w:type="dxa" w:w="966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شركات يراها المستخدم؛ تُهمل إن كان CompanyScopeMode=ALL (FR-PLT-020)</w:t>
            </w:r>
          </w:p>
        </w:tc>
        <w:tc>
          <w:tcPr>
            <w:tcW w:type="dxa" w:w="37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TenantId, UserId, CompanyId</w:t>
            </w:r>
          </w:p>
        </w:tc>
        <w:tc>
          <w:tcPr>
            <w:tcW w:type="dxa" w:w="104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c>
          <w:tcPr>
            <w:tcW w:type="dxa" w:w="11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r>
    </w:tbl>
    <w:p>
      <w:pPr>
        <w:pStyle w:val="Heading2"/>
        <w:bidi/>
      </w:pPr>
      <w:r>
        <w:rPr>
          <w:rFonts w:ascii="Arial" w:cs="Arial" w:eastAsia="Arial" w:hAnsi="Arial"/>
          <w:b/>
          <w:bCs/>
          <w:color w:val="2B5C8A"/>
          <w:sz w:val="26"/>
          <w:szCs w:val="26"/>
          <w:rtl/>
        </w:rPr>
        <w:t xml:space="preserve">العلاقات</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5009"/>
        <w:gridCol w:w="4098"/>
        <w:gridCol w:w="3946"/>
        <w:gridCol w:w="1518"/>
        <w:gridCol w:w="1821"/>
        <w:gridCol w:w="3036"/>
        <w:gridCol w:w="1366"/>
        <w:gridCol w:w="1217"/>
      </w:tblGrid>
      <w:tr>
        <w:trPr>
          <w:cantSplit/>
          <w:tblHeader/>
        </w:trPr>
        <w:tc>
          <w:tcPr>
            <w:tcW w:type="dxa" w:w="50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409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394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51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82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303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136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121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sec.RolePermission</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RoleId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sec.Role</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sec.RolePermission</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PermissionId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sec.Permission</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sec.RolePermission</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AssignedBy</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sec.UserRole</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UserId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sec.UserRole</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RoleId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sec.Role</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sec.UserRole</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AssignedBy</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sec.UserCompanyScope</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UserId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sec.UserCompanyScope</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CompanyId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bl>
    <w:p>
      <w:pPr>
        <w:pStyle w:val="Heading2"/>
        <w:bidi/>
      </w:pPr>
      <w:r>
        <w:rPr>
          <w:rFonts w:ascii="Arial" w:cs="Arial" w:eastAsia="Arial" w:hAnsi="Arial"/>
          <w:b/>
          <w:bCs/>
          <w:color w:val="2B5C8A"/>
          <w:sz w:val="26"/>
          <w:szCs w:val="26"/>
          <w:rtl/>
        </w:rPr>
        <w:t xml:space="preserve">2.4 النواة (4/5) · المشترك والهوية والصلاحيات</w:t>
      </w:r>
    </w:p>
    <w:p>
      <w:pPr>
        <w:keepNext/>
        <w:bidi/>
        <w:spacing w:after="60" w:before="0"/>
      </w:pPr>
      <w:r>
        <w:rPr>
          <w:rFonts w:ascii="Arial" w:cs="Arial" w:eastAsia="Arial" w:hAnsi="Arial"/>
          <w:b w:val="false"/>
          <w:bCs w:val="false"/>
          <w:i w:val="false"/>
          <w:iCs w:val="false"/>
          <w:color w:val="5B6670"/>
          <w:sz w:val="16"/>
          <w:szCs w:val="16"/>
          <w:rtl/>
        </w:rPr>
        <w:t xml:space="preserve">جداول هذا الرسم من النواة؛ رسم مستقل ليبقى النص مقروءًا</w:t>
      </w:r>
    </w:p>
    <w:p>
      <w:pPr>
        <w:keepNext/>
        <w:bidi/>
        <w:spacing w:after="60" w:before="60"/>
        <w:jc w:val="center"/>
      </w:pPr>
      <w:r>
        <w:drawing>
          <wp:inline distT="0" distB="0" distL="0" distR="0">
            <wp:extent cx="10477500" cy="7620000"/>
            <wp:effectExtent t="0" r="0" b="0" l="0"/>
            <wp:docPr id="1" name="diagrams/erd/core_tenancy_4.png" descr="الشكل 6: النواة (4/5) · المشترك والهوية والصلاحيات (4 جداول)" title="الشكل 6: النواة (4/5) · المشترك والهوية والصلاحيات (4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0" cy="7620000"/>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6: النواة (4/5) · المشترك والهوية والصلاحيات (4 جداول)</w:t>
      </w:r>
    </w:p>
    <w:p>
      <w:pPr>
        <w:pStyle w:val="Heading2"/>
        <w:bidi/>
      </w:pPr>
      <w:r>
        <w:rPr>
          <w:rFonts w:ascii="Arial" w:cs="Arial" w:eastAsia="Arial" w:hAnsi="Arial"/>
          <w:b/>
          <w:bCs/>
          <w:color w:val="2B5C8A"/>
          <w:sz w:val="26"/>
          <w:szCs w:val="26"/>
          <w:rtl/>
        </w:rPr>
        <w:t xml:space="preserve">الجداول</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4909"/>
        <w:gridCol w:w="1487"/>
        <w:gridCol w:w="9663"/>
        <w:gridCol w:w="3719"/>
        <w:gridCol w:w="1041"/>
        <w:gridCol w:w="1192"/>
      </w:tblGrid>
      <w:tr>
        <w:trPr>
          <w:cantSplit/>
          <w:tblHeader/>
        </w:trPr>
        <w:tc>
          <w:tcPr>
            <w:tcW w:type="dxa" w:w="49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48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966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371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104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119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sec.UserSession</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sec</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جلسات المستخدم: خمول 30 دقيقة ومطلقة 12 ساعة (FR-PLT-014)</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UserSessionId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r>
        <w:trPr>
          <w:cantSplit/>
        </w:trPr>
        <w:tc>
          <w:tcPr>
            <w:tcW w:type="dxa" w:w="49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t>
            </w:r>
          </w:p>
        </w:tc>
        <w:tc>
          <w:tcPr>
            <w:tcW w:type="dxa" w:w="148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org</w:t>
            </w:r>
          </w:p>
        </w:tc>
        <w:tc>
          <w:tcPr>
            <w:tcW w:type="dxa" w:w="966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الشركة: جذر الهيكل المؤسسي (FR-ORG-001..010، BR-ORG-001..004)</w:t>
            </w:r>
          </w:p>
        </w:tc>
        <w:tc>
          <w:tcPr>
            <w:tcW w:type="dxa" w:w="37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CompanyId</w:t>
            </w:r>
          </w:p>
        </w:tc>
        <w:tc>
          <w:tcPr>
            <w:tcW w:type="dxa" w:w="104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5</w:t>
            </w:r>
          </w:p>
        </w:tc>
        <w:tc>
          <w:tcPr>
            <w:tcW w:type="dxa" w:w="11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6</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org.Department</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org</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الإدارة (FR-ORG-014، BR-ORG-016، Q-ORG-09: على مستوى المشترك وشركة اختيارية)</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DepartmentId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r>
        <w:trPr>
          <w:cantSplit/>
        </w:trPr>
        <w:tc>
          <w:tcPr>
            <w:tcW w:type="dxa" w:w="49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aud.AuditLog</w:t>
            </w:r>
          </w:p>
        </w:tc>
        <w:tc>
          <w:tcPr>
            <w:tcW w:type="dxa" w:w="148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aud</w:t>
            </w:r>
          </w:p>
        </w:tc>
        <w:tc>
          <w:tcPr>
            <w:tcW w:type="dxa" w:w="966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للإدراج فقط؛ TenantId الفارغ = حدث منصة لا يراه أي مشترك؛ سياسة RLS خاصة (BR-PLT-001/009)</w:t>
            </w:r>
          </w:p>
        </w:tc>
        <w:tc>
          <w:tcPr>
            <w:tcW w:type="dxa" w:w="37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AuditLogId</w:t>
            </w:r>
          </w:p>
        </w:tc>
        <w:tc>
          <w:tcPr>
            <w:tcW w:type="dxa" w:w="104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c>
          <w:tcPr>
            <w:tcW w:type="dxa" w:w="11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bl>
    <w:p>
      <w:pPr>
        <w:pStyle w:val="Heading2"/>
        <w:bidi/>
      </w:pPr>
      <w:r>
        <w:rPr>
          <w:rFonts w:ascii="Arial" w:cs="Arial" w:eastAsia="Arial" w:hAnsi="Arial"/>
          <w:b/>
          <w:bCs/>
          <w:color w:val="2B5C8A"/>
          <w:sz w:val="26"/>
          <w:szCs w:val="26"/>
          <w:rtl/>
        </w:rPr>
        <w:t xml:space="preserve">العلاقات</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5009"/>
        <w:gridCol w:w="4098"/>
        <w:gridCol w:w="3946"/>
        <w:gridCol w:w="1518"/>
        <w:gridCol w:w="1821"/>
        <w:gridCol w:w="3036"/>
        <w:gridCol w:w="1366"/>
        <w:gridCol w:w="1217"/>
      </w:tblGrid>
      <w:tr>
        <w:trPr>
          <w:cantSplit/>
          <w:tblHeader/>
        </w:trPr>
        <w:tc>
          <w:tcPr>
            <w:tcW w:type="dxa" w:w="50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409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394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51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82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303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136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121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sec.UserSession</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UserId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sec.UserSession</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EndedBy</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PartyId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pty.Party</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LegalEntityTypeId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cat.LegalEntityType</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ParentCompanyId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CountryId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ref.Country</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BaseCurrencyId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ref.Currency</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org.Department</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CompanyId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org.Department</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ParentDepartmentId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org.Department</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org.Department</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HeadUserId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bl>
    <w:p>
      <w:pPr>
        <w:pStyle w:val="Heading2"/>
        <w:bidi/>
      </w:pPr>
      <w:r>
        <w:rPr>
          <w:rFonts w:ascii="Arial" w:cs="Arial" w:eastAsia="Arial" w:hAnsi="Arial"/>
          <w:b/>
          <w:bCs/>
          <w:color w:val="2B5C8A"/>
          <w:sz w:val="26"/>
          <w:szCs w:val="26"/>
          <w:rtl/>
        </w:rPr>
        <w:t xml:space="preserve">2.5 النواة (5/5) · المشترك والهوية والصلاحيات</w:t>
      </w:r>
    </w:p>
    <w:p>
      <w:pPr>
        <w:keepNext/>
        <w:bidi/>
        <w:spacing w:after="60" w:before="0"/>
      </w:pPr>
      <w:r>
        <w:rPr>
          <w:rFonts w:ascii="Arial" w:cs="Arial" w:eastAsia="Arial" w:hAnsi="Arial"/>
          <w:b w:val="false"/>
          <w:bCs w:val="false"/>
          <w:i w:val="false"/>
          <w:iCs w:val="false"/>
          <w:color w:val="5B6670"/>
          <w:sz w:val="16"/>
          <w:szCs w:val="16"/>
          <w:rtl/>
        </w:rPr>
        <w:t xml:space="preserve">جداول هذا الرسم من النواة؛ رسم مستقل ليبقى النص مقروءًا</w:t>
      </w:r>
    </w:p>
    <w:p>
      <w:pPr>
        <w:keepNext/>
        <w:bidi/>
        <w:spacing w:after="60" w:before="60"/>
        <w:jc w:val="center"/>
      </w:pPr>
      <w:r>
        <w:drawing>
          <wp:inline distT="0" distB="0" distL="0" distR="0">
            <wp:extent cx="2524125" cy="1066800"/>
            <wp:effectExtent t="0" r="0" b="0" l="0"/>
            <wp:docPr id="1" name="diagrams/erd/core_tenancy_5.png" descr="الشكل 7: النواة (5/5) · المشترك والهوية والصلاحيات (جدول واحد)" title="الشكل 7: النواة (5/5) · المشترك والهوية والصلاحيات (جدول واح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524125" cy="1066800"/>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7: النواة (5/5) · المشترك والهوية والصلاحيات (جدول واحد)</w:t>
      </w:r>
    </w:p>
    <w:p>
      <w:pPr>
        <w:pStyle w:val="Heading2"/>
        <w:bidi/>
      </w:pPr>
      <w:r>
        <w:rPr>
          <w:rFonts w:ascii="Arial" w:cs="Arial" w:eastAsia="Arial" w:hAnsi="Arial"/>
          <w:b/>
          <w:bCs/>
          <w:color w:val="2B5C8A"/>
          <w:sz w:val="26"/>
          <w:szCs w:val="26"/>
          <w:rtl/>
        </w:rPr>
        <w:t xml:space="preserve">الجداول</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4909"/>
        <w:gridCol w:w="1487"/>
        <w:gridCol w:w="9663"/>
        <w:gridCol w:w="3719"/>
        <w:gridCol w:w="1041"/>
        <w:gridCol w:w="1192"/>
      </w:tblGrid>
      <w:tr>
        <w:trPr>
          <w:cantSplit/>
          <w:tblHeader/>
        </w:trPr>
        <w:tc>
          <w:tcPr>
            <w:tcW w:type="dxa" w:w="49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48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966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371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104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119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ref.Country</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ref</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الدولة: مرجع عالمي للقراءة فقط يديره مشغّل المنصة (FR-CAT-026، BR-CAT-018، BR-CAT-015)</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CountryId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bl>
    <w:p>
      <w:pPr>
        <w:pStyle w:val="Heading2"/>
        <w:bidi/>
      </w:pPr>
      <w:r>
        <w:rPr>
          <w:rFonts w:ascii="Arial" w:cs="Arial" w:eastAsia="Arial" w:hAnsi="Arial"/>
          <w:b/>
          <w:bCs/>
          <w:color w:val="2B5C8A"/>
          <w:sz w:val="26"/>
          <w:szCs w:val="26"/>
          <w:rtl/>
        </w:rPr>
        <w:t xml:space="preserve">العلاقات</w:t>
      </w:r>
    </w:p>
    <w:p>
      <w:pPr>
        <w:keepNext w:val="false"/>
        <w:bidi/>
        <w:spacing w:after="110" w:before="0" w:line="300"/>
      </w:pPr>
      <w:r>
        <w:rPr>
          <w:rFonts w:ascii="Arial" w:cs="Arial" w:eastAsia="Arial" w:hAnsi="Arial"/>
          <w:b w:val="false"/>
          <w:bCs w:val="false"/>
          <w:i/>
          <w:iCs/>
          <w:color w:val="5B6670"/>
          <w:sz w:val="16"/>
          <w:szCs w:val="16"/>
          <w:rtl/>
        </w:rPr>
        <w:t xml:space="preserve">لا توجد مفاتيح أجنبية عملية لجداول هذه المجموعة.</w:t>
      </w:r>
    </w:p>
    <w:p>
      <w:pPr>
        <w:pStyle w:val="Heading1"/>
        <w:bidi/>
      </w:pPr>
      <w:r>
        <w:rPr>
          <w:rFonts w:ascii="Arial" w:cs="Arial" w:eastAsia="Arial" w:hAnsi="Arial"/>
          <w:b/>
          <w:bCs/>
          <w:color w:val="1F3A5F"/>
          <w:sz w:val="32"/>
          <w:szCs w:val="32"/>
          <w:rtl/>
        </w:rPr>
        <w:t xml:space="preserve">3. رسوم الوحدات</w:t>
      </w:r>
    </w:p>
    <w:p>
      <w:pPr>
        <w:keepNext w:val="false"/>
        <w:bidi/>
        <w:spacing w:after="120" w:before="0" w:line="300"/>
      </w:pPr>
      <w:r>
        <w:rPr>
          <w:rFonts w:ascii="Arial" w:cs="Arial" w:eastAsia="Arial" w:hAnsi="Arial"/>
          <w:b w:val="false"/>
          <w:bCs w:val="false"/>
          <w:i w:val="false"/>
          <w:iCs w:val="false"/>
          <w:sz w:val="20"/>
          <w:szCs w:val="20"/>
          <w:rtl/>
        </w:rPr>
        <w:t xml:space="preserve">تغطي 55 مجموعةً رسم كل جداول النموذج، وكل جدول يظهر في مجموعة واحدة بالضبط. الجدول التالي يلخص الوحدات:</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7337"/>
        <w:gridCol w:w="7337"/>
        <w:gridCol w:w="7337"/>
      </w:tblGrid>
      <w:tr>
        <w:trPr>
          <w:cantSplit/>
          <w:tblHeader/>
        </w:trPr>
        <w:tc>
          <w:tcPr>
            <w:tcW w:type="dxa" w:w="733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الوحدة</w:t>
            </w:r>
          </w:p>
        </w:tc>
        <w:tc>
          <w:tcPr>
            <w:tcW w:type="dxa" w:w="733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عدد مجموعات الرسم</w:t>
            </w:r>
          </w:p>
        </w:tc>
        <w:tc>
          <w:tcPr>
            <w:tcW w:type="dxa" w:w="733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عدد الجداول</w:t>
            </w:r>
          </w:p>
        </w:tc>
      </w:tr>
      <w:tr>
        <w:trPr>
          <w:cantSplit/>
        </w:trPr>
        <w:tc>
          <w:tcPr>
            <w:tcW w:type="dxa" w:w="73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م0</w:t>
            </w:r>
          </w:p>
        </w:tc>
        <w:tc>
          <w:tcPr>
            <w:tcW w:type="dxa" w:w="73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11</w:t>
            </w:r>
          </w:p>
        </w:tc>
        <w:tc>
          <w:tcPr>
            <w:tcW w:type="dxa" w:w="73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38</w:t>
            </w:r>
          </w:p>
        </w:tc>
      </w:tr>
      <w:tr>
        <w:trPr>
          <w:cantSplit/>
        </w:trPr>
        <w:tc>
          <w:tcPr>
            <w:tcW w:type="dxa" w:w="73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م1</w:t>
            </w:r>
          </w:p>
        </w:tc>
        <w:tc>
          <w:tcPr>
            <w:tcW w:type="dxa" w:w="73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7</w:t>
            </w:r>
          </w:p>
        </w:tc>
        <w:tc>
          <w:tcPr>
            <w:tcW w:type="dxa" w:w="73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25</w:t>
            </w:r>
          </w:p>
        </w:tc>
      </w:tr>
      <w:tr>
        <w:trPr>
          <w:cantSplit/>
        </w:trPr>
        <w:tc>
          <w:tcPr>
            <w:tcW w:type="dxa" w:w="73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م2–م3</w:t>
            </w:r>
          </w:p>
        </w:tc>
        <w:tc>
          <w:tcPr>
            <w:tcW w:type="dxa" w:w="73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c>
          <w:tcPr>
            <w:tcW w:type="dxa" w:w="73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12</w:t>
            </w:r>
          </w:p>
        </w:tc>
      </w:tr>
      <w:tr>
        <w:trPr>
          <w:cantSplit/>
        </w:trPr>
        <w:tc>
          <w:tcPr>
            <w:tcW w:type="dxa" w:w="73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م4</w:t>
            </w:r>
          </w:p>
        </w:tc>
        <w:tc>
          <w:tcPr>
            <w:tcW w:type="dxa" w:w="73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8</w:t>
            </w:r>
          </w:p>
        </w:tc>
        <w:tc>
          <w:tcPr>
            <w:tcW w:type="dxa" w:w="73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30</w:t>
            </w:r>
          </w:p>
        </w:tc>
      </w:tr>
      <w:tr>
        <w:trPr>
          <w:cantSplit/>
        </w:trPr>
        <w:tc>
          <w:tcPr>
            <w:tcW w:type="dxa" w:w="73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م5</w:t>
            </w:r>
          </w:p>
        </w:tc>
        <w:tc>
          <w:tcPr>
            <w:tcW w:type="dxa" w:w="73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12</w:t>
            </w:r>
          </w:p>
        </w:tc>
        <w:tc>
          <w:tcPr>
            <w:tcW w:type="dxa" w:w="73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42</w:t>
            </w:r>
          </w:p>
        </w:tc>
      </w:tr>
      <w:tr>
        <w:trPr>
          <w:cantSplit/>
        </w:trPr>
        <w:tc>
          <w:tcPr>
            <w:tcW w:type="dxa" w:w="73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م6</w:t>
            </w:r>
          </w:p>
        </w:tc>
        <w:tc>
          <w:tcPr>
            <w:tcW w:type="dxa" w:w="73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8</w:t>
            </w:r>
          </w:p>
        </w:tc>
        <w:tc>
          <w:tcPr>
            <w:tcW w:type="dxa" w:w="73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26</w:t>
            </w:r>
          </w:p>
        </w:tc>
      </w:tr>
      <w:tr>
        <w:trPr>
          <w:cantSplit/>
        </w:trPr>
        <w:tc>
          <w:tcPr>
            <w:tcW w:type="dxa" w:w="73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م7/م8</w:t>
            </w:r>
          </w:p>
        </w:tc>
        <w:tc>
          <w:tcPr>
            <w:tcW w:type="dxa" w:w="73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6</w:t>
            </w:r>
          </w:p>
        </w:tc>
        <w:tc>
          <w:tcPr>
            <w:tcW w:type="dxa" w:w="73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21</w:t>
            </w:r>
          </w:p>
        </w:tc>
      </w:tr>
    </w:tbl>
    <w:p>
      <w:pPr>
        <w:pStyle w:val="Heading2"/>
        <w:bidi/>
      </w:pPr>
      <w:r>
        <w:rPr>
          <w:rFonts w:ascii="Arial" w:cs="Arial" w:eastAsia="Arial" w:hAnsi="Arial"/>
          <w:b/>
          <w:bCs/>
          <w:color w:val="2B5C8A"/>
          <w:sz w:val="26"/>
          <w:szCs w:val="26"/>
          <w:rtl/>
        </w:rPr>
        <w:t xml:space="preserve">3.1 م0 · المشترك والاشتراكات والمشغّلون (1/2)</w:t>
      </w:r>
    </w:p>
    <w:p>
      <w:pPr>
        <w:keepNext/>
        <w:bidi/>
        <w:spacing w:after="60" w:before="0"/>
      </w:pPr>
      <w:r>
        <w:rPr>
          <w:rFonts w:ascii="Arial" w:cs="Arial" w:eastAsia="Arial" w:hAnsi="Arial"/>
          <w:b w:val="false"/>
          <w:bCs w:val="false"/>
          <w:i w:val="false"/>
          <w:iCs w:val="false"/>
          <w:color w:val="5B6670"/>
          <w:sz w:val="16"/>
          <w:szCs w:val="16"/>
          <w:rtl/>
        </w:rPr>
        <w:t xml:space="preserve">Tenancy &amp; platform operators</w:t>
      </w:r>
    </w:p>
    <w:p>
      <w:pPr>
        <w:keepNext/>
        <w:bidi/>
        <w:spacing w:after="60" w:before="60"/>
        <w:jc w:val="center"/>
      </w:pPr>
      <w:r>
        <w:drawing>
          <wp:inline distT="0" distB="0" distL="0" distR="0">
            <wp:extent cx="12782550" cy="3552825"/>
            <wp:effectExtent t="0" r="0" b="0" l="0"/>
            <wp:docPr id="1" name="diagrams/erd/m0_tenancy_1.png" descr="الشكل 8: م0 · المشترك والاشتراكات والمشغّلون (1/2) (4 جداول)" title="الشكل 8: م0 · المشترك والاشتراكات والمشغّلون (1/2) (4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2782550" cy="3552825"/>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8: م0 · المشترك والاشتراكات والمشغّلون (1/2) (4 جداول)</w:t>
      </w:r>
    </w:p>
    <w:p>
      <w:pPr>
        <w:pStyle w:val="Heading2"/>
        <w:bidi/>
      </w:pPr>
      <w:r>
        <w:rPr>
          <w:rFonts w:ascii="Arial" w:cs="Arial" w:eastAsia="Arial" w:hAnsi="Arial"/>
          <w:b/>
          <w:bCs/>
          <w:color w:val="2B5C8A"/>
          <w:sz w:val="26"/>
          <w:szCs w:val="26"/>
          <w:rtl/>
        </w:rPr>
        <w:t xml:space="preserve">الجداول</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4909"/>
        <w:gridCol w:w="1487"/>
        <w:gridCol w:w="9663"/>
        <w:gridCol w:w="3719"/>
        <w:gridCol w:w="1041"/>
        <w:gridCol w:w="1192"/>
      </w:tblGrid>
      <w:tr>
        <w:trPr>
          <w:cantSplit/>
          <w:tblHeader/>
        </w:trPr>
        <w:tc>
          <w:tcPr>
            <w:tcW w:type="dxa" w:w="49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48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966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371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104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119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plat.Plan</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plat</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باقة: حزمة وحدات وحدود ناعمة (FR-PLT-003/004، Q-PLT-11)</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PlanId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w:t>
            </w:r>
          </w:p>
        </w:tc>
      </w:tr>
      <w:tr>
        <w:trPr>
          <w:cantSplit/>
        </w:trPr>
        <w:tc>
          <w:tcPr>
            <w:tcW w:type="dxa" w:w="49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plat.PlanModule</w:t>
            </w:r>
          </w:p>
        </w:tc>
        <w:tc>
          <w:tcPr>
            <w:tcW w:type="dxa" w:w="148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plat</w:t>
            </w:r>
          </w:p>
        </w:tc>
        <w:tc>
          <w:tcPr>
            <w:tcW w:type="dxa" w:w="966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وحدات الباقة (يحل محل Plan.IncludedModules json)</w:t>
            </w:r>
          </w:p>
        </w:tc>
        <w:tc>
          <w:tcPr>
            <w:tcW w:type="dxa" w:w="37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PlanId, ModuleCode</w:t>
            </w:r>
          </w:p>
        </w:tc>
        <w:tc>
          <w:tcPr>
            <w:tcW w:type="dxa" w:w="104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w:t>
            </w:r>
          </w:p>
        </w:tc>
        <w:tc>
          <w:tcPr>
            <w:tcW w:type="dxa" w:w="11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plat.PlatformOperator</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plat</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 يقرؤه تطبيق المشترك (tp_app) · حساب مشغّل المنصة: مخزن هوية منفصل عن AppUser (FR-PLT-006)</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PlatformOperatorId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r>
        <w:trPr>
          <w:cantSplit/>
        </w:trPr>
        <w:tc>
          <w:tcPr>
            <w:tcW w:type="dxa" w:w="49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plat.ReservedSubdomain</w:t>
            </w:r>
          </w:p>
        </w:tc>
        <w:tc>
          <w:tcPr>
            <w:tcW w:type="dxa" w:w="148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plat</w:t>
            </w:r>
          </w:p>
        </w:tc>
        <w:tc>
          <w:tcPr>
            <w:tcW w:type="dxa" w:w="966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عناوين فرعية محجوزة للنظام: www · admin · api · app… (FR-PLT-046)</w:t>
            </w:r>
          </w:p>
        </w:tc>
        <w:tc>
          <w:tcPr>
            <w:tcW w:type="dxa" w:w="37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ReservedSubdomainId</w:t>
            </w:r>
          </w:p>
        </w:tc>
        <w:tc>
          <w:tcPr>
            <w:tcW w:type="dxa" w:w="104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c>
          <w:tcPr>
            <w:tcW w:type="dxa" w:w="11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w:t>
            </w:r>
          </w:p>
        </w:tc>
      </w:tr>
    </w:tbl>
    <w:p>
      <w:pPr>
        <w:pStyle w:val="Heading2"/>
        <w:bidi/>
      </w:pPr>
      <w:r>
        <w:rPr>
          <w:rFonts w:ascii="Arial" w:cs="Arial" w:eastAsia="Arial" w:hAnsi="Arial"/>
          <w:b/>
          <w:bCs/>
          <w:color w:val="2B5C8A"/>
          <w:sz w:val="26"/>
          <w:szCs w:val="26"/>
          <w:rtl/>
        </w:rPr>
        <w:t xml:space="preserve">العلاقات</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5009"/>
        <w:gridCol w:w="4098"/>
        <w:gridCol w:w="3946"/>
        <w:gridCol w:w="1518"/>
        <w:gridCol w:w="1821"/>
        <w:gridCol w:w="3036"/>
        <w:gridCol w:w="1366"/>
        <w:gridCol w:w="1217"/>
      </w:tblGrid>
      <w:tr>
        <w:trPr>
          <w:cantSplit/>
          <w:tblHeader/>
        </w:trPr>
        <w:tc>
          <w:tcPr>
            <w:tcW w:type="dxa" w:w="50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409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394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51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82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303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136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121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plat.PlanModule</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PlanId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plat.Plan</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bl>
    <w:p>
      <w:pPr>
        <w:pStyle w:val="Heading2"/>
        <w:bidi/>
      </w:pPr>
      <w:r>
        <w:rPr>
          <w:rFonts w:ascii="Arial" w:cs="Arial" w:eastAsia="Arial" w:hAnsi="Arial"/>
          <w:b/>
          <w:bCs/>
          <w:color w:val="2B5C8A"/>
          <w:sz w:val="26"/>
          <w:szCs w:val="26"/>
          <w:rtl/>
        </w:rPr>
        <w:t xml:space="preserve">3.2 م0 · المشترك والاشتراكات والمشغّلون (2/2)</w:t>
      </w:r>
    </w:p>
    <w:p>
      <w:pPr>
        <w:keepNext/>
        <w:bidi/>
        <w:spacing w:after="60" w:before="0"/>
      </w:pPr>
      <w:r>
        <w:rPr>
          <w:rFonts w:ascii="Arial" w:cs="Arial" w:eastAsia="Arial" w:hAnsi="Arial"/>
          <w:b w:val="false"/>
          <w:bCs w:val="false"/>
          <w:i w:val="false"/>
          <w:iCs w:val="false"/>
          <w:color w:val="5B6670"/>
          <w:sz w:val="16"/>
          <w:szCs w:val="16"/>
          <w:rtl/>
        </w:rPr>
        <w:t xml:space="preserve">Tenancy &amp; platform operators</w:t>
      </w:r>
    </w:p>
    <w:p>
      <w:pPr>
        <w:keepNext/>
        <w:bidi/>
        <w:spacing w:after="60" w:before="60"/>
        <w:jc w:val="center"/>
      </w:pPr>
      <w:r>
        <w:drawing>
          <wp:inline distT="0" distB="0" distL="0" distR="0">
            <wp:extent cx="13163550" cy="1914525"/>
            <wp:effectExtent t="0" r="0" b="0" l="0"/>
            <wp:docPr id="1" name="diagrams/erd/m0_tenancy_2.png" descr="الشكل 9: م0 · المشترك والاشتراكات والمشغّلون (2/2) (3 جداول)" title="الشكل 9: م0 · المشترك والاشتراكات والمشغّلون (2/2) (3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3163550" cy="1914525"/>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9: م0 · المشترك والاشتراكات والمشغّلون (2/2) (3 جداول)</w:t>
      </w:r>
    </w:p>
    <w:p>
      <w:pPr>
        <w:pStyle w:val="Heading2"/>
        <w:bidi/>
      </w:pPr>
      <w:r>
        <w:rPr>
          <w:rFonts w:ascii="Arial" w:cs="Arial" w:eastAsia="Arial" w:hAnsi="Arial"/>
          <w:b/>
          <w:bCs/>
          <w:color w:val="2B5C8A"/>
          <w:sz w:val="26"/>
          <w:szCs w:val="26"/>
          <w:rtl/>
        </w:rPr>
        <w:t xml:space="preserve">الجداول</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4909"/>
        <w:gridCol w:w="1487"/>
        <w:gridCol w:w="9663"/>
        <w:gridCol w:w="3719"/>
        <w:gridCol w:w="1041"/>
        <w:gridCol w:w="1192"/>
      </w:tblGrid>
      <w:tr>
        <w:trPr>
          <w:cantSplit/>
          <w:tblHeader/>
        </w:trPr>
        <w:tc>
          <w:tcPr>
            <w:tcW w:type="dxa" w:w="49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48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966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371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104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119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plat.SupportAccessGrant</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plat</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وصول الدعم المؤقت يفعّله مدير حساب المشترك (FR-PLT-007، BR-PLT-017)</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SupportAccessGrantId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w:t>
            </w:r>
          </w:p>
        </w:tc>
      </w:tr>
      <w:tr>
        <w:trPr>
          <w:cantSplit/>
        </w:trPr>
        <w:tc>
          <w:tcPr>
            <w:tcW w:type="dxa" w:w="49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plat.Tenant</w:t>
            </w:r>
          </w:p>
        </w:tc>
        <w:tc>
          <w:tcPr>
            <w:tcW w:type="dxa" w:w="148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plat</w:t>
            </w:r>
          </w:p>
        </w:tc>
        <w:tc>
          <w:tcPr>
            <w:tcW w:type="dxa" w:w="966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 وصول مباشر لتطبيق المشترك (يقرأ صفّه عبر plat.v_CurrentTenant) · جذر العزل: المشترك (FR-PLT-001/002/046، BR-PLT-001/002)</w:t>
            </w:r>
          </w:p>
        </w:tc>
        <w:tc>
          <w:tcPr>
            <w:tcW w:type="dxa" w:w="37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TenantId</w:t>
            </w:r>
          </w:p>
        </w:tc>
        <w:tc>
          <w:tcPr>
            <w:tcW w:type="dxa" w:w="104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c>
          <w:tcPr>
            <w:tcW w:type="dxa" w:w="11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plat.TenantModule</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plat</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الوحدات المفعّلة لكل مشترك؛ ملكية المنصة فقط: لا يكتبها تطبيق المشترك ويقرؤها عبر عرض مُحدَّد (DR-01)</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TenantModuleId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w:t>
            </w:r>
          </w:p>
        </w:tc>
      </w:tr>
    </w:tbl>
    <w:p>
      <w:pPr>
        <w:pStyle w:val="Heading2"/>
        <w:bidi/>
      </w:pPr>
      <w:r>
        <w:rPr>
          <w:rFonts w:ascii="Arial" w:cs="Arial" w:eastAsia="Arial" w:hAnsi="Arial"/>
          <w:b/>
          <w:bCs/>
          <w:color w:val="2B5C8A"/>
          <w:sz w:val="26"/>
          <w:szCs w:val="26"/>
          <w:rtl/>
        </w:rPr>
        <w:t xml:space="preserve">العلاقات</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5009"/>
        <w:gridCol w:w="4098"/>
        <w:gridCol w:w="3946"/>
        <w:gridCol w:w="1518"/>
        <w:gridCol w:w="1821"/>
        <w:gridCol w:w="3036"/>
        <w:gridCol w:w="1366"/>
        <w:gridCol w:w="1217"/>
      </w:tblGrid>
      <w:tr>
        <w:trPr>
          <w:cantSplit/>
          <w:tblHeader/>
        </w:trPr>
        <w:tc>
          <w:tcPr>
            <w:tcW w:type="dxa" w:w="50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409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394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51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82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303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136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121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plat.SupportAccessGrant</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OperatorId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plat.PlatformOperator</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plat.SupportAccessGrant</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GrantedBy</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plat.SupportAccessGrant</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RevokedBy</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plat.Tenant</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PlanId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plat.Plan</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plat.Tenant</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HomeCountryId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ref.Country</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plat.TenantModule</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EnabledBy</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plat.PlatformOperator</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bl>
    <w:p>
      <w:pPr>
        <w:pStyle w:val="Heading2"/>
        <w:bidi/>
      </w:pPr>
      <w:r>
        <w:rPr>
          <w:rFonts w:ascii="Arial" w:cs="Arial" w:eastAsia="Arial" w:hAnsi="Arial"/>
          <w:b/>
          <w:bCs/>
          <w:color w:val="2B5C8A"/>
          <w:sz w:val="26"/>
          <w:szCs w:val="26"/>
          <w:rtl/>
        </w:rPr>
        <w:t xml:space="preserve">3.3 م0 · الهوية والصلاحيات (1/2)</w:t>
      </w:r>
    </w:p>
    <w:p>
      <w:pPr>
        <w:keepNext/>
        <w:bidi/>
        <w:spacing w:after="60" w:before="0"/>
      </w:pPr>
      <w:r>
        <w:rPr>
          <w:rFonts w:ascii="Arial" w:cs="Arial" w:eastAsia="Arial" w:hAnsi="Arial"/>
          <w:b w:val="false"/>
          <w:bCs w:val="false"/>
          <w:i w:val="false"/>
          <w:iCs w:val="false"/>
          <w:color w:val="5B6670"/>
          <w:sz w:val="16"/>
          <w:szCs w:val="16"/>
          <w:rtl/>
        </w:rPr>
        <w:t xml:space="preserve">Identity &amp; authorisation</w:t>
      </w:r>
    </w:p>
    <w:p>
      <w:pPr>
        <w:keepNext/>
        <w:bidi/>
        <w:spacing w:after="60" w:before="60"/>
        <w:jc w:val="center"/>
      </w:pPr>
      <w:r>
        <w:drawing>
          <wp:inline distT="0" distB="0" distL="0" distR="0">
            <wp:extent cx="11877675" cy="6515100"/>
            <wp:effectExtent t="0" r="0" b="0" l="0"/>
            <wp:docPr id="1" name="diagrams/erd/m0_identity_1.png" descr="الشكل 10: م0 · الهوية والصلاحيات (1/2) (4 جداول)" title="الشكل 10: م0 · الهوية والصلاحيات (1/2) (4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1877675" cy="6515100"/>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10: م0 · الهوية والصلاحيات (1/2) (4 جداول)</w:t>
      </w:r>
    </w:p>
    <w:p>
      <w:pPr>
        <w:pStyle w:val="Heading2"/>
        <w:bidi/>
      </w:pPr>
      <w:r>
        <w:rPr>
          <w:rFonts w:ascii="Arial" w:cs="Arial" w:eastAsia="Arial" w:hAnsi="Arial"/>
          <w:b/>
          <w:bCs/>
          <w:color w:val="2B5C8A"/>
          <w:sz w:val="26"/>
          <w:szCs w:val="26"/>
          <w:rtl/>
        </w:rPr>
        <w:t xml:space="preserve">الجداول</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4909"/>
        <w:gridCol w:w="1487"/>
        <w:gridCol w:w="9663"/>
        <w:gridCol w:w="3719"/>
        <w:gridCol w:w="1041"/>
        <w:gridCol w:w="1192"/>
      </w:tblGrid>
      <w:tr>
        <w:trPr>
          <w:cantSplit/>
          <w:tblHeader/>
        </w:trPr>
        <w:tc>
          <w:tcPr>
            <w:tcW w:type="dxa" w:w="49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48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966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371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104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119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sec</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مستخدم بوابة المشترك (FR-PLT-010..016، BR-PLT-004..006)</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AppUserId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r>
        <w:trPr>
          <w:cantSplit/>
        </w:trPr>
        <w:tc>
          <w:tcPr>
            <w:tcW w:type="dxa" w:w="49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sec.Role</w:t>
            </w:r>
          </w:p>
        </w:tc>
        <w:tc>
          <w:tcPr>
            <w:tcW w:type="dxa" w:w="148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sec</w:t>
            </w:r>
          </w:p>
        </w:tc>
        <w:tc>
          <w:tcPr>
            <w:tcW w:type="dxa" w:w="966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دور يخصصه المشترك أو مبذور (FR-PLT-018)</w:t>
            </w:r>
          </w:p>
        </w:tc>
        <w:tc>
          <w:tcPr>
            <w:tcW w:type="dxa" w:w="37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RoleId</w:t>
            </w:r>
          </w:p>
        </w:tc>
        <w:tc>
          <w:tcPr>
            <w:tcW w:type="dxa" w:w="104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c>
          <w:tcPr>
            <w:tcW w:type="dxa" w:w="11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4</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sec.Permission</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sec</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كتالوج الصلاحيات تملكه المنصة؛ لا يضيف المشترك صلاحية (FR-PLT-017)</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PermissionId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w:t>
            </w:r>
          </w:p>
        </w:tc>
      </w:tr>
      <w:tr>
        <w:trPr>
          <w:cantSplit/>
        </w:trPr>
        <w:tc>
          <w:tcPr>
            <w:tcW w:type="dxa" w:w="49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sec.RolePermission</w:t>
            </w:r>
          </w:p>
        </w:tc>
        <w:tc>
          <w:tcPr>
            <w:tcW w:type="dxa" w:w="148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sec</w:t>
            </w:r>
          </w:p>
        </w:tc>
        <w:tc>
          <w:tcPr>
            <w:tcW w:type="dxa" w:w="966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ربط دور-صلاحية؛ PERMISSION_LOCKED يُفرض في الخدمة (BR-PLT-019)</w:t>
            </w:r>
          </w:p>
        </w:tc>
        <w:tc>
          <w:tcPr>
            <w:tcW w:type="dxa" w:w="37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TenantId, RoleId, PermissionId</w:t>
            </w:r>
          </w:p>
        </w:tc>
        <w:tc>
          <w:tcPr>
            <w:tcW w:type="dxa" w:w="104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c>
          <w:tcPr>
            <w:tcW w:type="dxa" w:w="11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r>
    </w:tbl>
    <w:p>
      <w:pPr>
        <w:pStyle w:val="Heading2"/>
        <w:bidi/>
      </w:pPr>
      <w:r>
        <w:rPr>
          <w:rFonts w:ascii="Arial" w:cs="Arial" w:eastAsia="Arial" w:hAnsi="Arial"/>
          <w:b/>
          <w:bCs/>
          <w:color w:val="2B5C8A"/>
          <w:sz w:val="26"/>
          <w:szCs w:val="26"/>
          <w:rtl/>
        </w:rPr>
        <w:t xml:space="preserve">العلاقات</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5009"/>
        <w:gridCol w:w="4098"/>
        <w:gridCol w:w="3946"/>
        <w:gridCol w:w="1518"/>
        <w:gridCol w:w="1821"/>
        <w:gridCol w:w="3036"/>
        <w:gridCol w:w="1366"/>
        <w:gridCol w:w="1217"/>
      </w:tblGrid>
      <w:tr>
        <w:trPr>
          <w:cantSplit/>
          <w:tblHeader/>
        </w:trPr>
        <w:tc>
          <w:tcPr>
            <w:tcW w:type="dxa" w:w="50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409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394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51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82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303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136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121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DepartmentId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org.Department</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LineManagerUserId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MfaKeyId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sec.TenantKey</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MfaKeyPurpose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sec.RolePermission</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RoleId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sec.Role</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sec.RolePermission</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PermissionId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sec.Permission</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sec.RolePermission</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AssignedBy</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bl>
    <w:p>
      <w:pPr>
        <w:pStyle w:val="Heading2"/>
        <w:bidi/>
      </w:pPr>
      <w:r>
        <w:rPr>
          <w:rFonts w:ascii="Arial" w:cs="Arial" w:eastAsia="Arial" w:hAnsi="Arial"/>
          <w:b/>
          <w:bCs/>
          <w:color w:val="2B5C8A"/>
          <w:sz w:val="26"/>
          <w:szCs w:val="26"/>
          <w:rtl/>
        </w:rPr>
        <w:t xml:space="preserve">3.4 م0 · الهوية والصلاحيات (2/2)</w:t>
      </w:r>
    </w:p>
    <w:p>
      <w:pPr>
        <w:keepNext/>
        <w:bidi/>
        <w:spacing w:after="60" w:before="0"/>
      </w:pPr>
      <w:r>
        <w:rPr>
          <w:rFonts w:ascii="Arial" w:cs="Arial" w:eastAsia="Arial" w:hAnsi="Arial"/>
          <w:b w:val="false"/>
          <w:bCs w:val="false"/>
          <w:i w:val="false"/>
          <w:iCs w:val="false"/>
          <w:color w:val="5B6670"/>
          <w:sz w:val="16"/>
          <w:szCs w:val="16"/>
          <w:rtl/>
        </w:rPr>
        <w:t xml:space="preserve">Identity &amp; authorisation</w:t>
      </w:r>
    </w:p>
    <w:p>
      <w:pPr>
        <w:keepNext/>
        <w:bidi/>
        <w:spacing w:after="60" w:before="60"/>
        <w:jc w:val="center"/>
      </w:pPr>
      <w:r>
        <w:drawing>
          <wp:inline distT="0" distB="0" distL="0" distR="0">
            <wp:extent cx="12582525" cy="1933575"/>
            <wp:effectExtent t="0" r="0" b="0" l="0"/>
            <wp:docPr id="1" name="diagrams/erd/m0_identity_2.png" descr="الشكل 11: م0 · الهوية والصلاحيات (2/2) (3 جداول)" title="الشكل 11: م0 · الهوية والصلاحيات (2/2) (3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2582525" cy="1933575"/>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11: م0 · الهوية والصلاحيات (2/2) (3 جداول)</w:t>
      </w:r>
    </w:p>
    <w:p>
      <w:pPr>
        <w:pStyle w:val="Heading2"/>
        <w:bidi/>
      </w:pPr>
      <w:r>
        <w:rPr>
          <w:rFonts w:ascii="Arial" w:cs="Arial" w:eastAsia="Arial" w:hAnsi="Arial"/>
          <w:b/>
          <w:bCs/>
          <w:color w:val="2B5C8A"/>
          <w:sz w:val="26"/>
          <w:szCs w:val="26"/>
          <w:rtl/>
        </w:rPr>
        <w:t xml:space="preserve">الجداول</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4909"/>
        <w:gridCol w:w="1487"/>
        <w:gridCol w:w="9663"/>
        <w:gridCol w:w="3719"/>
        <w:gridCol w:w="1041"/>
        <w:gridCol w:w="1192"/>
      </w:tblGrid>
      <w:tr>
        <w:trPr>
          <w:cantSplit/>
          <w:tblHeader/>
        </w:trPr>
        <w:tc>
          <w:tcPr>
            <w:tcW w:type="dxa" w:w="49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48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966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371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104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119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sec.UserRole</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sec</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ربط مستخدم-دور؛ اتحاد الصلاحيات (BR-PLT-007، FR-PLT-018)</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TenantId, UserId, RoleId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r>
      <w:tr>
        <w:trPr>
          <w:cantSplit/>
        </w:trPr>
        <w:tc>
          <w:tcPr>
            <w:tcW w:type="dxa" w:w="49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sec.UserCompanyScope</w:t>
            </w:r>
          </w:p>
        </w:tc>
        <w:tc>
          <w:tcPr>
            <w:tcW w:type="dxa" w:w="148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sec</w:t>
            </w:r>
          </w:p>
        </w:tc>
        <w:tc>
          <w:tcPr>
            <w:tcW w:type="dxa" w:w="966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شركات يراها المستخدم؛ تُهمل إن كان CompanyScopeMode=ALL (FR-PLT-020)</w:t>
            </w:r>
          </w:p>
        </w:tc>
        <w:tc>
          <w:tcPr>
            <w:tcW w:type="dxa" w:w="37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TenantId, UserId, CompanyId</w:t>
            </w:r>
          </w:p>
        </w:tc>
        <w:tc>
          <w:tcPr>
            <w:tcW w:type="dxa" w:w="104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c>
          <w:tcPr>
            <w:tcW w:type="dxa" w:w="11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sec.ExternalIdentity</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sec</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ربط هوية خارجية OIDC/Entra بالمستخدم؛ جاهزية فقط (FR-PLT-015، §11)</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ExternalIdentityId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bl>
    <w:p>
      <w:pPr>
        <w:pStyle w:val="Heading2"/>
        <w:bidi/>
      </w:pPr>
      <w:r>
        <w:rPr>
          <w:rFonts w:ascii="Arial" w:cs="Arial" w:eastAsia="Arial" w:hAnsi="Arial"/>
          <w:b/>
          <w:bCs/>
          <w:color w:val="2B5C8A"/>
          <w:sz w:val="26"/>
          <w:szCs w:val="26"/>
          <w:rtl/>
        </w:rPr>
        <w:t xml:space="preserve">العلاقات</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5009"/>
        <w:gridCol w:w="4098"/>
        <w:gridCol w:w="3946"/>
        <w:gridCol w:w="1518"/>
        <w:gridCol w:w="1821"/>
        <w:gridCol w:w="3036"/>
        <w:gridCol w:w="1366"/>
        <w:gridCol w:w="1217"/>
      </w:tblGrid>
      <w:tr>
        <w:trPr>
          <w:cantSplit/>
          <w:tblHeader/>
        </w:trPr>
        <w:tc>
          <w:tcPr>
            <w:tcW w:type="dxa" w:w="50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409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394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51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82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303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136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121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sec.UserRole</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UserId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sec.UserRole</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RoleId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sec.Role</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sec.UserRole</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AssignedBy</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sec.UserCompanyScope</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UserId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sec.UserCompanyScope</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CompanyId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sec.ExternalIdentity</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UserId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bl>
    <w:p>
      <w:pPr>
        <w:pStyle w:val="Heading2"/>
        <w:bidi/>
      </w:pPr>
      <w:r>
        <w:rPr>
          <w:rFonts w:ascii="Arial" w:cs="Arial" w:eastAsia="Arial" w:hAnsi="Arial"/>
          <w:b/>
          <w:bCs/>
          <w:color w:val="2B5C8A"/>
          <w:sz w:val="26"/>
          <w:szCs w:val="26"/>
          <w:rtl/>
        </w:rPr>
        <w:t xml:space="preserve">3.5 م0 · الجلسات والمفاتيح والمحاولات (1/2)</w:t>
      </w:r>
    </w:p>
    <w:p>
      <w:pPr>
        <w:keepNext/>
        <w:bidi/>
        <w:spacing w:after="60" w:before="0"/>
      </w:pPr>
      <w:r>
        <w:rPr>
          <w:rFonts w:ascii="Arial" w:cs="Arial" w:eastAsia="Arial" w:hAnsi="Arial"/>
          <w:b w:val="false"/>
          <w:bCs w:val="false"/>
          <w:i w:val="false"/>
          <w:iCs w:val="false"/>
          <w:color w:val="5B6670"/>
          <w:sz w:val="16"/>
          <w:szCs w:val="16"/>
          <w:rtl/>
        </w:rPr>
        <w:t xml:space="preserve">Sessions, keys &amp; attempts</w:t>
      </w:r>
    </w:p>
    <w:p>
      <w:pPr>
        <w:keepNext/>
        <w:bidi/>
        <w:spacing w:after="60" w:before="60"/>
        <w:jc w:val="center"/>
      </w:pPr>
      <w:r>
        <w:drawing>
          <wp:inline distT="0" distB="0" distL="0" distR="0">
            <wp:extent cx="13973175" cy="1476375"/>
            <wp:effectExtent t="0" r="0" b="0" l="0"/>
            <wp:docPr id="1" name="diagrams/erd/m0_sessions_1.png" descr="الشكل 12: م0 · الجلسات والمفاتيح والمحاولات (1/2) (4 جداول)" title="الشكل 12: م0 · الجلسات والمفاتيح والمحاولات (1/2) (4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3973175" cy="1476375"/>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12: م0 · الجلسات والمفاتيح والمحاولات (1/2) (4 جداول)</w:t>
      </w:r>
    </w:p>
    <w:p>
      <w:pPr>
        <w:pStyle w:val="Heading2"/>
        <w:bidi/>
      </w:pPr>
      <w:r>
        <w:rPr>
          <w:rFonts w:ascii="Arial" w:cs="Arial" w:eastAsia="Arial" w:hAnsi="Arial"/>
          <w:b/>
          <w:bCs/>
          <w:color w:val="2B5C8A"/>
          <w:sz w:val="26"/>
          <w:szCs w:val="26"/>
          <w:rtl/>
        </w:rPr>
        <w:t xml:space="preserve">الجداول</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4909"/>
        <w:gridCol w:w="1487"/>
        <w:gridCol w:w="9663"/>
        <w:gridCol w:w="3719"/>
        <w:gridCol w:w="1041"/>
        <w:gridCol w:w="1192"/>
      </w:tblGrid>
      <w:tr>
        <w:trPr>
          <w:cantSplit/>
          <w:tblHeader/>
        </w:trPr>
        <w:tc>
          <w:tcPr>
            <w:tcW w:type="dxa" w:w="49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48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966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371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104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119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sec.UserSession</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sec</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جلسات المستخدم: خمول 30 دقيقة ومطلقة 12 ساعة (FR-PLT-014)</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UserSessionId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r>
        <w:trPr>
          <w:cantSplit/>
        </w:trPr>
        <w:tc>
          <w:tcPr>
            <w:tcW w:type="dxa" w:w="49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sec.LoginAttempt</w:t>
            </w:r>
          </w:p>
        </w:tc>
        <w:tc>
          <w:tcPr>
            <w:tcW w:type="dxa" w:w="148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sec</w:t>
            </w:r>
          </w:p>
        </w:tc>
        <w:tc>
          <w:tcPr>
            <w:tcW w:type="dxa" w:w="966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محاولات الدخول لخنق المعدل ونوافذ القفل؛ الأثر الدائم في aud.AuditLog (BR-PLT-005)</w:t>
            </w:r>
          </w:p>
        </w:tc>
        <w:tc>
          <w:tcPr>
            <w:tcW w:type="dxa" w:w="37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LoginAttemptId</w:t>
            </w:r>
          </w:p>
        </w:tc>
        <w:tc>
          <w:tcPr>
            <w:tcW w:type="dxa" w:w="104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w:t>
            </w:r>
          </w:p>
        </w:tc>
        <w:tc>
          <w:tcPr>
            <w:tcW w:type="dxa" w:w="11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sec.MfaRecoveryCode</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sec</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10 رموز استرداد لمرة واحدة مُجزَّأة (FR-PLT-011، BR-PLT-006؛ بديل AppUser.RecoveryCodesHash json)</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MfaRecoveryCodeId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r>
        <w:trPr>
          <w:cantSplit/>
        </w:trPr>
        <w:tc>
          <w:tcPr>
            <w:tcW w:type="dxa" w:w="49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sec.UserToken</w:t>
            </w:r>
          </w:p>
        </w:tc>
        <w:tc>
          <w:tcPr>
            <w:tcW w:type="dxa" w:w="148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sec</w:t>
            </w:r>
          </w:p>
        </w:tc>
        <w:tc>
          <w:tcPr>
            <w:tcW w:type="dxa" w:w="966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رابط دعوة (48 ساعة) أو إعادة تعيين كلمة المرور (30 دقيقة) لمرة واحدة (FR-PLT-013)</w:t>
            </w:r>
          </w:p>
        </w:tc>
        <w:tc>
          <w:tcPr>
            <w:tcW w:type="dxa" w:w="37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UserTokenId</w:t>
            </w:r>
          </w:p>
        </w:tc>
        <w:tc>
          <w:tcPr>
            <w:tcW w:type="dxa" w:w="104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c>
          <w:tcPr>
            <w:tcW w:type="dxa" w:w="11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bl>
    <w:p>
      <w:pPr>
        <w:pStyle w:val="Heading2"/>
        <w:bidi/>
      </w:pPr>
      <w:r>
        <w:rPr>
          <w:rFonts w:ascii="Arial" w:cs="Arial" w:eastAsia="Arial" w:hAnsi="Arial"/>
          <w:b/>
          <w:bCs/>
          <w:color w:val="2B5C8A"/>
          <w:sz w:val="26"/>
          <w:szCs w:val="26"/>
          <w:rtl/>
        </w:rPr>
        <w:t xml:space="preserve">العلاقات</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5009"/>
        <w:gridCol w:w="4098"/>
        <w:gridCol w:w="3946"/>
        <w:gridCol w:w="1518"/>
        <w:gridCol w:w="1821"/>
        <w:gridCol w:w="3036"/>
        <w:gridCol w:w="1366"/>
        <w:gridCol w:w="1217"/>
      </w:tblGrid>
      <w:tr>
        <w:trPr>
          <w:cantSplit/>
          <w:tblHeader/>
        </w:trPr>
        <w:tc>
          <w:tcPr>
            <w:tcW w:type="dxa" w:w="50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409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394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51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82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303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136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121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sec.UserSession</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UserId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sec.UserSession</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EndedBy</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sec.LoginAttempt</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UserId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sec.MfaRecoveryCode</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UserId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sec.UserToken</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UserId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sec.UserToken</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RequestedByUserId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bl>
    <w:p>
      <w:pPr>
        <w:pStyle w:val="Heading2"/>
        <w:bidi/>
      </w:pPr>
      <w:r>
        <w:rPr>
          <w:rFonts w:ascii="Arial" w:cs="Arial" w:eastAsia="Arial" w:hAnsi="Arial"/>
          <w:b/>
          <w:bCs/>
          <w:color w:val="2B5C8A"/>
          <w:sz w:val="26"/>
          <w:szCs w:val="26"/>
          <w:rtl/>
        </w:rPr>
        <w:t xml:space="preserve">3.6 م0 · الجلسات والمفاتيح والمحاولات (2/2)</w:t>
      </w:r>
    </w:p>
    <w:p>
      <w:pPr>
        <w:keepNext/>
        <w:bidi/>
        <w:spacing w:after="60" w:before="0"/>
      </w:pPr>
      <w:r>
        <w:rPr>
          <w:rFonts w:ascii="Arial" w:cs="Arial" w:eastAsia="Arial" w:hAnsi="Arial"/>
          <w:b w:val="false"/>
          <w:bCs w:val="false"/>
          <w:i w:val="false"/>
          <w:iCs w:val="false"/>
          <w:color w:val="5B6670"/>
          <w:sz w:val="16"/>
          <w:szCs w:val="16"/>
          <w:rtl/>
        </w:rPr>
        <w:t xml:space="preserve">Sessions, keys &amp; attempts</w:t>
      </w:r>
    </w:p>
    <w:p>
      <w:pPr>
        <w:keepNext/>
        <w:bidi/>
        <w:spacing w:after="60" w:before="60"/>
        <w:jc w:val="center"/>
      </w:pPr>
      <w:r>
        <w:drawing>
          <wp:inline distT="0" distB="0" distL="0" distR="0">
            <wp:extent cx="8429625" cy="4029075"/>
            <wp:effectExtent t="0" r="0" b="0" l="0"/>
            <wp:docPr id="1" name="diagrams/erd/m0_sessions_2.png" descr="الشكل 13: م0 · الجلسات والمفاتيح والمحاولات (2/2) (3 جداول)" title="الشكل 13: م0 · الجلسات والمفاتيح والمحاولات (2/2) (3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8429625" cy="4029075"/>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13: م0 · الجلسات والمفاتيح والمحاولات (2/2) (3 جداول)</w:t>
      </w:r>
    </w:p>
    <w:p>
      <w:pPr>
        <w:pStyle w:val="Heading2"/>
        <w:bidi/>
      </w:pPr>
      <w:r>
        <w:rPr>
          <w:rFonts w:ascii="Arial" w:cs="Arial" w:eastAsia="Arial" w:hAnsi="Arial"/>
          <w:b/>
          <w:bCs/>
          <w:color w:val="2B5C8A"/>
          <w:sz w:val="26"/>
          <w:szCs w:val="26"/>
          <w:rtl/>
        </w:rPr>
        <w:t xml:space="preserve">الجداول</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4909"/>
        <w:gridCol w:w="1487"/>
        <w:gridCol w:w="9663"/>
        <w:gridCol w:w="3719"/>
        <w:gridCol w:w="1041"/>
        <w:gridCol w:w="1192"/>
      </w:tblGrid>
      <w:tr>
        <w:trPr>
          <w:cantSplit/>
          <w:tblHeader/>
        </w:trPr>
        <w:tc>
          <w:tcPr>
            <w:tcW w:type="dxa" w:w="49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48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966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371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104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119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sec.UserPasswordHistory</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sec</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آخر 5 كلمات مرور لمنع إعادة استعمالها (BR-PLT-004)</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UserPasswordHistoryId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w:t>
            </w:r>
          </w:p>
        </w:tc>
      </w:tr>
      <w:tr>
        <w:trPr>
          <w:cantSplit/>
        </w:trPr>
        <w:tc>
          <w:tcPr>
            <w:tcW w:type="dxa" w:w="49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sec.TenantKey</w:t>
            </w:r>
          </w:p>
        </w:tc>
        <w:tc>
          <w:tcPr>
            <w:tcW w:type="dxa" w:w="148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sec</w:t>
            </w:r>
          </w:p>
        </w:tc>
        <w:tc>
          <w:tcPr>
            <w:tcW w:type="dxa" w:w="966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سجل مفاتيح المشترك؛ المفتاح ملفوف بمفتاح رئيسي خارج القاعدة (FR-PLT-037، BR-PLT-015)</w:t>
            </w:r>
          </w:p>
        </w:tc>
        <w:tc>
          <w:tcPr>
            <w:tcW w:type="dxa" w:w="37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TenantKeyId</w:t>
            </w:r>
          </w:p>
        </w:tc>
        <w:tc>
          <w:tcPr>
            <w:tcW w:type="dxa" w:w="104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c>
          <w:tcPr>
            <w:tcW w:type="dxa" w:w="11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4</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sec.KeyEvent</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sec</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سجل أحداث المفاتيح: إنشاء وتدوير وإبطال (FR-PLT-037؛ شدة عالية BR-PLT-009)</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KeyEventId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w:t>
            </w:r>
          </w:p>
        </w:tc>
      </w:tr>
    </w:tbl>
    <w:p>
      <w:pPr>
        <w:pStyle w:val="Heading2"/>
        <w:bidi/>
      </w:pPr>
      <w:r>
        <w:rPr>
          <w:rFonts w:ascii="Arial" w:cs="Arial" w:eastAsia="Arial" w:hAnsi="Arial"/>
          <w:b/>
          <w:bCs/>
          <w:color w:val="2B5C8A"/>
          <w:sz w:val="26"/>
          <w:szCs w:val="26"/>
          <w:rtl/>
        </w:rPr>
        <w:t xml:space="preserve">العلاقات</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5009"/>
        <w:gridCol w:w="4098"/>
        <w:gridCol w:w="3946"/>
        <w:gridCol w:w="1518"/>
        <w:gridCol w:w="1821"/>
        <w:gridCol w:w="3036"/>
        <w:gridCol w:w="1366"/>
        <w:gridCol w:w="1217"/>
      </w:tblGrid>
      <w:tr>
        <w:trPr>
          <w:cantSplit/>
          <w:tblHeader/>
        </w:trPr>
        <w:tc>
          <w:tcPr>
            <w:tcW w:type="dxa" w:w="50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409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394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51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82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303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136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121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sec.UserPasswordHistory</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UserId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sec.KeyEvent</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TenantKeyId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sec.TenantKey</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bl>
    <w:p>
      <w:pPr>
        <w:pStyle w:val="Heading2"/>
        <w:bidi/>
      </w:pPr>
      <w:r>
        <w:rPr>
          <w:rFonts w:ascii="Arial" w:cs="Arial" w:eastAsia="Arial" w:hAnsi="Arial"/>
          <w:b/>
          <w:bCs/>
          <w:color w:val="2B5C8A"/>
          <w:sz w:val="26"/>
          <w:szCs w:val="26"/>
          <w:rtl/>
        </w:rPr>
        <w:t xml:space="preserve">3.7 م0 · التدقيق والمستندات (1/2)</w:t>
      </w:r>
    </w:p>
    <w:p>
      <w:pPr>
        <w:keepNext/>
        <w:bidi/>
        <w:spacing w:after="60" w:before="0"/>
      </w:pPr>
      <w:r>
        <w:rPr>
          <w:rFonts w:ascii="Arial" w:cs="Arial" w:eastAsia="Arial" w:hAnsi="Arial"/>
          <w:b w:val="false"/>
          <w:bCs w:val="false"/>
          <w:i w:val="false"/>
          <w:iCs w:val="false"/>
          <w:color w:val="5B6670"/>
          <w:sz w:val="16"/>
          <w:szCs w:val="16"/>
          <w:rtl/>
        </w:rPr>
        <w:t xml:space="preserve">Audit &amp; documents</w:t>
      </w:r>
    </w:p>
    <w:p>
      <w:pPr>
        <w:keepNext/>
        <w:bidi/>
        <w:spacing w:after="60" w:before="60"/>
        <w:jc w:val="center"/>
      </w:pPr>
      <w:r>
        <w:drawing>
          <wp:inline distT="0" distB="0" distL="0" distR="0">
            <wp:extent cx="13858875" cy="7400925"/>
            <wp:effectExtent t="0" r="0" b="0" l="0"/>
            <wp:docPr id="1" name="diagrams/erd/m0_audit_docs_1.png" descr="الشكل 14: م0 · التدقيق والمستندات (1/2) (4 جداول)" title="الشكل 14: م0 · التدقيق والمستندات (1/2) (4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3858875" cy="7400925"/>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14: م0 · التدقيق والمستندات (1/2) (4 جداول)</w:t>
      </w:r>
    </w:p>
    <w:p>
      <w:pPr>
        <w:pStyle w:val="Heading2"/>
        <w:bidi/>
      </w:pPr>
      <w:r>
        <w:rPr>
          <w:rFonts w:ascii="Arial" w:cs="Arial" w:eastAsia="Arial" w:hAnsi="Arial"/>
          <w:b/>
          <w:bCs/>
          <w:color w:val="2B5C8A"/>
          <w:sz w:val="26"/>
          <w:szCs w:val="26"/>
          <w:rtl/>
        </w:rPr>
        <w:t xml:space="preserve">الجداول</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4909"/>
        <w:gridCol w:w="1487"/>
        <w:gridCol w:w="9663"/>
        <w:gridCol w:w="3719"/>
        <w:gridCol w:w="1041"/>
        <w:gridCol w:w="1192"/>
      </w:tblGrid>
      <w:tr>
        <w:trPr>
          <w:cantSplit/>
          <w:tblHeader/>
        </w:trPr>
        <w:tc>
          <w:tcPr>
            <w:tcW w:type="dxa" w:w="49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48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966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371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104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119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aud.AuditLog</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aud</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للإدراج فقط؛ TenantId الفارغ = حدث منصة لا يراه أي مشترك؛ سياسة RLS خاصة (BR-PLT-001/009)</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AuditLogId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r>
        <w:trPr>
          <w:cantSplit/>
        </w:trPr>
        <w:tc>
          <w:tcPr>
            <w:tcW w:type="dxa" w:w="49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aud.SensitiveAccessLog</w:t>
            </w:r>
          </w:p>
        </w:tc>
        <w:tc>
          <w:tcPr>
            <w:tcW w:type="dxa" w:w="148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aud</w:t>
            </w:r>
          </w:p>
        </w:tc>
        <w:tc>
          <w:tcPr>
            <w:tcW w:type="dxa" w:w="966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كشف الهويات والصور والتصدير والتنزيل المقيّد؛ لكشف الشذوذ &gt;20/ساعة وR-PLT-3 (BR-PTY-009)</w:t>
            </w:r>
          </w:p>
        </w:tc>
        <w:tc>
          <w:tcPr>
            <w:tcW w:type="dxa" w:w="37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SensitiveAccessLogId</w:t>
            </w:r>
          </w:p>
        </w:tc>
        <w:tc>
          <w:tcPr>
            <w:tcW w:type="dxa" w:w="104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c>
          <w:tcPr>
            <w:tcW w:type="dxa" w:w="11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doc</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المستند المنطقي: بيانات المستند وحالته؛ الملف في doc.DocumentVersion (FR-PLT-027/028، BR-PLT-011)</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DocumentId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5</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r>
        <w:trPr>
          <w:cantSplit/>
        </w:trPr>
        <w:tc>
          <w:tcPr>
            <w:tcW w:type="dxa" w:w="49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doc.DocumentLink</w:t>
            </w:r>
          </w:p>
        </w:tc>
        <w:tc>
          <w:tcPr>
            <w:tcW w:type="dxa" w:w="148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doc</w:t>
            </w:r>
          </w:p>
        </w:tc>
        <w:tc>
          <w:tcPr>
            <w:tcW w:type="dxa" w:w="966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ربط مستند بأي كيان بدور وصفحة مرجعية؛ إلغاء الربط منطقي (FR-PLT-028)</w:t>
            </w:r>
          </w:p>
        </w:tc>
        <w:tc>
          <w:tcPr>
            <w:tcW w:type="dxa" w:w="37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DocumentLinkId</w:t>
            </w:r>
          </w:p>
        </w:tc>
        <w:tc>
          <w:tcPr>
            <w:tcW w:type="dxa" w:w="104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c>
          <w:tcPr>
            <w:tcW w:type="dxa" w:w="11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bl>
    <w:p>
      <w:pPr>
        <w:pStyle w:val="Heading2"/>
        <w:bidi/>
      </w:pPr>
      <w:r>
        <w:rPr>
          <w:rFonts w:ascii="Arial" w:cs="Arial" w:eastAsia="Arial" w:hAnsi="Arial"/>
          <w:b/>
          <w:bCs/>
          <w:color w:val="2B5C8A"/>
          <w:sz w:val="26"/>
          <w:szCs w:val="26"/>
          <w:rtl/>
        </w:rPr>
        <w:t xml:space="preserve">العلاقات</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5009"/>
        <w:gridCol w:w="4098"/>
        <w:gridCol w:w="3946"/>
        <w:gridCol w:w="1518"/>
        <w:gridCol w:w="1821"/>
        <w:gridCol w:w="3036"/>
        <w:gridCol w:w="1366"/>
        <w:gridCol w:w="1217"/>
      </w:tblGrid>
      <w:tr>
        <w:trPr>
          <w:cantSplit/>
          <w:tblHeader/>
        </w:trPr>
        <w:tc>
          <w:tcPr>
            <w:tcW w:type="dxa" w:w="50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409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394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51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82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303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136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121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aud.SensitiveAccessLog</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ActorUserId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aud.SensitiveAccessLog</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OperatorId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plat.PlatformOperator</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DocumentTypeId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cat.DocumentType</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OwnerCompanyId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CurrentVersionId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doc.DocumentVersion</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SupersededByDocumentId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DeletedBy</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doc.DocumentLink</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DocumentId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doc.DocumentLink</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UnlinkedBy</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bl>
    <w:p>
      <w:pPr>
        <w:pStyle w:val="Heading2"/>
        <w:bidi/>
      </w:pPr>
      <w:r>
        <w:rPr>
          <w:rFonts w:ascii="Arial" w:cs="Arial" w:eastAsia="Arial" w:hAnsi="Arial"/>
          <w:b/>
          <w:bCs/>
          <w:color w:val="2B5C8A"/>
          <w:sz w:val="26"/>
          <w:szCs w:val="26"/>
          <w:rtl/>
        </w:rPr>
        <w:t xml:space="preserve">3.8 م0 · التدقيق والمستندات (2/2)</w:t>
      </w:r>
    </w:p>
    <w:p>
      <w:pPr>
        <w:keepNext/>
        <w:bidi/>
        <w:spacing w:after="60" w:before="0"/>
      </w:pPr>
      <w:r>
        <w:rPr>
          <w:rFonts w:ascii="Arial" w:cs="Arial" w:eastAsia="Arial" w:hAnsi="Arial"/>
          <w:b w:val="false"/>
          <w:bCs w:val="false"/>
          <w:i w:val="false"/>
          <w:iCs w:val="false"/>
          <w:color w:val="5B6670"/>
          <w:sz w:val="16"/>
          <w:szCs w:val="16"/>
          <w:rtl/>
        </w:rPr>
        <w:t xml:space="preserve">Audit &amp; documents</w:t>
      </w:r>
    </w:p>
    <w:p>
      <w:pPr>
        <w:keepNext/>
        <w:bidi/>
        <w:spacing w:after="60" w:before="60"/>
        <w:jc w:val="center"/>
      </w:pPr>
      <w:r>
        <w:drawing>
          <wp:inline distT="0" distB="0" distL="0" distR="0">
            <wp:extent cx="3619500" cy="1933575"/>
            <wp:effectExtent t="0" r="0" b="0" l="0"/>
            <wp:docPr id="1" name="diagrams/erd/m0_audit_docs_2.png" descr="الشكل 15: م0 · التدقيق والمستندات (2/2) (جدول واحد)" title="الشكل 15: م0 · التدقيق والمستندات (2/2) (جدول واح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619500" cy="1933575"/>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15: م0 · التدقيق والمستندات (2/2) (جدول واحد)</w:t>
      </w:r>
    </w:p>
    <w:p>
      <w:pPr>
        <w:pStyle w:val="Heading2"/>
        <w:bidi/>
      </w:pPr>
      <w:r>
        <w:rPr>
          <w:rFonts w:ascii="Arial" w:cs="Arial" w:eastAsia="Arial" w:hAnsi="Arial"/>
          <w:b/>
          <w:bCs/>
          <w:color w:val="2B5C8A"/>
          <w:sz w:val="26"/>
          <w:szCs w:val="26"/>
          <w:rtl/>
        </w:rPr>
        <w:t xml:space="preserve">الجداول</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4909"/>
        <w:gridCol w:w="1487"/>
        <w:gridCol w:w="9663"/>
        <w:gridCol w:w="3719"/>
        <w:gridCol w:w="1041"/>
        <w:gridCol w:w="1192"/>
      </w:tblGrid>
      <w:tr>
        <w:trPr>
          <w:cantSplit/>
          <w:tblHeader/>
        </w:trPr>
        <w:tc>
          <w:tcPr>
            <w:tcW w:type="dxa" w:w="49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48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966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371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104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119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doc.DocumentVersion</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doc</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إصدار ثابت من الملف؛ التغيير يُنشئ إصدارًا جديدًا يفرضه التطبيق (FR-PLT-027، BR-PLT-011)</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DocumentVersionId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bl>
    <w:p>
      <w:pPr>
        <w:pStyle w:val="Heading2"/>
        <w:bidi/>
      </w:pPr>
      <w:r>
        <w:rPr>
          <w:rFonts w:ascii="Arial" w:cs="Arial" w:eastAsia="Arial" w:hAnsi="Arial"/>
          <w:b/>
          <w:bCs/>
          <w:color w:val="2B5C8A"/>
          <w:sz w:val="26"/>
          <w:szCs w:val="26"/>
          <w:rtl/>
        </w:rPr>
        <w:t xml:space="preserve">العلاقات</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5009"/>
        <w:gridCol w:w="4098"/>
        <w:gridCol w:w="3946"/>
        <w:gridCol w:w="1518"/>
        <w:gridCol w:w="1821"/>
        <w:gridCol w:w="3036"/>
        <w:gridCol w:w="1366"/>
        <w:gridCol w:w="1217"/>
      </w:tblGrid>
      <w:tr>
        <w:trPr>
          <w:cantSplit/>
          <w:tblHeader/>
        </w:trPr>
        <w:tc>
          <w:tcPr>
            <w:tcW w:type="dxa" w:w="50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409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394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51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82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303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136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121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doc.DocumentVersion</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DocumentId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doc.DocumentVersion</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KeyId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sec.TenantKey</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KeyPurpose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bl>
    <w:p>
      <w:pPr>
        <w:pStyle w:val="Heading2"/>
        <w:bidi/>
      </w:pPr>
      <w:r>
        <w:rPr>
          <w:rFonts w:ascii="Arial" w:cs="Arial" w:eastAsia="Arial" w:hAnsi="Arial"/>
          <w:b/>
          <w:bCs/>
          <w:color w:val="2B5C8A"/>
          <w:sz w:val="26"/>
          <w:szCs w:val="26"/>
          <w:rtl/>
        </w:rPr>
        <w:t xml:space="preserve">3.9 م0 · الإعدادات والمهام الخلفية (1/3)</w:t>
      </w:r>
    </w:p>
    <w:p>
      <w:pPr>
        <w:keepNext/>
        <w:bidi/>
        <w:spacing w:after="60" w:before="0"/>
      </w:pPr>
      <w:r>
        <w:rPr>
          <w:rFonts w:ascii="Arial" w:cs="Arial" w:eastAsia="Arial" w:hAnsi="Arial"/>
          <w:b w:val="false"/>
          <w:bCs w:val="false"/>
          <w:i w:val="false"/>
          <w:iCs w:val="false"/>
          <w:color w:val="5B6670"/>
          <w:sz w:val="16"/>
          <w:szCs w:val="16"/>
          <w:rtl/>
        </w:rPr>
        <w:t xml:space="preserve">Configuration &amp; background jobs</w:t>
      </w:r>
    </w:p>
    <w:p>
      <w:pPr>
        <w:keepNext/>
        <w:bidi/>
        <w:spacing w:after="60" w:before="60"/>
        <w:jc w:val="center"/>
      </w:pPr>
      <w:r>
        <w:drawing>
          <wp:inline distT="0" distB="0" distL="0" distR="0">
            <wp:extent cx="12868275" cy="4905375"/>
            <wp:effectExtent t="0" r="0" b="0" l="0"/>
            <wp:docPr id="1" name="diagrams/erd/m0_config_1.png" descr="الشكل 16: م0 · الإعدادات والمهام الخلفية (1/3) (4 جداول)" title="الشكل 16: م0 · الإعدادات والمهام الخلفية (1/3) (4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2868275" cy="4905375"/>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16: م0 · الإعدادات والمهام الخلفية (1/3) (4 جداول)</w:t>
      </w:r>
    </w:p>
    <w:p>
      <w:pPr>
        <w:pStyle w:val="Heading2"/>
        <w:bidi/>
      </w:pPr>
      <w:r>
        <w:rPr>
          <w:rFonts w:ascii="Arial" w:cs="Arial" w:eastAsia="Arial" w:hAnsi="Arial"/>
          <w:b/>
          <w:bCs/>
          <w:color w:val="2B5C8A"/>
          <w:sz w:val="26"/>
          <w:szCs w:val="26"/>
          <w:rtl/>
        </w:rPr>
        <w:t xml:space="preserve">الجداول</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4909"/>
        <w:gridCol w:w="1487"/>
        <w:gridCol w:w="9663"/>
        <w:gridCol w:w="3719"/>
        <w:gridCol w:w="1041"/>
        <w:gridCol w:w="1192"/>
      </w:tblGrid>
      <w:tr>
        <w:trPr>
          <w:cantSplit/>
          <w:tblHeader/>
        </w:trPr>
        <w:tc>
          <w:tcPr>
            <w:tcW w:type="dxa" w:w="49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48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966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371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104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119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cfg.DataExportJob</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cfg</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طلب تصدير بيانات المشترك (FR-PLT-039، BR-PLT-016)</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DataExportJobId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r>
        <w:trPr>
          <w:cantSplit/>
        </w:trPr>
        <w:tc>
          <w:tcPr>
            <w:tcW w:type="dxa" w:w="49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cfg.ExpiryAlertLog</w:t>
            </w:r>
          </w:p>
        </w:tc>
        <w:tc>
          <w:tcPr>
            <w:tcW w:type="dxa" w:w="148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cfg</w:t>
            </w:r>
          </w:p>
        </w:tc>
        <w:tc>
          <w:tcPr>
            <w:tcW w:type="dxa" w:w="966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سجل التنبيهات المرسَلة: حدث واحد لكل (عنصر، عتبة) ولا تكرار في اليوم نفسه (FR-PLT-038)</w:t>
            </w:r>
          </w:p>
        </w:tc>
        <w:tc>
          <w:tcPr>
            <w:tcW w:type="dxa" w:w="37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ExpiryAlertLogId</w:t>
            </w:r>
          </w:p>
        </w:tc>
        <w:tc>
          <w:tcPr>
            <w:tcW w:type="dxa" w:w="104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w:t>
            </w:r>
          </w:p>
        </w:tc>
        <w:tc>
          <w:tcPr>
            <w:tcW w:type="dxa" w:w="11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cfg.ExpiryAlertRule</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cfg</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قاعدة تنبيه انتهاء لكل نوع عنصر (FR-PLT-038، BR-PLT-013)</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ExpiryAlertRuleId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r>
        <w:trPr>
          <w:cantSplit/>
        </w:trPr>
        <w:tc>
          <w:tcPr>
            <w:tcW w:type="dxa" w:w="49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cfg.JobRun</w:t>
            </w:r>
          </w:p>
        </w:tc>
        <w:tc>
          <w:tcPr>
            <w:tcW w:type="dxa" w:w="148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cfg</w:t>
            </w:r>
          </w:p>
        </w:tc>
        <w:tc>
          <w:tcPr>
            <w:tcW w:type="dxa" w:w="966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سجل تشغيل المهام الخلفية: آخر تشغيل ومدته ونتيجته ظاهر لمدير الحساب (FR-PLT-044)</w:t>
            </w:r>
          </w:p>
        </w:tc>
        <w:tc>
          <w:tcPr>
            <w:tcW w:type="dxa" w:w="37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JobRunId</w:t>
            </w:r>
          </w:p>
        </w:tc>
        <w:tc>
          <w:tcPr>
            <w:tcW w:type="dxa" w:w="104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c>
          <w:tcPr>
            <w:tcW w:type="dxa" w:w="11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w:t>
            </w:r>
          </w:p>
        </w:tc>
      </w:tr>
    </w:tbl>
    <w:p>
      <w:pPr>
        <w:pStyle w:val="Heading2"/>
        <w:bidi/>
      </w:pPr>
      <w:r>
        <w:rPr>
          <w:rFonts w:ascii="Arial" w:cs="Arial" w:eastAsia="Arial" w:hAnsi="Arial"/>
          <w:b/>
          <w:bCs/>
          <w:color w:val="2B5C8A"/>
          <w:sz w:val="26"/>
          <w:szCs w:val="26"/>
          <w:rtl/>
        </w:rPr>
        <w:t xml:space="preserve">العلاقات</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5009"/>
        <w:gridCol w:w="4098"/>
        <w:gridCol w:w="3946"/>
        <w:gridCol w:w="1518"/>
        <w:gridCol w:w="1821"/>
        <w:gridCol w:w="3036"/>
        <w:gridCol w:w="1366"/>
        <w:gridCol w:w="1217"/>
      </w:tblGrid>
      <w:tr>
        <w:trPr>
          <w:cantSplit/>
          <w:tblHeader/>
        </w:trPr>
        <w:tc>
          <w:tcPr>
            <w:tcW w:type="dxa" w:w="50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409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394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51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82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303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136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121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cfg.DataExportJob</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RequestedBy</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cfg.DataExportJob</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ApprovedBy</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cfg.DataExportJob</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PackageDocumentId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cfg.ExpiryAlertLog</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ExpiryAlertRuleId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cfg.ExpiryAlertRule</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bl>
    <w:p>
      <w:pPr>
        <w:pStyle w:val="Heading2"/>
        <w:bidi/>
      </w:pPr>
      <w:r>
        <w:rPr>
          <w:rFonts w:ascii="Arial" w:cs="Arial" w:eastAsia="Arial" w:hAnsi="Arial"/>
          <w:b/>
          <w:bCs/>
          <w:color w:val="2B5C8A"/>
          <w:sz w:val="26"/>
          <w:szCs w:val="26"/>
          <w:rtl/>
        </w:rPr>
        <w:t xml:space="preserve">3.10 م0 · الإعدادات والمهام الخلفية (2/3)</w:t>
      </w:r>
    </w:p>
    <w:p>
      <w:pPr>
        <w:keepNext/>
        <w:bidi/>
        <w:spacing w:after="60" w:before="0"/>
      </w:pPr>
      <w:r>
        <w:rPr>
          <w:rFonts w:ascii="Arial" w:cs="Arial" w:eastAsia="Arial" w:hAnsi="Arial"/>
          <w:b w:val="false"/>
          <w:bCs w:val="false"/>
          <w:i w:val="false"/>
          <w:iCs w:val="false"/>
          <w:color w:val="5B6670"/>
          <w:sz w:val="16"/>
          <w:szCs w:val="16"/>
          <w:rtl/>
        </w:rPr>
        <w:t xml:space="preserve">Configuration &amp; background jobs</w:t>
      </w:r>
    </w:p>
    <w:p>
      <w:pPr>
        <w:keepNext/>
        <w:bidi/>
        <w:spacing w:after="60" w:before="60"/>
        <w:jc w:val="center"/>
      </w:pPr>
      <w:r>
        <w:drawing>
          <wp:inline distT="0" distB="0" distL="0" distR="0">
            <wp:extent cx="9410700" cy="7419975"/>
            <wp:effectExtent t="0" r="0" b="0" l="0"/>
            <wp:docPr id="1" name="diagrams/erd/m0_config_2.png" descr="الشكل 17: م0 · الإعدادات والمهام الخلفية (2/3) (4 جداول)" title="الشكل 17: م0 · الإعدادات والمهام الخلفية (2/3) (4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9410700" cy="7419975"/>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17: م0 · الإعدادات والمهام الخلفية (2/3) (4 جداول)</w:t>
      </w:r>
    </w:p>
    <w:p>
      <w:pPr>
        <w:pStyle w:val="Heading2"/>
        <w:bidi/>
      </w:pPr>
      <w:r>
        <w:rPr>
          <w:rFonts w:ascii="Arial" w:cs="Arial" w:eastAsia="Arial" w:hAnsi="Arial"/>
          <w:b/>
          <w:bCs/>
          <w:color w:val="2B5C8A"/>
          <w:sz w:val="26"/>
          <w:szCs w:val="26"/>
          <w:rtl/>
        </w:rPr>
        <w:t xml:space="preserve">الجداول</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4909"/>
        <w:gridCol w:w="1487"/>
        <w:gridCol w:w="9663"/>
        <w:gridCol w:w="3719"/>
        <w:gridCol w:w="1041"/>
        <w:gridCol w:w="1192"/>
      </w:tblGrid>
      <w:tr>
        <w:trPr>
          <w:cantSplit/>
          <w:tblHeader/>
        </w:trPr>
        <w:tc>
          <w:tcPr>
            <w:tcW w:type="dxa" w:w="49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48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966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371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104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119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cfg.NonWorkingDay</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cfg</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يوم غير عمل؛ TenantId الفارغ = عطلة المنصة للقراءة فقط (FR-PLT-035، BR-PLT-014)</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NonWorkingDayId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r>
        <w:trPr>
          <w:cantSplit/>
        </w:trPr>
        <w:tc>
          <w:tcPr>
            <w:tcW w:type="dxa" w:w="49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cfg.NumberIssue</w:t>
            </w:r>
          </w:p>
        </w:tc>
        <w:tc>
          <w:tcPr>
            <w:tcW w:type="dxa" w:w="148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cfg</w:t>
            </w:r>
          </w:p>
        </w:tc>
        <w:tc>
          <w:tcPr>
            <w:tcW w:type="dxa" w:w="966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الأرقام الصادرة؛ الملغى لا يُعاد استعماله (FR-PLT-026، BR-PLT-010)</w:t>
            </w:r>
          </w:p>
        </w:tc>
        <w:tc>
          <w:tcPr>
            <w:tcW w:type="dxa" w:w="37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NumberIssueId</w:t>
            </w:r>
          </w:p>
        </w:tc>
        <w:tc>
          <w:tcPr>
            <w:tcW w:type="dxa" w:w="104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c>
          <w:tcPr>
            <w:tcW w:type="dxa" w:w="11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cfg.NumberSequence</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cfg</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عدّاد لكل (تعريف، شركة اختيارية، فترة)؛ يُقفل صفه عند التخصيص داخل معاملة المستدعي (BR-PLT-010)</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NumberSequenceId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r>
        <w:trPr>
          <w:cantSplit/>
        </w:trPr>
        <w:tc>
          <w:tcPr>
            <w:tcW w:type="dxa" w:w="49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cfg.NumberSequenceDefinition</w:t>
            </w:r>
          </w:p>
        </w:tc>
        <w:tc>
          <w:tcPr>
            <w:tcW w:type="dxa" w:w="148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cfg</w:t>
            </w:r>
          </w:p>
        </w:tc>
        <w:tc>
          <w:tcPr>
            <w:tcW w:type="dxa" w:w="966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تعريف نوع الترقيم بصيغة بوسوم مثل {seq:000}-{erp}-{yy} (FR-PLT-026)</w:t>
            </w:r>
          </w:p>
        </w:tc>
        <w:tc>
          <w:tcPr>
            <w:tcW w:type="dxa" w:w="37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NumberSequenceDefinitionId</w:t>
            </w:r>
          </w:p>
        </w:tc>
        <w:tc>
          <w:tcPr>
            <w:tcW w:type="dxa" w:w="104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c>
          <w:tcPr>
            <w:tcW w:type="dxa" w:w="11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bl>
    <w:p>
      <w:pPr>
        <w:pStyle w:val="Heading2"/>
        <w:bidi/>
      </w:pPr>
      <w:r>
        <w:rPr>
          <w:rFonts w:ascii="Arial" w:cs="Arial" w:eastAsia="Arial" w:hAnsi="Arial"/>
          <w:b/>
          <w:bCs/>
          <w:color w:val="2B5C8A"/>
          <w:sz w:val="26"/>
          <w:szCs w:val="26"/>
          <w:rtl/>
        </w:rPr>
        <w:t xml:space="preserve">العلاقات</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5009"/>
        <w:gridCol w:w="4098"/>
        <w:gridCol w:w="3946"/>
        <w:gridCol w:w="1518"/>
        <w:gridCol w:w="1821"/>
        <w:gridCol w:w="3036"/>
        <w:gridCol w:w="1366"/>
        <w:gridCol w:w="1217"/>
      </w:tblGrid>
      <w:tr>
        <w:trPr>
          <w:cantSplit/>
          <w:tblHeader/>
        </w:trPr>
        <w:tc>
          <w:tcPr>
            <w:tcW w:type="dxa" w:w="50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409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394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51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82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303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136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121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cfg.NonWorkingDay</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CountryId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ref.Country</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cfg.NumberIssue</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SequenceId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cfg.NumberSequence</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cfg.NumberIssue</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VoidedBy</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cfg.NumberSequence</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DefinitionId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cfg.NumberSequenceDefinition</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cfg.NumberSequence</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CompanyId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bl>
    <w:p>
      <w:pPr>
        <w:pStyle w:val="Heading2"/>
        <w:bidi/>
      </w:pPr>
      <w:r>
        <w:rPr>
          <w:rFonts w:ascii="Arial" w:cs="Arial" w:eastAsia="Arial" w:hAnsi="Arial"/>
          <w:b/>
          <w:bCs/>
          <w:color w:val="2B5C8A"/>
          <w:sz w:val="26"/>
          <w:szCs w:val="26"/>
          <w:rtl/>
        </w:rPr>
        <w:t xml:space="preserve">3.11 م0 · الإعدادات والمهام الخلفية (3/3)</w:t>
      </w:r>
    </w:p>
    <w:p>
      <w:pPr>
        <w:keepNext/>
        <w:bidi/>
        <w:spacing w:after="60" w:before="0"/>
      </w:pPr>
      <w:r>
        <w:rPr>
          <w:rFonts w:ascii="Arial" w:cs="Arial" w:eastAsia="Arial" w:hAnsi="Arial"/>
          <w:b w:val="false"/>
          <w:bCs w:val="false"/>
          <w:i w:val="false"/>
          <w:iCs w:val="false"/>
          <w:color w:val="5B6670"/>
          <w:sz w:val="16"/>
          <w:szCs w:val="16"/>
          <w:rtl/>
        </w:rPr>
        <w:t xml:space="preserve">Configuration &amp; background jobs</w:t>
      </w:r>
    </w:p>
    <w:p>
      <w:pPr>
        <w:keepNext/>
        <w:bidi/>
        <w:spacing w:after="60" w:before="60"/>
        <w:jc w:val="center"/>
      </w:pPr>
      <w:r>
        <w:drawing>
          <wp:inline distT="0" distB="0" distL="0" distR="0">
            <wp:extent cx="13973175" cy="876300"/>
            <wp:effectExtent t="0" r="0" b="0" l="0"/>
            <wp:docPr id="1" name="diagrams/erd/m0_config_3.png" descr="الشكل 18: م0 · الإعدادات والمهام الخلفية (3/3) (4 جداول)" title="الشكل 18: م0 · الإعدادات والمهام الخلفية (3/3) (4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3973175" cy="876300"/>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18: م0 · الإعدادات والمهام الخلفية (3/3) (4 جداول)</w:t>
      </w:r>
    </w:p>
    <w:p>
      <w:pPr>
        <w:pStyle w:val="Heading2"/>
        <w:bidi/>
      </w:pPr>
      <w:r>
        <w:rPr>
          <w:rFonts w:ascii="Arial" w:cs="Arial" w:eastAsia="Arial" w:hAnsi="Arial"/>
          <w:b/>
          <w:bCs/>
          <w:color w:val="2B5C8A"/>
          <w:sz w:val="26"/>
          <w:szCs w:val="26"/>
          <w:rtl/>
        </w:rPr>
        <w:t xml:space="preserve">الجداول</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4909"/>
        <w:gridCol w:w="1487"/>
        <w:gridCol w:w="9663"/>
        <w:gridCol w:w="3719"/>
        <w:gridCol w:w="1041"/>
        <w:gridCol w:w="1192"/>
      </w:tblGrid>
      <w:tr>
        <w:trPr>
          <w:cantSplit/>
          <w:tblHeader/>
        </w:trPr>
        <w:tc>
          <w:tcPr>
            <w:tcW w:type="dxa" w:w="49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48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966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371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104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119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cfg.OutboxEvent</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cfg</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طابور الإرسال: تسليم مرة واحدة على الأقل؛ الحمولة معرّفات بلا بيانات مقيّدة (FR-PLT-042)</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OutboxEventId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r>
        <w:trPr>
          <w:cantSplit/>
        </w:trPr>
        <w:tc>
          <w:tcPr>
            <w:tcW w:type="dxa" w:w="49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cfg.SeedRun</w:t>
            </w:r>
          </w:p>
        </w:tc>
        <w:tc>
          <w:tcPr>
            <w:tcW w:type="dxa" w:w="148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cfg</w:t>
            </w:r>
          </w:p>
        </w:tc>
        <w:tc>
          <w:tcPr>
            <w:tcW w:type="dxa" w:w="966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سجل تشغيل البذر المُرقَّم لكل حزمة؛ تكرار التشغيل لا يكرر شيئًا (FR-PLT-008)</w:t>
            </w:r>
          </w:p>
        </w:tc>
        <w:tc>
          <w:tcPr>
            <w:tcW w:type="dxa" w:w="37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SeedRunId</w:t>
            </w:r>
          </w:p>
        </w:tc>
        <w:tc>
          <w:tcPr>
            <w:tcW w:type="dxa" w:w="104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c>
          <w:tcPr>
            <w:tcW w:type="dxa" w:w="11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cfg.SettingDefinition</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cfg</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تعريف مفتاح إعداد بحدود المنصة الدنيا والقصوى (BR-PLT-018، FR-PLT-043)</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SettingDefinitionId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w:t>
            </w:r>
          </w:p>
        </w:tc>
      </w:tr>
      <w:tr>
        <w:trPr>
          <w:cantSplit/>
        </w:trPr>
        <w:tc>
          <w:tcPr>
            <w:tcW w:type="dxa" w:w="49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cfg.TenantSetting</w:t>
            </w:r>
          </w:p>
        </w:tc>
        <w:tc>
          <w:tcPr>
            <w:tcW w:type="dxa" w:w="148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cfg</w:t>
            </w:r>
          </w:p>
        </w:tc>
        <w:tc>
          <w:tcPr>
            <w:tcW w:type="dxa" w:w="966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إعدادات المشترك: سياسات الأمان والمهل والعتبات وwork.start/work.end (FR-PLT-043)</w:t>
            </w:r>
          </w:p>
        </w:tc>
        <w:tc>
          <w:tcPr>
            <w:tcW w:type="dxa" w:w="37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TenantSettingId</w:t>
            </w:r>
          </w:p>
        </w:tc>
        <w:tc>
          <w:tcPr>
            <w:tcW w:type="dxa" w:w="104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c>
          <w:tcPr>
            <w:tcW w:type="dxa" w:w="11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bl>
    <w:p>
      <w:pPr>
        <w:pStyle w:val="Heading2"/>
        <w:bidi/>
      </w:pPr>
      <w:r>
        <w:rPr>
          <w:rFonts w:ascii="Arial" w:cs="Arial" w:eastAsia="Arial" w:hAnsi="Arial"/>
          <w:b/>
          <w:bCs/>
          <w:color w:val="2B5C8A"/>
          <w:sz w:val="26"/>
          <w:szCs w:val="26"/>
          <w:rtl/>
        </w:rPr>
        <w:t xml:space="preserve">العلاقات</w:t>
      </w:r>
    </w:p>
    <w:p>
      <w:pPr>
        <w:keepNext w:val="false"/>
        <w:bidi/>
        <w:spacing w:after="110" w:before="0" w:line="300"/>
      </w:pPr>
      <w:r>
        <w:rPr>
          <w:rFonts w:ascii="Arial" w:cs="Arial" w:eastAsia="Arial" w:hAnsi="Arial"/>
          <w:b w:val="false"/>
          <w:bCs w:val="false"/>
          <w:i/>
          <w:iCs/>
          <w:color w:val="5B6670"/>
          <w:sz w:val="16"/>
          <w:szCs w:val="16"/>
          <w:rtl/>
        </w:rPr>
        <w:t xml:space="preserve">لا توجد مفاتيح أجنبية عملية لجداول هذه المجموعة.</w:t>
      </w:r>
    </w:p>
    <w:p>
      <w:pPr>
        <w:pStyle w:val="Heading2"/>
        <w:bidi/>
      </w:pPr>
      <w:r>
        <w:rPr>
          <w:rFonts w:ascii="Arial" w:cs="Arial" w:eastAsia="Arial" w:hAnsi="Arial"/>
          <w:b/>
          <w:bCs/>
          <w:color w:val="2B5C8A"/>
          <w:sz w:val="26"/>
          <w:szCs w:val="26"/>
          <w:rtl/>
        </w:rPr>
        <w:t xml:space="preserve">3.12 م1 · الشركات والحوكمة (1/2)</w:t>
      </w:r>
    </w:p>
    <w:p>
      <w:pPr>
        <w:keepNext/>
        <w:bidi/>
        <w:spacing w:after="60" w:before="0"/>
      </w:pPr>
      <w:r>
        <w:rPr>
          <w:rFonts w:ascii="Arial" w:cs="Arial" w:eastAsia="Arial" w:hAnsi="Arial"/>
          <w:b w:val="false"/>
          <w:bCs w:val="false"/>
          <w:i w:val="false"/>
          <w:iCs w:val="false"/>
          <w:color w:val="5B6670"/>
          <w:sz w:val="16"/>
          <w:szCs w:val="16"/>
          <w:rtl/>
        </w:rPr>
        <w:t xml:space="preserve">Company structure &amp; governance</w:t>
      </w:r>
    </w:p>
    <w:p>
      <w:pPr>
        <w:keepNext/>
        <w:bidi/>
        <w:spacing w:after="60" w:before="60"/>
        <w:jc w:val="center"/>
      </w:pPr>
      <w:r>
        <w:drawing>
          <wp:inline distT="0" distB="0" distL="0" distR="0">
            <wp:extent cx="12944475" cy="7620000"/>
            <wp:effectExtent t="0" r="0" b="0" l="0"/>
            <wp:docPr id="1" name="diagrams/erd/m1_company_1.png" descr="الشكل 19: م1 · الشركات والحوكمة (1/2) (4 جداول)" title="الشكل 19: م1 · الشركات والحوكمة (1/2) (4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2944475" cy="7620000"/>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19: م1 · الشركات والحوكمة (1/2) (4 جداول)</w:t>
      </w:r>
    </w:p>
    <w:p>
      <w:pPr>
        <w:pStyle w:val="Heading2"/>
        <w:bidi/>
      </w:pPr>
      <w:r>
        <w:rPr>
          <w:rFonts w:ascii="Arial" w:cs="Arial" w:eastAsia="Arial" w:hAnsi="Arial"/>
          <w:b/>
          <w:bCs/>
          <w:color w:val="2B5C8A"/>
          <w:sz w:val="26"/>
          <w:szCs w:val="26"/>
          <w:rtl/>
        </w:rPr>
        <w:t xml:space="preserve">الجداول</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4909"/>
        <w:gridCol w:w="1487"/>
        <w:gridCol w:w="9663"/>
        <w:gridCol w:w="3719"/>
        <w:gridCol w:w="1041"/>
        <w:gridCol w:w="1192"/>
      </w:tblGrid>
      <w:tr>
        <w:trPr>
          <w:cantSplit/>
          <w:tblHeader/>
        </w:trPr>
        <w:tc>
          <w:tcPr>
            <w:tcW w:type="dxa" w:w="49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48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966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371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104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119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org</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الشركة: جذر الهيكل المؤسسي (FR-ORG-001..010، BR-ORG-001..004)</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CompanyId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5</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6</w:t>
            </w:r>
          </w:p>
        </w:tc>
      </w:tr>
      <w:tr>
        <w:trPr>
          <w:cantSplit/>
        </w:trPr>
        <w:tc>
          <w:tcPr>
            <w:tcW w:type="dxa" w:w="49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org.CompanyTaxRate</w:t>
            </w:r>
          </w:p>
        </w:tc>
        <w:tc>
          <w:tcPr>
            <w:tcW w:type="dxa" w:w="148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org</w:t>
            </w:r>
          </w:p>
        </w:tc>
        <w:tc>
          <w:tcPr>
            <w:tcW w:type="dxa" w:w="966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نسبة ضريبة بتاريخ سريان؛ CompanyId فارغ = افتراضي المشترك (FR-ORG-007، BR-ORG-005)</w:t>
            </w:r>
          </w:p>
        </w:tc>
        <w:tc>
          <w:tcPr>
            <w:tcW w:type="dxa" w:w="37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CompanyTaxRateId</w:t>
            </w:r>
          </w:p>
        </w:tc>
        <w:tc>
          <w:tcPr>
            <w:tcW w:type="dxa" w:w="104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w:t>
            </w:r>
          </w:p>
        </w:tc>
        <w:tc>
          <w:tcPr>
            <w:tcW w:type="dxa" w:w="11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org.Department</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org</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الإدارة (FR-ORG-014، BR-ORG-016، Q-ORG-09: على مستوى المشترك وشركة اختيارية)</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DepartmentId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r>
        <w:trPr>
          <w:cantSplit/>
        </w:trPr>
        <w:tc>
          <w:tcPr>
            <w:tcW w:type="dxa" w:w="49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org.Shareholding</w:t>
            </w:r>
          </w:p>
        </w:tc>
        <w:tc>
          <w:tcPr>
            <w:tcW w:type="dxa" w:w="148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org</w:t>
            </w:r>
          </w:p>
        </w:tc>
        <w:tc>
          <w:tcPr>
            <w:tcW w:type="dxa" w:w="966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حصة ملكية بتاريخ سريان؛ المالك Party فرد أو جهة (FR-ORG-015..018، BR-ORG-006..008، G-7)</w:t>
            </w:r>
          </w:p>
        </w:tc>
        <w:tc>
          <w:tcPr>
            <w:tcW w:type="dxa" w:w="37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ShareholdingId</w:t>
            </w:r>
          </w:p>
        </w:tc>
        <w:tc>
          <w:tcPr>
            <w:tcW w:type="dxa" w:w="104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4</w:t>
            </w:r>
          </w:p>
        </w:tc>
        <w:tc>
          <w:tcPr>
            <w:tcW w:type="dxa" w:w="11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bl>
    <w:p>
      <w:pPr>
        <w:pStyle w:val="Heading2"/>
        <w:bidi/>
      </w:pPr>
      <w:r>
        <w:rPr>
          <w:rFonts w:ascii="Arial" w:cs="Arial" w:eastAsia="Arial" w:hAnsi="Arial"/>
          <w:b/>
          <w:bCs/>
          <w:color w:val="2B5C8A"/>
          <w:sz w:val="26"/>
          <w:szCs w:val="26"/>
          <w:rtl/>
        </w:rPr>
        <w:t xml:space="preserve">العلاقات</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5009"/>
        <w:gridCol w:w="4098"/>
        <w:gridCol w:w="3946"/>
        <w:gridCol w:w="1518"/>
        <w:gridCol w:w="1821"/>
        <w:gridCol w:w="3036"/>
        <w:gridCol w:w="1366"/>
        <w:gridCol w:w="1217"/>
      </w:tblGrid>
      <w:tr>
        <w:trPr>
          <w:cantSplit/>
          <w:tblHeader/>
        </w:trPr>
        <w:tc>
          <w:tcPr>
            <w:tcW w:type="dxa" w:w="50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409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394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51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82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303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136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121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PartyId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pty.Party</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LegalEntityTypeId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cat.LegalEntityType</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ParentCompanyId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CountryId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ref.Country</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BaseCurrencyId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ref.Currency</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org.CompanyTaxRate</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CompanyId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org.Department</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CompanyId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org.Department</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ParentDepartmentId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org.Department</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org.Department</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HeadUserId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org.Shareholding</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CompanyId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org.Shareholding</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HolderPartyId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pty.Party</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org.Shareholding</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CurrencyId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ref.Currency</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org.Shareholding</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SourceDocumentId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bl>
    <w:p>
      <w:pPr>
        <w:pStyle w:val="Heading2"/>
        <w:bidi/>
      </w:pPr>
      <w:r>
        <w:rPr>
          <w:rFonts w:ascii="Arial" w:cs="Arial" w:eastAsia="Arial" w:hAnsi="Arial"/>
          <w:b/>
          <w:bCs/>
          <w:color w:val="2B5C8A"/>
          <w:sz w:val="26"/>
          <w:szCs w:val="26"/>
          <w:rtl/>
        </w:rPr>
        <w:t xml:space="preserve">3.13 م1 · الشركات والحوكمة (2/2)</w:t>
      </w:r>
    </w:p>
    <w:p>
      <w:pPr>
        <w:keepNext/>
        <w:bidi/>
        <w:spacing w:after="60" w:before="0"/>
      </w:pPr>
      <w:r>
        <w:rPr>
          <w:rFonts w:ascii="Arial" w:cs="Arial" w:eastAsia="Arial" w:hAnsi="Arial"/>
          <w:b w:val="false"/>
          <w:bCs w:val="false"/>
          <w:i w:val="false"/>
          <w:iCs w:val="false"/>
          <w:color w:val="5B6670"/>
          <w:sz w:val="16"/>
          <w:szCs w:val="16"/>
          <w:rtl/>
        </w:rPr>
        <w:t xml:space="preserve">Company structure &amp; governance</w:t>
      </w:r>
    </w:p>
    <w:p>
      <w:pPr>
        <w:keepNext/>
        <w:bidi/>
        <w:spacing w:after="60" w:before="60"/>
        <w:jc w:val="center"/>
      </w:pPr>
      <w:r>
        <w:drawing>
          <wp:inline distT="0" distB="0" distL="0" distR="0">
            <wp:extent cx="2943225" cy="7620000"/>
            <wp:effectExtent t="0" r="0" b="0" l="0"/>
            <wp:docPr id="1" name="diagrams/erd/m1_company_2.png" descr="الشكل 20: م1 · الشركات والحوكمة (2/2) (3 جداول)" title="الشكل 20: م1 · الشركات والحوكمة (2/2) (3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943225" cy="7620000"/>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20: م1 · الشركات والحوكمة (2/2) (3 جداول)</w:t>
      </w:r>
    </w:p>
    <w:p>
      <w:pPr>
        <w:pStyle w:val="Heading2"/>
        <w:bidi/>
      </w:pPr>
      <w:r>
        <w:rPr>
          <w:rFonts w:ascii="Arial" w:cs="Arial" w:eastAsia="Arial" w:hAnsi="Arial"/>
          <w:b/>
          <w:bCs/>
          <w:color w:val="2B5C8A"/>
          <w:sz w:val="26"/>
          <w:szCs w:val="26"/>
          <w:rtl/>
        </w:rPr>
        <w:t xml:space="preserve">الجداول</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4909"/>
        <w:gridCol w:w="1487"/>
        <w:gridCol w:w="9663"/>
        <w:gridCol w:w="3719"/>
        <w:gridCol w:w="1041"/>
        <w:gridCol w:w="1192"/>
      </w:tblGrid>
      <w:tr>
        <w:trPr>
          <w:cantSplit/>
          <w:tblHeader/>
        </w:trPr>
        <w:tc>
          <w:tcPr>
            <w:tcW w:type="dxa" w:w="49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48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966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371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104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119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org.GoverningBody</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org</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هيئة حوكمة (FR-ORG-019، BR-ORG-009)</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GoverningBodyId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4</w:t>
            </w:r>
          </w:p>
        </w:tc>
      </w:tr>
      <w:tr>
        <w:trPr>
          <w:cantSplit/>
        </w:trPr>
        <w:tc>
          <w:tcPr>
            <w:tcW w:type="dxa" w:w="49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org.BodyMember</w:t>
            </w:r>
          </w:p>
        </w:tc>
        <w:tc>
          <w:tcPr>
            <w:tcW w:type="dxa" w:w="148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org</w:t>
            </w:r>
          </w:p>
        </w:tc>
        <w:tc>
          <w:tcPr>
            <w:tcW w:type="dxa" w:w="966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عضوية في هيئة (FR-ORG-020، FR-ORG-021، BR-ORG-010)</w:t>
            </w:r>
          </w:p>
        </w:tc>
        <w:tc>
          <w:tcPr>
            <w:tcW w:type="dxa" w:w="37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BodyMemberId</w:t>
            </w:r>
          </w:p>
        </w:tc>
        <w:tc>
          <w:tcPr>
            <w:tcW w:type="dxa" w:w="104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6</w:t>
            </w:r>
          </w:p>
        </w:tc>
        <w:tc>
          <w:tcPr>
            <w:tcW w:type="dxa" w:w="11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4</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org.AuthorityGrant</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org</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تفويض/منحة صلاحية لشركة (FR-ORG-023..028، BR-ORG-011..014)</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AuthorityGrantId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10</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bl>
    <w:p>
      <w:pPr>
        <w:pStyle w:val="Heading2"/>
        <w:bidi/>
      </w:pPr>
      <w:r>
        <w:rPr>
          <w:rFonts w:ascii="Arial" w:cs="Arial" w:eastAsia="Arial" w:hAnsi="Arial"/>
          <w:b/>
          <w:bCs/>
          <w:color w:val="2B5C8A"/>
          <w:sz w:val="26"/>
          <w:szCs w:val="26"/>
          <w:rtl/>
        </w:rPr>
        <w:t xml:space="preserve">العلاقات</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5009"/>
        <w:gridCol w:w="4098"/>
        <w:gridCol w:w="3946"/>
        <w:gridCol w:w="1518"/>
        <w:gridCol w:w="1821"/>
        <w:gridCol w:w="3036"/>
        <w:gridCol w:w="1366"/>
        <w:gridCol w:w="1217"/>
      </w:tblGrid>
      <w:tr>
        <w:trPr>
          <w:cantSplit/>
          <w:tblHeader/>
        </w:trPr>
        <w:tc>
          <w:tcPr>
            <w:tcW w:type="dxa" w:w="50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409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394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51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82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303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136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121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org.GoverningBody</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CompanyId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org.GoverningBody</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SourceDocumentId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org.BodyMember</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CompanyId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org.BodyMember</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BodyId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org.GoverningBody</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CompanyId</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org.BodyMember</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PartyId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pty.Party</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org.BodyMember</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PositionId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cat.Position</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org.BodyMember</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RepresentedPartyId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pty.Party</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org.BodyMember</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AppointmentDocumentId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org.AuthorityGrant</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CompanyId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org.AuthorityGrant</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BodyId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org.GoverningBody</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CompanyId</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org.AuthorityGrant</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BodyMemberId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org.BodyMember</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CompanyId</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org.AuthorityGrant</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PartyId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pty.Party</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org.AuthorityGrant</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PowerTypeId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cat.PowerType</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org.AuthorityGrant</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InstitutionId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ins.Institution</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org.AuthorityGrant</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CeilingCurrencyId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ref.Currency</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org.AuthorityGrant</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ApprovedBy</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org.AuthorityGrant</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SourceDocumentId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org.AuthorityGrant</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SupersedesGrantId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org.AuthorityGrant</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bl>
    <w:p>
      <w:pPr>
        <w:pStyle w:val="Heading2"/>
        <w:bidi/>
      </w:pPr>
      <w:r>
        <w:rPr>
          <w:rFonts w:ascii="Arial" w:cs="Arial" w:eastAsia="Arial" w:hAnsi="Arial"/>
          <w:b/>
          <w:bCs/>
          <w:color w:val="2B5C8A"/>
          <w:sz w:val="26"/>
          <w:szCs w:val="26"/>
          <w:rtl/>
        </w:rPr>
        <w:t xml:space="preserve">3.14 م1 · ملف الشركة و KYC (1/2)</w:t>
      </w:r>
    </w:p>
    <w:p>
      <w:pPr>
        <w:keepNext/>
        <w:bidi/>
        <w:spacing w:after="60" w:before="0"/>
      </w:pPr>
      <w:r>
        <w:rPr>
          <w:rFonts w:ascii="Arial" w:cs="Arial" w:eastAsia="Arial" w:hAnsi="Arial"/>
          <w:b w:val="false"/>
          <w:bCs w:val="false"/>
          <w:i w:val="false"/>
          <w:iCs w:val="false"/>
          <w:color w:val="5B6670"/>
          <w:sz w:val="16"/>
          <w:szCs w:val="16"/>
          <w:rtl/>
        </w:rPr>
        <w:t xml:space="preserve">Company profile &amp; KYC</w:t>
      </w:r>
    </w:p>
    <w:p>
      <w:pPr>
        <w:keepNext/>
        <w:bidi/>
        <w:spacing w:after="60" w:before="60"/>
        <w:jc w:val="center"/>
      </w:pPr>
      <w:r>
        <w:drawing>
          <wp:inline distT="0" distB="0" distL="0" distR="0">
            <wp:extent cx="13973175" cy="5372100"/>
            <wp:effectExtent t="0" r="0" b="0" l="0"/>
            <wp:docPr id="1" name="diagrams/erd/m1_company_kyc_1.png" descr="الشكل 21: م1 · ملف الشركة و KYC (1/2) (4 جداول)" title="الشكل 21: م1 · ملف الشركة و KYC (1/2) (4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3973175" cy="5372100"/>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21: م1 · ملف الشركة و KYC (1/2) (4 جداول)</w:t>
      </w:r>
    </w:p>
    <w:p>
      <w:pPr>
        <w:pStyle w:val="Heading2"/>
        <w:bidi/>
      </w:pPr>
      <w:r>
        <w:rPr>
          <w:rFonts w:ascii="Arial" w:cs="Arial" w:eastAsia="Arial" w:hAnsi="Arial"/>
          <w:b/>
          <w:bCs/>
          <w:color w:val="2B5C8A"/>
          <w:sz w:val="26"/>
          <w:szCs w:val="26"/>
          <w:rtl/>
        </w:rPr>
        <w:t xml:space="preserve">الجداول</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4909"/>
        <w:gridCol w:w="1487"/>
        <w:gridCol w:w="9663"/>
        <w:gridCol w:w="3719"/>
        <w:gridCol w:w="1041"/>
        <w:gridCol w:w="1192"/>
      </w:tblGrid>
      <w:tr>
        <w:trPr>
          <w:cantSplit/>
          <w:tblHeader/>
        </w:trPr>
        <w:tc>
          <w:tcPr>
            <w:tcW w:type="dxa" w:w="49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48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966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371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104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119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org.CompanyProfile</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org</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ملف تعريف الشركة 1:1 (G-1)</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CompanyProfileId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4</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r>
        <w:trPr>
          <w:cantSplit/>
        </w:trPr>
        <w:tc>
          <w:tcPr>
            <w:tcW w:type="dxa" w:w="49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org.CompanyBranch</w:t>
            </w:r>
          </w:p>
        </w:tc>
        <w:tc>
          <w:tcPr>
            <w:tcW w:type="dxa" w:w="148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org</w:t>
            </w:r>
          </w:p>
        </w:tc>
        <w:tc>
          <w:tcPr>
            <w:tcW w:type="dxa" w:w="966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فرع/مستودع/تابعة خارج الحساب كنص (G-3)</w:t>
            </w:r>
          </w:p>
        </w:tc>
        <w:tc>
          <w:tcPr>
            <w:tcW w:type="dxa" w:w="37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CompanyBranchId</w:t>
            </w:r>
          </w:p>
        </w:tc>
        <w:tc>
          <w:tcPr>
            <w:tcW w:type="dxa" w:w="104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c>
          <w:tcPr>
            <w:tcW w:type="dxa" w:w="11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org.CompanyKycFinancialProfile</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org</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الملف المالي KYC بتاريخ سريان: شريحة الإيرادات والغرض (G-4)</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CompanyKycFinancialProfileId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r>
        <w:trPr>
          <w:cantSplit/>
        </w:trPr>
        <w:tc>
          <w:tcPr>
            <w:tcW w:type="dxa" w:w="49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org.CompanyExpectedFlow</w:t>
            </w:r>
          </w:p>
        </w:tc>
        <w:tc>
          <w:tcPr>
            <w:tcW w:type="dxa" w:w="148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org</w:t>
            </w:r>
          </w:p>
        </w:tc>
        <w:tc>
          <w:tcPr>
            <w:tcW w:type="dxa" w:w="966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مصفوفة الحركة المتوقعة الشهرية CTP: اتجاه × 5 بنود (G-4)</w:t>
            </w:r>
          </w:p>
        </w:tc>
        <w:tc>
          <w:tcPr>
            <w:tcW w:type="dxa" w:w="37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CompanyExpectedFlowId</w:t>
            </w:r>
          </w:p>
        </w:tc>
        <w:tc>
          <w:tcPr>
            <w:tcW w:type="dxa" w:w="104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c>
          <w:tcPr>
            <w:tcW w:type="dxa" w:w="11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bl>
    <w:p>
      <w:pPr>
        <w:pStyle w:val="Heading2"/>
        <w:bidi/>
      </w:pPr>
      <w:r>
        <w:rPr>
          <w:rFonts w:ascii="Arial" w:cs="Arial" w:eastAsia="Arial" w:hAnsi="Arial"/>
          <w:b/>
          <w:bCs/>
          <w:color w:val="2B5C8A"/>
          <w:sz w:val="26"/>
          <w:szCs w:val="26"/>
          <w:rtl/>
        </w:rPr>
        <w:t xml:space="preserve">العلاقات</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5009"/>
        <w:gridCol w:w="4098"/>
        <w:gridCol w:w="3946"/>
        <w:gridCol w:w="1518"/>
        <w:gridCol w:w="1821"/>
        <w:gridCol w:w="3036"/>
        <w:gridCol w:w="1366"/>
        <w:gridCol w:w="1217"/>
      </w:tblGrid>
      <w:tr>
        <w:trPr>
          <w:cantSplit/>
          <w:tblHeader/>
        </w:trPr>
        <w:tc>
          <w:tcPr>
            <w:tcW w:type="dxa" w:w="50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409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394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51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82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303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136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121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org.CompanyProfile</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CompanyId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org.CompanyProfile</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HeadquartersCountryId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ref.Country</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org.CompanyProfile</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SectorId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cat.LookupItem</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org.CompanyProfile</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EmployeeBandId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cat.LookupItem</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org.CompanyBranch</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CompanyId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org.CompanyBranch</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CountryId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ref.Country</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org.CompanyKycFinancialProfile</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CompanyId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org.CompanyKycFinancialProfile</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RevenueBandId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cat.LookupItem</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org.CompanyKycFinancialProfile</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AccountCurrencyId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ref.Currency</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org.CompanyExpectedFlow</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FinancialProfileId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org.CompanyKycFinancialProfile</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org.CompanyExpectedFlow</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CurrencyId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ref.Currency</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bl>
    <w:p>
      <w:pPr>
        <w:pStyle w:val="Heading2"/>
        <w:bidi/>
      </w:pPr>
      <w:r>
        <w:rPr>
          <w:rFonts w:ascii="Arial" w:cs="Arial" w:eastAsia="Arial" w:hAnsi="Arial"/>
          <w:b/>
          <w:bCs/>
          <w:color w:val="2B5C8A"/>
          <w:sz w:val="26"/>
          <w:szCs w:val="26"/>
          <w:rtl/>
        </w:rPr>
        <w:t xml:space="preserve">3.15 م1 · ملف الشركة و KYC (2/2)</w:t>
      </w:r>
    </w:p>
    <w:p>
      <w:pPr>
        <w:keepNext/>
        <w:bidi/>
        <w:spacing w:after="60" w:before="0"/>
      </w:pPr>
      <w:r>
        <w:rPr>
          <w:rFonts w:ascii="Arial" w:cs="Arial" w:eastAsia="Arial" w:hAnsi="Arial"/>
          <w:b w:val="false"/>
          <w:bCs w:val="false"/>
          <w:i w:val="false"/>
          <w:iCs w:val="false"/>
          <w:color w:val="5B6670"/>
          <w:sz w:val="16"/>
          <w:szCs w:val="16"/>
          <w:rtl/>
        </w:rPr>
        <w:t xml:space="preserve">Company profile &amp; KYC</w:t>
      </w:r>
    </w:p>
    <w:p>
      <w:pPr>
        <w:keepNext/>
        <w:bidi/>
        <w:spacing w:after="60" w:before="60"/>
        <w:jc w:val="center"/>
      </w:pPr>
      <w:r>
        <w:drawing>
          <wp:inline distT="0" distB="0" distL="0" distR="0">
            <wp:extent cx="13973175" cy="1857375"/>
            <wp:effectExtent t="0" r="0" b="0" l="0"/>
            <wp:docPr id="1" name="diagrams/erd/m1_company_kyc_2.png" descr="الشكل 22: م1 · ملف الشركة و KYC (2/2) (3 جداول)" title="الشكل 22: م1 · ملف الشركة و KYC (2/2) (3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3973175" cy="1857375"/>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22: م1 · ملف الشركة و KYC (2/2) (3 جداول)</w:t>
      </w:r>
    </w:p>
    <w:p>
      <w:pPr>
        <w:pStyle w:val="Heading2"/>
        <w:bidi/>
      </w:pPr>
      <w:r>
        <w:rPr>
          <w:rFonts w:ascii="Arial" w:cs="Arial" w:eastAsia="Arial" w:hAnsi="Arial"/>
          <w:b/>
          <w:bCs/>
          <w:color w:val="2B5C8A"/>
          <w:sz w:val="26"/>
          <w:szCs w:val="26"/>
          <w:rtl/>
        </w:rPr>
        <w:t xml:space="preserve">الجداول</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4909"/>
        <w:gridCol w:w="1487"/>
        <w:gridCol w:w="9663"/>
        <w:gridCol w:w="3719"/>
        <w:gridCol w:w="1041"/>
        <w:gridCol w:w="1192"/>
      </w:tblGrid>
      <w:tr>
        <w:trPr>
          <w:cantSplit/>
          <w:tblHeader/>
        </w:trPr>
        <w:tc>
          <w:tcPr>
            <w:tcW w:type="dxa" w:w="49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48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966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371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104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119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org.CompanyWealthSource</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org</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مصادر الأموال والثروة: قائمة متعددة (G-4)</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TenantId, FinancialProfileId, WealthSourceId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r>
      <w:tr>
        <w:trPr>
          <w:cantSplit/>
        </w:trPr>
        <w:tc>
          <w:tcPr>
            <w:tcW w:type="dxa" w:w="49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org.CompanyDisclosure</w:t>
            </w:r>
          </w:p>
        </w:tc>
        <w:tc>
          <w:tcPr>
            <w:tcW w:type="dxa" w:w="148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org</w:t>
            </w:r>
          </w:p>
        </w:tc>
        <w:tc>
          <w:tcPr>
            <w:tcW w:type="dxa" w:w="966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إفصاحات الشركة (G-5)</w:t>
            </w:r>
          </w:p>
        </w:tc>
        <w:tc>
          <w:tcPr>
            <w:tcW w:type="dxa" w:w="37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CompanyDisclosureId</w:t>
            </w:r>
          </w:p>
        </w:tc>
        <w:tc>
          <w:tcPr>
            <w:tcW w:type="dxa" w:w="104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c>
          <w:tcPr>
            <w:tcW w:type="dxa" w:w="11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org.CompanyKeyRelation</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org</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أصحاب العلاقة: مدققون، مستشار قانوني، جهات تنظيمية، أبرز العملاء/الموردين (G-6)</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CompanyKeyRelationId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w:t>
            </w:r>
          </w:p>
        </w:tc>
      </w:tr>
    </w:tbl>
    <w:p>
      <w:pPr>
        <w:pStyle w:val="Heading2"/>
        <w:bidi/>
      </w:pPr>
      <w:r>
        <w:rPr>
          <w:rFonts w:ascii="Arial" w:cs="Arial" w:eastAsia="Arial" w:hAnsi="Arial"/>
          <w:b/>
          <w:bCs/>
          <w:color w:val="2B5C8A"/>
          <w:sz w:val="26"/>
          <w:szCs w:val="26"/>
          <w:rtl/>
        </w:rPr>
        <w:t xml:space="preserve">العلاقات</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5009"/>
        <w:gridCol w:w="4098"/>
        <w:gridCol w:w="3946"/>
        <w:gridCol w:w="1518"/>
        <w:gridCol w:w="1821"/>
        <w:gridCol w:w="3036"/>
        <w:gridCol w:w="1366"/>
        <w:gridCol w:w="1217"/>
      </w:tblGrid>
      <w:tr>
        <w:trPr>
          <w:cantSplit/>
          <w:tblHeader/>
        </w:trPr>
        <w:tc>
          <w:tcPr>
            <w:tcW w:type="dxa" w:w="50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409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394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51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82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303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136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121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org.CompanyWealthSource</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FinancialProfileId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org.CompanyKycFinancialProfile</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حذف متسلسل</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org.CompanyWealthSource</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WealthSourceId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cat.LookupItem</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org.CompanyDisclosure</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CompanyId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org.CompanyDisclosure</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SourceDocumentId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org.CompanyKeyRelation</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CompanyId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bl>
    <w:p>
      <w:pPr>
        <w:pStyle w:val="Heading2"/>
        <w:bidi/>
      </w:pPr>
      <w:r>
        <w:rPr>
          <w:rFonts w:ascii="Arial" w:cs="Arial" w:eastAsia="Arial" w:hAnsi="Arial"/>
          <w:b/>
          <w:bCs/>
          <w:color w:val="2B5C8A"/>
          <w:sz w:val="26"/>
          <w:szCs w:val="26"/>
          <w:rtl/>
        </w:rPr>
        <w:t xml:space="preserve">3.16 م1 · الأشخاص والهوية و KYC (1/3)</w:t>
      </w:r>
    </w:p>
    <w:p>
      <w:pPr>
        <w:keepNext/>
        <w:bidi/>
        <w:spacing w:after="60" w:before="0"/>
      </w:pPr>
      <w:r>
        <w:rPr>
          <w:rFonts w:ascii="Arial" w:cs="Arial" w:eastAsia="Arial" w:hAnsi="Arial"/>
          <w:b w:val="false"/>
          <w:bCs w:val="false"/>
          <w:i w:val="false"/>
          <w:iCs w:val="false"/>
          <w:color w:val="5B6670"/>
          <w:sz w:val="16"/>
          <w:szCs w:val="16"/>
          <w:rtl/>
        </w:rPr>
        <w:t xml:space="preserve">Parties, identity documents &amp; KYC</w:t>
      </w:r>
    </w:p>
    <w:p>
      <w:pPr>
        <w:keepNext/>
        <w:bidi/>
        <w:spacing w:after="60" w:before="60"/>
        <w:jc w:val="center"/>
      </w:pPr>
      <w:r>
        <w:drawing>
          <wp:inline distT="0" distB="0" distL="0" distR="0">
            <wp:extent cx="13973175" cy="4133850"/>
            <wp:effectExtent t="0" r="0" b="0" l="0"/>
            <wp:docPr id="1" name="diagrams/erd/m1_party_1.png" descr="الشكل 23: م1 · الأشخاص والهوية و KYC (1/3) (4 جداول)" title="الشكل 23: م1 · الأشخاص والهوية و KYC (1/3) (4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3973175" cy="4133850"/>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23: م1 · الأشخاص والهوية و KYC (1/3) (4 جداول)</w:t>
      </w:r>
    </w:p>
    <w:p>
      <w:pPr>
        <w:pStyle w:val="Heading2"/>
        <w:bidi/>
      </w:pPr>
      <w:r>
        <w:rPr>
          <w:rFonts w:ascii="Arial" w:cs="Arial" w:eastAsia="Arial" w:hAnsi="Arial"/>
          <w:b/>
          <w:bCs/>
          <w:color w:val="2B5C8A"/>
          <w:sz w:val="26"/>
          <w:szCs w:val="26"/>
          <w:rtl/>
        </w:rPr>
        <w:t xml:space="preserve">الجداول</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4909"/>
        <w:gridCol w:w="1487"/>
        <w:gridCol w:w="9663"/>
        <w:gridCol w:w="3719"/>
        <w:gridCol w:w="1041"/>
        <w:gridCol w:w="1192"/>
      </w:tblGrid>
      <w:tr>
        <w:trPr>
          <w:cantSplit/>
          <w:tblHeader/>
        </w:trPr>
        <w:tc>
          <w:tcPr>
            <w:tcW w:type="dxa" w:w="49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48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966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371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104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119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pty.Address</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pty</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عنوان متعدد الملكية: OwnerType+OwnerId بلا FK (مزوّد المالك يتحقق منه التطبيق) (FR-PTY-011، BR-PTY-015)</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AddressId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5</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5</w:t>
            </w:r>
          </w:p>
        </w:tc>
      </w:tr>
      <w:tr>
        <w:trPr>
          <w:cantSplit/>
        </w:trPr>
        <w:tc>
          <w:tcPr>
            <w:tcW w:type="dxa" w:w="49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pty.ContactMethod</w:t>
            </w:r>
          </w:p>
        </w:tc>
        <w:tc>
          <w:tcPr>
            <w:tcW w:type="dxa" w:w="148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pty</w:t>
            </w:r>
          </w:p>
        </w:tc>
        <w:tc>
          <w:tcPr>
            <w:tcW w:type="dxa" w:w="966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وسيلة اتصال متعددة الملكية (FR-PTY-012، BR-PTY-015)</w:t>
            </w:r>
          </w:p>
        </w:tc>
        <w:tc>
          <w:tcPr>
            <w:tcW w:type="dxa" w:w="37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ContactMethodId</w:t>
            </w:r>
          </w:p>
        </w:tc>
        <w:tc>
          <w:tcPr>
            <w:tcW w:type="dxa" w:w="104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4</w:t>
            </w:r>
          </w:p>
        </w:tc>
        <w:tc>
          <w:tcPr>
            <w:tcW w:type="dxa" w:w="11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9</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pty.CustomFieldDefinition</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pty</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تعريف حقل مخصص (FR-PTY-013، BR-PTY-014)</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CustomFieldDefinitionId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r>
        <w:trPr>
          <w:cantSplit/>
        </w:trPr>
        <w:tc>
          <w:tcPr>
            <w:tcW w:type="dxa" w:w="49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pty.IdentityDocument</w:t>
            </w:r>
          </w:p>
        </w:tc>
        <w:tc>
          <w:tcPr>
            <w:tcW w:type="dxa" w:w="148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pty</w:t>
            </w:r>
          </w:p>
        </w:tc>
        <w:tc>
          <w:tcPr>
            <w:tcW w:type="dxa" w:w="966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وثيقة هوية؛ الرقم مشفّر والصور مستندات مقيَّدة (FR-PTY-004..009، FR-PTY-020..022، BR-PTY-002..008)</w:t>
            </w:r>
          </w:p>
        </w:tc>
        <w:tc>
          <w:tcPr>
            <w:tcW w:type="dxa" w:w="37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IdentityDocumentId</w:t>
            </w:r>
          </w:p>
        </w:tc>
        <w:tc>
          <w:tcPr>
            <w:tcW w:type="dxa" w:w="104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6</w:t>
            </w:r>
          </w:p>
        </w:tc>
        <w:tc>
          <w:tcPr>
            <w:tcW w:type="dxa" w:w="11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bl>
    <w:p>
      <w:pPr>
        <w:pStyle w:val="Heading2"/>
        <w:bidi/>
      </w:pPr>
      <w:r>
        <w:rPr>
          <w:rFonts w:ascii="Arial" w:cs="Arial" w:eastAsia="Arial" w:hAnsi="Arial"/>
          <w:b/>
          <w:bCs/>
          <w:color w:val="2B5C8A"/>
          <w:sz w:val="26"/>
          <w:szCs w:val="26"/>
          <w:rtl/>
        </w:rPr>
        <w:t xml:space="preserve">العلاقات</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5009"/>
        <w:gridCol w:w="4098"/>
        <w:gridCol w:w="3946"/>
        <w:gridCol w:w="1518"/>
        <w:gridCol w:w="1821"/>
        <w:gridCol w:w="3036"/>
        <w:gridCol w:w="1366"/>
        <w:gridCol w:w="1217"/>
      </w:tblGrid>
      <w:tr>
        <w:trPr>
          <w:cantSplit/>
          <w:tblHeader/>
        </w:trPr>
        <w:tc>
          <w:tcPr>
            <w:tcW w:type="dxa" w:w="50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409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394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51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82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303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136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121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pty.Address</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PartyId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pty.Party</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pty.Address</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InstitutionId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ins.Institution</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pty.Address</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UnitId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ins.InstitutionUnit</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pty.Address</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ContactId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ins.Contact</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pty.Address</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CountryId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ref.Country</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pty.ContactMethod</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PartyId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pty.Party</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pty.ContactMethod</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InstitutionId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ins.Institution</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pty.ContactMethod</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UnitId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ins.InstitutionUnit</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pty.ContactMethod</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ContactId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ins.Contact</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pty.CustomFieldDefinition</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InstitutionId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ins.Institution</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pty.IdentityDocument</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PartyId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pty.Party</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pty.IdentityDocument</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IssuingCountryId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ref.Country</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pty.IdentityDocument</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EncKeyId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sec.TenantKey</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EncKeyPurpose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pty.IdentityDocument</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HashKeyId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sec.TenantKey</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HashKeyPurpose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pty.IdentityDocument</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SupersededById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pty.IdentityDocument</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pty.IdentityDocument</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VerifiedBy</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bl>
    <w:p>
      <w:pPr>
        <w:pStyle w:val="Heading2"/>
        <w:bidi/>
      </w:pPr>
      <w:r>
        <w:rPr>
          <w:rFonts w:ascii="Arial" w:cs="Arial" w:eastAsia="Arial" w:hAnsi="Arial"/>
          <w:b/>
          <w:bCs/>
          <w:color w:val="2B5C8A"/>
          <w:sz w:val="26"/>
          <w:szCs w:val="26"/>
          <w:rtl/>
        </w:rPr>
        <w:t xml:space="preserve">3.17 م1 · الأشخاص والهوية و KYC (2/3)</w:t>
      </w:r>
    </w:p>
    <w:p>
      <w:pPr>
        <w:keepNext/>
        <w:bidi/>
        <w:spacing w:after="60" w:before="0"/>
      </w:pPr>
      <w:r>
        <w:rPr>
          <w:rFonts w:ascii="Arial" w:cs="Arial" w:eastAsia="Arial" w:hAnsi="Arial"/>
          <w:b w:val="false"/>
          <w:bCs w:val="false"/>
          <w:i w:val="false"/>
          <w:iCs w:val="false"/>
          <w:color w:val="5B6670"/>
          <w:sz w:val="16"/>
          <w:szCs w:val="16"/>
          <w:rtl/>
        </w:rPr>
        <w:t xml:space="preserve">Parties, identity documents &amp; KYC</w:t>
      </w:r>
    </w:p>
    <w:p>
      <w:pPr>
        <w:keepNext/>
        <w:bidi/>
        <w:spacing w:after="60" w:before="60"/>
        <w:jc w:val="center"/>
      </w:pPr>
      <w:r>
        <w:drawing>
          <wp:inline distT="0" distB="0" distL="0" distR="0">
            <wp:extent cx="7315200" cy="7620000"/>
            <wp:effectExtent t="0" r="0" b="0" l="0"/>
            <wp:docPr id="1" name="diagrams/erd/m1_party_2.png" descr="الشكل 24: م1 · الأشخاص والهوية و KYC (2/3) (4 جداول)" title="الشكل 24: م1 · الأشخاص والهوية و KYC (2/3) (4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7315200" cy="7620000"/>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24: م1 · الأشخاص والهوية و KYC (2/3) (4 جداول)</w:t>
      </w:r>
    </w:p>
    <w:p>
      <w:pPr>
        <w:pStyle w:val="Heading2"/>
        <w:bidi/>
      </w:pPr>
      <w:r>
        <w:rPr>
          <w:rFonts w:ascii="Arial" w:cs="Arial" w:eastAsia="Arial" w:hAnsi="Arial"/>
          <w:b/>
          <w:bCs/>
          <w:color w:val="2B5C8A"/>
          <w:sz w:val="26"/>
          <w:szCs w:val="26"/>
          <w:rtl/>
        </w:rPr>
        <w:t xml:space="preserve">الجداول</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4909"/>
        <w:gridCol w:w="1487"/>
        <w:gridCol w:w="9663"/>
        <w:gridCol w:w="3719"/>
        <w:gridCol w:w="1041"/>
        <w:gridCol w:w="1192"/>
      </w:tblGrid>
      <w:tr>
        <w:trPr>
          <w:cantSplit/>
          <w:tblHeader/>
        </w:trPr>
        <w:tc>
          <w:tcPr>
            <w:tcW w:type="dxa" w:w="49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48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966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371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104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119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pty.KycProfile</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pty</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قائمة اكتمال KYC لكل بنك ودور (FR-PTY-023، BR-PTY-012..013، G-8، G-14)</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KycProfileId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5</w:t>
            </w:r>
          </w:p>
        </w:tc>
      </w:tr>
      <w:tr>
        <w:trPr>
          <w:cantSplit/>
        </w:trPr>
        <w:tc>
          <w:tcPr>
            <w:tcW w:type="dxa" w:w="49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pty.KycProfileItem</w:t>
            </w:r>
          </w:p>
        </w:tc>
        <w:tc>
          <w:tcPr>
            <w:tcW w:type="dxa" w:w="148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pty</w:t>
            </w:r>
          </w:p>
        </w:tc>
        <w:tc>
          <w:tcPr>
            <w:tcW w:type="dxa" w:w="966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بند اكتمال (FR-PTY-023، FR-PTY-024، G-14)</w:t>
            </w:r>
          </w:p>
        </w:tc>
        <w:tc>
          <w:tcPr>
            <w:tcW w:type="dxa" w:w="37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KycProfileItemId</w:t>
            </w:r>
          </w:p>
        </w:tc>
        <w:tc>
          <w:tcPr>
            <w:tcW w:type="dxa" w:w="104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w:t>
            </w:r>
          </w:p>
        </w:tc>
        <w:tc>
          <w:tcPr>
            <w:tcW w:type="dxa" w:w="11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pty.KycProfileItemLegalForm</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pty</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شروط ظهور البند بحسب الشكل القانوني؛ غياب الصفوف = ينطبق على الكل (G-15)</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TenantId, KycProfileItemId, LegalEntityTypeId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r>
      <w:tr>
        <w:trPr>
          <w:cantSplit/>
        </w:trPr>
        <w:tc>
          <w:tcPr>
            <w:tcW w:type="dxa" w:w="49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pty.Party</w:t>
            </w:r>
          </w:p>
        </w:tc>
        <w:tc>
          <w:tcPr>
            <w:tcW w:type="dxa" w:w="148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pty</w:t>
            </w:r>
          </w:p>
        </w:tc>
        <w:tc>
          <w:tcPr>
            <w:tcW w:type="dxa" w:w="966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شخص أو جهة؛ لا دور مخزَّن (FR-PTY-001..003، BR-PTY-001..004، BR-PTY-016..018)</w:t>
            </w:r>
          </w:p>
        </w:tc>
        <w:tc>
          <w:tcPr>
            <w:tcW w:type="dxa" w:w="37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PartyId</w:t>
            </w:r>
          </w:p>
        </w:tc>
        <w:tc>
          <w:tcPr>
            <w:tcW w:type="dxa" w:w="104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5</w:t>
            </w:r>
          </w:p>
        </w:tc>
        <w:tc>
          <w:tcPr>
            <w:tcW w:type="dxa" w:w="11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4</w:t>
            </w:r>
          </w:p>
        </w:tc>
      </w:tr>
    </w:tbl>
    <w:p>
      <w:pPr>
        <w:pStyle w:val="Heading2"/>
        <w:bidi/>
      </w:pPr>
      <w:r>
        <w:rPr>
          <w:rFonts w:ascii="Arial" w:cs="Arial" w:eastAsia="Arial" w:hAnsi="Arial"/>
          <w:b/>
          <w:bCs/>
          <w:color w:val="2B5C8A"/>
          <w:sz w:val="26"/>
          <w:szCs w:val="26"/>
          <w:rtl/>
        </w:rPr>
        <w:t xml:space="preserve">العلاقات</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5009"/>
        <w:gridCol w:w="4098"/>
        <w:gridCol w:w="3946"/>
        <w:gridCol w:w="1518"/>
        <w:gridCol w:w="1821"/>
        <w:gridCol w:w="3036"/>
        <w:gridCol w:w="1366"/>
        <w:gridCol w:w="1217"/>
      </w:tblGrid>
      <w:tr>
        <w:trPr>
          <w:cantSplit/>
          <w:tblHeader/>
        </w:trPr>
        <w:tc>
          <w:tcPr>
            <w:tcW w:type="dxa" w:w="50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409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394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51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82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303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136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121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pty.KycProfile</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InstitutionId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ins.Institution</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pty.KycProfile</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SourceDocumentId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pty.KycProfileItem</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ProfileId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pty.KycProfile</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pty.KycProfileItemLegalForm</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KycProfileItemId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pty.KycProfileItem</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حذف متسلسل</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pty.KycProfileItemLegalForm</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LegalEntityTypeId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cat.LegalEntityType</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pty.Party</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CountryId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ref.Country</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pty.Party</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BirthCountryId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ref.Country</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pty.Party</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EducationLevelId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cat.LookupItem</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pty.Party</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LinkedCompanyId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pty.Party</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MergedIntoPartyId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pty.Party</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bl>
    <w:p>
      <w:pPr>
        <w:pStyle w:val="Heading2"/>
        <w:bidi/>
      </w:pPr>
      <w:r>
        <w:rPr>
          <w:rFonts w:ascii="Arial" w:cs="Arial" w:eastAsia="Arial" w:hAnsi="Arial"/>
          <w:b/>
          <w:bCs/>
          <w:color w:val="2B5C8A"/>
          <w:sz w:val="26"/>
          <w:szCs w:val="26"/>
          <w:rtl/>
        </w:rPr>
        <w:t xml:space="preserve">3.18 م1 · الأشخاص والهوية و KYC (3/3)</w:t>
      </w:r>
    </w:p>
    <w:p>
      <w:pPr>
        <w:keepNext/>
        <w:bidi/>
        <w:spacing w:after="60" w:before="0"/>
      </w:pPr>
      <w:r>
        <w:rPr>
          <w:rFonts w:ascii="Arial" w:cs="Arial" w:eastAsia="Arial" w:hAnsi="Arial"/>
          <w:b w:val="false"/>
          <w:bCs w:val="false"/>
          <w:i w:val="false"/>
          <w:iCs w:val="false"/>
          <w:color w:val="5B6670"/>
          <w:sz w:val="16"/>
          <w:szCs w:val="16"/>
          <w:rtl/>
        </w:rPr>
        <w:t xml:space="preserve">Parties, identity documents &amp; KYC</w:t>
      </w:r>
    </w:p>
    <w:p>
      <w:pPr>
        <w:keepNext/>
        <w:bidi/>
        <w:spacing w:after="60" w:before="60"/>
        <w:jc w:val="center"/>
      </w:pPr>
      <w:r>
        <w:drawing>
          <wp:inline distT="0" distB="0" distL="0" distR="0">
            <wp:extent cx="13849350" cy="2819400"/>
            <wp:effectExtent t="0" r="0" b="0" l="0"/>
            <wp:docPr id="1" name="diagrams/erd/m1_party_3.png" descr="الشكل 25: م1 · الأشخاص والهوية و KYC (3/3) (3 جداول)" title="الشكل 25: م1 · الأشخاص والهوية و KYC (3/3) (3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3849350" cy="2819400"/>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25: م1 · الأشخاص والهوية و KYC (3/3) (3 جداول)</w:t>
      </w:r>
    </w:p>
    <w:p>
      <w:pPr>
        <w:pStyle w:val="Heading2"/>
        <w:bidi/>
      </w:pPr>
      <w:r>
        <w:rPr>
          <w:rFonts w:ascii="Arial" w:cs="Arial" w:eastAsia="Arial" w:hAnsi="Arial"/>
          <w:b/>
          <w:bCs/>
          <w:color w:val="2B5C8A"/>
          <w:sz w:val="26"/>
          <w:szCs w:val="26"/>
          <w:rtl/>
        </w:rPr>
        <w:t xml:space="preserve">الجداول</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4909"/>
        <w:gridCol w:w="1487"/>
        <w:gridCol w:w="9663"/>
        <w:gridCol w:w="3719"/>
        <w:gridCol w:w="1041"/>
        <w:gridCol w:w="1192"/>
      </w:tblGrid>
      <w:tr>
        <w:trPr>
          <w:cantSplit/>
          <w:tblHeader/>
        </w:trPr>
        <w:tc>
          <w:tcPr>
            <w:tcW w:type="dxa" w:w="49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48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966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371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104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119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pty.PartyCompliance</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pty</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إقرارات امتثال بتاريخ لكل شخص بصفته: PEP، عقوبات، تحقيقات، حصانة (G-9)</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PartyComplianceId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r>
        <w:trPr>
          <w:cantSplit/>
        </w:trPr>
        <w:tc>
          <w:tcPr>
            <w:tcW w:type="dxa" w:w="49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pty.PartyCustomField</w:t>
            </w:r>
          </w:p>
        </w:tc>
        <w:tc>
          <w:tcPr>
            <w:tcW w:type="dxa" w:w="148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pty</w:t>
            </w:r>
          </w:p>
        </w:tc>
        <w:tc>
          <w:tcPr>
            <w:tcW w:type="dxa" w:w="966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قيمة حقل مخصص لشخص (FR-PTY-013، FR-PTY-014)</w:t>
            </w:r>
          </w:p>
        </w:tc>
        <w:tc>
          <w:tcPr>
            <w:tcW w:type="dxa" w:w="37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PartyCustomFieldId</w:t>
            </w:r>
          </w:p>
        </w:tc>
        <w:tc>
          <w:tcPr>
            <w:tcW w:type="dxa" w:w="104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4</w:t>
            </w:r>
          </w:p>
        </w:tc>
        <w:tc>
          <w:tcPr>
            <w:tcW w:type="dxa" w:w="11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pty.TaxIdentity</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pty</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الهوية الضريبية والإقرار الضريبي FATCA/CRS (G-13)</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TaxIdentityId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5</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bl>
    <w:p>
      <w:pPr>
        <w:pStyle w:val="Heading2"/>
        <w:bidi/>
      </w:pPr>
      <w:r>
        <w:rPr>
          <w:rFonts w:ascii="Arial" w:cs="Arial" w:eastAsia="Arial" w:hAnsi="Arial"/>
          <w:b/>
          <w:bCs/>
          <w:color w:val="2B5C8A"/>
          <w:sz w:val="26"/>
          <w:szCs w:val="26"/>
          <w:rtl/>
        </w:rPr>
        <w:t xml:space="preserve">العلاقات</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5009"/>
        <w:gridCol w:w="4098"/>
        <w:gridCol w:w="3946"/>
        <w:gridCol w:w="1518"/>
        <w:gridCol w:w="1821"/>
        <w:gridCol w:w="3036"/>
        <w:gridCol w:w="1366"/>
        <w:gridCol w:w="1217"/>
      </w:tblGrid>
      <w:tr>
        <w:trPr>
          <w:cantSplit/>
          <w:tblHeader/>
        </w:trPr>
        <w:tc>
          <w:tcPr>
            <w:tcW w:type="dxa" w:w="50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409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394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51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82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303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136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121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pty.PartyCompliance</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PartyId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pty.Party</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pty.PartyCompliance</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CompanyId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pty.PartyCompliance</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SourceDocumentId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pty.PartyCustomField</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PartyId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pty.Party</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pty.PartyCustomField</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DefinitionId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pty.CustomFieldDefinition</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pty.PartyCustomField</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EncKeyId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sec.TenantKey</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EncKeyPurpose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pty.PartyCustomField</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CurrencyId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ref.Currency</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pty.TaxIdentity</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PartyId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pty.Party</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pty.TaxIdentity</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CountryId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ref.Country</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pty.TaxIdentity</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FatcaClassificationId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cat.LookupItem</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pty.TaxIdentity</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CrsClassificationId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cat.LookupItem</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pty.TaxIdentity</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SourceDocumentId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bl>
    <w:p>
      <w:pPr>
        <w:pStyle w:val="Heading2"/>
        <w:bidi/>
      </w:pPr>
      <w:r>
        <w:rPr>
          <w:rFonts w:ascii="Arial" w:cs="Arial" w:eastAsia="Arial" w:hAnsi="Arial"/>
          <w:b/>
          <w:bCs/>
          <w:color w:val="2B5C8A"/>
          <w:sz w:val="26"/>
          <w:szCs w:val="26"/>
          <w:rtl/>
        </w:rPr>
        <w:t xml:space="preserve">3.19 م2–م3 · الجهات المالية والحسابات والمفوّضون (1/3)</w:t>
      </w:r>
    </w:p>
    <w:p>
      <w:pPr>
        <w:keepNext/>
        <w:bidi/>
        <w:spacing w:after="60" w:before="0"/>
      </w:pPr>
      <w:r>
        <w:rPr>
          <w:rFonts w:ascii="Arial" w:cs="Arial" w:eastAsia="Arial" w:hAnsi="Arial"/>
          <w:b w:val="false"/>
          <w:bCs w:val="false"/>
          <w:i w:val="false"/>
          <w:iCs w:val="false"/>
          <w:color w:val="5B6670"/>
          <w:sz w:val="16"/>
          <w:szCs w:val="16"/>
          <w:rtl/>
        </w:rPr>
        <w:t xml:space="preserve">Institutions, bank accounts &amp; signatories</w:t>
      </w:r>
    </w:p>
    <w:p>
      <w:pPr>
        <w:keepNext/>
        <w:bidi/>
        <w:spacing w:after="60" w:before="60"/>
        <w:jc w:val="center"/>
      </w:pPr>
      <w:r>
        <w:drawing>
          <wp:inline distT="0" distB="0" distL="0" distR="0">
            <wp:extent cx="7172325" cy="7620000"/>
            <wp:effectExtent t="0" r="0" b="0" l="0"/>
            <wp:docPr id="1" name="diagrams/erd/m2_3_institutions_1.png" descr="الشكل 26: م2–م3 · الجهات المالية والحسابات والمفوّضون (1/3) (4 جداول)" title="الشكل 26: م2–م3 · الجهات المالية والحسابات والمفوّضون (1/3) (4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7172325" cy="7620000"/>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26: م2–م3 · الجهات المالية والحسابات والمفوّضون (1/3) (4 جداول)</w:t>
      </w:r>
    </w:p>
    <w:p>
      <w:pPr>
        <w:pStyle w:val="Heading2"/>
        <w:bidi/>
      </w:pPr>
      <w:r>
        <w:rPr>
          <w:rFonts w:ascii="Arial" w:cs="Arial" w:eastAsia="Arial" w:hAnsi="Arial"/>
          <w:b/>
          <w:bCs/>
          <w:color w:val="2B5C8A"/>
          <w:sz w:val="26"/>
          <w:szCs w:val="26"/>
          <w:rtl/>
        </w:rPr>
        <w:t xml:space="preserve">الجداول</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4909"/>
        <w:gridCol w:w="1487"/>
        <w:gridCol w:w="9663"/>
        <w:gridCol w:w="3719"/>
        <w:gridCol w:w="1041"/>
        <w:gridCol w:w="1192"/>
      </w:tblGrid>
      <w:tr>
        <w:trPr>
          <w:cantSplit/>
          <w:tblHeader/>
        </w:trPr>
        <w:tc>
          <w:tcPr>
            <w:tcW w:type="dxa" w:w="49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48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966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371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104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119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ins.Contact</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ins</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جهة اتصال لدى البنك: سجل خفيف بلا هوية، PartyId اختياري للترقية (FR-INS-007/008، BR-INS-005/006/014)</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ContactId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4</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4</w:t>
            </w:r>
          </w:p>
        </w:tc>
      </w:tr>
      <w:tr>
        <w:trPr>
          <w:cantSplit/>
        </w:trPr>
        <w:tc>
          <w:tcPr>
            <w:tcW w:type="dxa" w:w="49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ins.Institution</w:t>
            </w:r>
          </w:p>
        </w:tc>
        <w:tc>
          <w:tcPr>
            <w:tcW w:type="dxa" w:w="148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ins</w:t>
            </w:r>
          </w:p>
        </w:tc>
        <w:tc>
          <w:tcPr>
            <w:tcW w:type="dxa" w:w="966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المنشأة المالية (FR-INS-001..004، BR-INS-001..003، BR-INS-012)؛ Locality محلي/أجنبي مشتقة (BR-INS-002) فلا تُخزَّن</w:t>
            </w:r>
          </w:p>
        </w:tc>
        <w:tc>
          <w:tcPr>
            <w:tcW w:type="dxa" w:w="37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InstitutionId</w:t>
            </w:r>
          </w:p>
        </w:tc>
        <w:tc>
          <w:tcPr>
            <w:tcW w:type="dxa" w:w="104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c>
          <w:tcPr>
            <w:tcW w:type="dxa" w:w="11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4</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ins.InstitutionUnit</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ins</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وحدة في هيكل المنشأة: إدارة/قسم/فرع، شجرة ذاتية حتى 4 مستويات (FR-INS-005/006، BR-INS-004)</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InstitutionUnitId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r>
        <w:trPr>
          <w:cantSplit/>
        </w:trPr>
        <w:tc>
          <w:tcPr>
            <w:tcW w:type="dxa" w:w="49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ins.Relationship</w:t>
            </w:r>
          </w:p>
        </w:tc>
        <w:tc>
          <w:tcPr>
            <w:tcW w:type="dxa" w:w="148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ins</w:t>
            </w:r>
          </w:p>
        </w:tc>
        <w:tc>
          <w:tcPr>
            <w:tcW w:type="dxa" w:w="966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علاقة شركة–منشأة (D-4)؛ فريدة مهما كانت حالتها (FR-INS-009، BR-INS-007/011)</w:t>
            </w:r>
          </w:p>
        </w:tc>
        <w:tc>
          <w:tcPr>
            <w:tcW w:type="dxa" w:w="37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RelationshipId</w:t>
            </w:r>
          </w:p>
        </w:tc>
        <w:tc>
          <w:tcPr>
            <w:tcW w:type="dxa" w:w="104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c>
          <w:tcPr>
            <w:tcW w:type="dxa" w:w="11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5</w:t>
            </w:r>
          </w:p>
        </w:tc>
      </w:tr>
    </w:tbl>
    <w:p>
      <w:pPr>
        <w:pStyle w:val="Heading2"/>
        <w:bidi/>
      </w:pPr>
      <w:r>
        <w:rPr>
          <w:rFonts w:ascii="Arial" w:cs="Arial" w:eastAsia="Arial" w:hAnsi="Arial"/>
          <w:b/>
          <w:bCs/>
          <w:color w:val="2B5C8A"/>
          <w:sz w:val="26"/>
          <w:szCs w:val="26"/>
          <w:rtl/>
        </w:rPr>
        <w:t xml:space="preserve">العلاقات</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5009"/>
        <w:gridCol w:w="4098"/>
        <w:gridCol w:w="3946"/>
        <w:gridCol w:w="1518"/>
        <w:gridCol w:w="1821"/>
        <w:gridCol w:w="3036"/>
        <w:gridCol w:w="1366"/>
        <w:gridCol w:w="1217"/>
      </w:tblGrid>
      <w:tr>
        <w:trPr>
          <w:cantSplit/>
          <w:tblHeader/>
        </w:trPr>
        <w:tc>
          <w:tcPr>
            <w:tcW w:type="dxa" w:w="50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409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394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51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82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303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136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121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ins.Contact</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InstitutionId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ins.Institution</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ins.Contact</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UnitId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ins.InstitutionUnit</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InstitutionId</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ins.Contact</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ReportsToContactId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ins.Contact</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InstitutionId</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ins.Contact</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PartyId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pty.Party</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ins.Institution</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InstitutionTypeId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cat.InstitutionType</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ins.Institution</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CountryId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ref.Country</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ins.Institution</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PartyId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pty.Party</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ins.InstitutionUnit</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InstitutionId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ins.Institution</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ins.InstitutionUnit</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ParentUnitId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ins.InstitutionUnit</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InstitutionId</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ins.InstitutionUnit</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UnitTypeId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cat.LookupItem</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ins.Relationship</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CompanyId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ins.Relationship</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InstitutionId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ins.Institution</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bl>
    <w:p>
      <w:pPr>
        <w:pStyle w:val="Heading2"/>
        <w:bidi/>
      </w:pPr>
      <w:r>
        <w:rPr>
          <w:rFonts w:ascii="Arial" w:cs="Arial" w:eastAsia="Arial" w:hAnsi="Arial"/>
          <w:b/>
          <w:bCs/>
          <w:color w:val="2B5C8A"/>
          <w:sz w:val="26"/>
          <w:szCs w:val="26"/>
          <w:rtl/>
        </w:rPr>
        <w:t xml:space="preserve">3.20 م2–م3 · الجهات المالية والحسابات والمفوّضون (2/3)</w:t>
      </w:r>
    </w:p>
    <w:p>
      <w:pPr>
        <w:keepNext/>
        <w:bidi/>
        <w:spacing w:after="60" w:before="0"/>
      </w:pPr>
      <w:r>
        <w:rPr>
          <w:rFonts w:ascii="Arial" w:cs="Arial" w:eastAsia="Arial" w:hAnsi="Arial"/>
          <w:b w:val="false"/>
          <w:bCs w:val="false"/>
          <w:i w:val="false"/>
          <w:iCs w:val="false"/>
          <w:color w:val="5B6670"/>
          <w:sz w:val="16"/>
          <w:szCs w:val="16"/>
          <w:rtl/>
        </w:rPr>
        <w:t xml:space="preserve">Institutions, bank accounts &amp; signatories</w:t>
      </w:r>
    </w:p>
    <w:p>
      <w:pPr>
        <w:keepNext/>
        <w:bidi/>
        <w:spacing w:after="60" w:before="60"/>
        <w:jc w:val="center"/>
      </w:pPr>
      <w:r>
        <w:drawing>
          <wp:inline distT="0" distB="0" distL="0" distR="0">
            <wp:extent cx="13973175" cy="5229225"/>
            <wp:effectExtent t="0" r="0" b="0" l="0"/>
            <wp:docPr id="1" name="diagrams/erd/m2_3_institutions_2.png" descr="الشكل 27: م2–م3 · الجهات المالية والحسابات والمفوّضون (2/3) (4 جداول)" title="الشكل 27: م2–م3 · الجهات المالية والحسابات والمفوّضون (2/3) (4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3973175" cy="5229225"/>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27: م2–م3 · الجهات المالية والحسابات والمفوّضون (2/3) (4 جداول)</w:t>
      </w:r>
    </w:p>
    <w:p>
      <w:pPr>
        <w:pStyle w:val="Heading2"/>
        <w:bidi/>
      </w:pPr>
      <w:r>
        <w:rPr>
          <w:rFonts w:ascii="Arial" w:cs="Arial" w:eastAsia="Arial" w:hAnsi="Arial"/>
          <w:b/>
          <w:bCs/>
          <w:color w:val="2B5C8A"/>
          <w:sz w:val="26"/>
          <w:szCs w:val="26"/>
          <w:rtl/>
        </w:rPr>
        <w:t xml:space="preserve">الجداول</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4909"/>
        <w:gridCol w:w="1487"/>
        <w:gridCol w:w="9663"/>
        <w:gridCol w:w="3719"/>
        <w:gridCol w:w="1041"/>
        <w:gridCol w:w="1192"/>
      </w:tblGrid>
      <w:tr>
        <w:trPr>
          <w:cantSplit/>
          <w:tblHeader/>
        </w:trPr>
        <w:tc>
          <w:tcPr>
            <w:tcW w:type="dxa" w:w="49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48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966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371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104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119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ins.RelationshipContact</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ins</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تغطية العلاقة (الطبقة الأولى): جهة اتصال بدور ورتبة وفترة (FR-INS-010، BR-INS-008/009)</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RelationshipContactId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4</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5</w:t>
            </w:r>
          </w:p>
        </w:tc>
      </w:tr>
      <w:tr>
        <w:trPr>
          <w:cantSplit/>
        </w:trPr>
        <w:tc>
          <w:tcPr>
            <w:tcW w:type="dxa" w:w="49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ins.RelationshipProduct</w:t>
            </w:r>
          </w:p>
        </w:tc>
        <w:tc>
          <w:tcPr>
            <w:tcW w:type="dxa" w:w="148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ins</w:t>
            </w:r>
          </w:p>
        </w:tc>
        <w:tc>
          <w:tcPr>
            <w:tcW w:type="dxa" w:w="966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منتج يُتعامل به ضمن علاقة مع جهة افتراضية وقناة (FR-INS-011..013، BR-INS-010)</w:t>
            </w:r>
          </w:p>
        </w:tc>
        <w:tc>
          <w:tcPr>
            <w:tcW w:type="dxa" w:w="37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RelationshipProductId</w:t>
            </w:r>
          </w:p>
        </w:tc>
        <w:tc>
          <w:tcPr>
            <w:tcW w:type="dxa" w:w="104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4</w:t>
            </w:r>
          </w:p>
        </w:tc>
        <w:tc>
          <w:tcPr>
            <w:tcW w:type="dxa" w:w="11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acc.AuthorityConflict</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acc</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نتيجة مقارنة صلاحية المفوّض بالحوكمة وقرار المراجع (S1-ب) (FR-ACC-018، BR-ACC-015)</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AuthorityConflictId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r>
        <w:trPr>
          <w:cantSplit/>
        </w:trPr>
        <w:tc>
          <w:tcPr>
            <w:tcW w:type="dxa" w:w="49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acc.BankAccount</w:t>
            </w:r>
          </w:p>
        </w:tc>
        <w:tc>
          <w:tcPr>
            <w:tcW w:type="dxa" w:w="148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acc</w:t>
            </w:r>
          </w:p>
        </w:tc>
        <w:tc>
          <w:tcPr>
            <w:tcW w:type="dxa" w:w="966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حساب شركة لدى منشأة (FR-ACC-001..009، BR-ACC-001..006، BR-ACC-016)؛ الرقم وIBAN مشفّران بفهرس أعمى للفرادة</w:t>
            </w:r>
          </w:p>
        </w:tc>
        <w:tc>
          <w:tcPr>
            <w:tcW w:type="dxa" w:w="37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BankAccountId</w:t>
            </w:r>
          </w:p>
        </w:tc>
        <w:tc>
          <w:tcPr>
            <w:tcW w:type="dxa" w:w="104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9</w:t>
            </w:r>
          </w:p>
        </w:tc>
        <w:tc>
          <w:tcPr>
            <w:tcW w:type="dxa" w:w="11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8</w:t>
            </w:r>
          </w:p>
        </w:tc>
      </w:tr>
    </w:tbl>
    <w:p>
      <w:pPr>
        <w:pStyle w:val="Heading2"/>
        <w:bidi/>
      </w:pPr>
      <w:r>
        <w:rPr>
          <w:rFonts w:ascii="Arial" w:cs="Arial" w:eastAsia="Arial" w:hAnsi="Arial"/>
          <w:b/>
          <w:bCs/>
          <w:color w:val="2B5C8A"/>
          <w:sz w:val="26"/>
          <w:szCs w:val="26"/>
          <w:rtl/>
        </w:rPr>
        <w:t xml:space="preserve">العلاقات</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5009"/>
        <w:gridCol w:w="4098"/>
        <w:gridCol w:w="3946"/>
        <w:gridCol w:w="1518"/>
        <w:gridCol w:w="1821"/>
        <w:gridCol w:w="3036"/>
        <w:gridCol w:w="1366"/>
        <w:gridCol w:w="1217"/>
      </w:tblGrid>
      <w:tr>
        <w:trPr>
          <w:cantSplit/>
          <w:tblHeader/>
        </w:trPr>
        <w:tc>
          <w:tcPr>
            <w:tcW w:type="dxa" w:w="50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409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394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51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82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303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136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121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ins.RelationshipContact</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InstitutionId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ins.Institution</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ins.RelationshipContact</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RelationshipId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ins.Relationship</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InstitutionId</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ins.RelationshipContact</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ContactId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ins.Contact</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InstitutionId</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ins.RelationshipContact</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RoleId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cat.LookupItem</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ins.RelationshipProduct</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InstitutionId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ins.Institution</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ins.RelationshipProduct</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RelationshipId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ins.Relationship</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InstitutionId</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ins.RelationshipProduct</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ProductId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cat.Product</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ins.RelationshipProduct</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DefaultContactId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ins.Contact</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InstitutionId</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acc.AuthorityConflict</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SignatoryAuthorityId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acc.SignatoryAuthority</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acc.AuthorityConflict</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ReviewedBy</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acc.BankAccount</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CompanyId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acc.BankAccount</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InstitutionId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ins.Institution</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acc.BankAccount</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RelationshipId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ins.Relationship</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CompanyId, InstitutionId</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acc.BankAccount</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AccountTypeId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cat.AccountType</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acc.BankAccount</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MasterAccountId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acc.BankAccount</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CompanyId, InstitutionId, CurrencyId</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acc.BankAccount</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CurrencyId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ref.Currency</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acc.BankAccount</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EncKeyId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sec.TenantKey</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EncKeyPurpose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acc.BankAccount</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HashKeyId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sec.TenantKey</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HashKeyPurpose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acc.BankAccount</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BranchUnitId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ins.InstitutionUnit</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InstitutionId</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bl>
    <w:p>
      <w:pPr>
        <w:pStyle w:val="Heading2"/>
        <w:bidi/>
      </w:pPr>
      <w:r>
        <w:rPr>
          <w:rFonts w:ascii="Arial" w:cs="Arial" w:eastAsia="Arial" w:hAnsi="Arial"/>
          <w:b/>
          <w:bCs/>
          <w:color w:val="2B5C8A"/>
          <w:sz w:val="26"/>
          <w:szCs w:val="26"/>
          <w:rtl/>
        </w:rPr>
        <w:t xml:space="preserve">3.21 م2–م3 · الجهات المالية والحسابات والمفوّضون (3/3)</w:t>
      </w:r>
    </w:p>
    <w:p>
      <w:pPr>
        <w:keepNext/>
        <w:bidi/>
        <w:spacing w:after="60" w:before="0"/>
      </w:pPr>
      <w:r>
        <w:rPr>
          <w:rFonts w:ascii="Arial" w:cs="Arial" w:eastAsia="Arial" w:hAnsi="Arial"/>
          <w:b w:val="false"/>
          <w:bCs w:val="false"/>
          <w:i w:val="false"/>
          <w:iCs w:val="false"/>
          <w:color w:val="5B6670"/>
          <w:sz w:val="16"/>
          <w:szCs w:val="16"/>
          <w:rtl/>
        </w:rPr>
        <w:t xml:space="preserve">Institutions, bank accounts &amp; signatories</w:t>
      </w:r>
    </w:p>
    <w:p>
      <w:pPr>
        <w:keepNext/>
        <w:bidi/>
        <w:spacing w:after="60" w:before="60"/>
        <w:jc w:val="center"/>
      </w:pPr>
      <w:r>
        <w:drawing>
          <wp:inline distT="0" distB="0" distL="0" distR="0">
            <wp:extent cx="5191125" cy="7620000"/>
            <wp:effectExtent t="0" r="0" b="0" l="0"/>
            <wp:docPr id="1" name="diagrams/erd/m2_3_institutions_3.png" descr="الشكل 28: م2–م3 · الجهات المالية والحسابات والمفوّضون (3/3) (4 جداول)" title="الشكل 28: م2–م3 · الجهات المالية والحسابات والمفوّضون (3/3) (4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191125" cy="7620000"/>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28: م2–م3 · الجهات المالية والحسابات والمفوّضون (3/3) (4 جداول)</w:t>
      </w:r>
    </w:p>
    <w:p>
      <w:pPr>
        <w:pStyle w:val="Heading2"/>
        <w:bidi/>
      </w:pPr>
      <w:r>
        <w:rPr>
          <w:rFonts w:ascii="Arial" w:cs="Arial" w:eastAsia="Arial" w:hAnsi="Arial"/>
          <w:b/>
          <w:bCs/>
          <w:color w:val="2B5C8A"/>
          <w:sz w:val="26"/>
          <w:szCs w:val="26"/>
          <w:rtl/>
        </w:rPr>
        <w:t xml:space="preserve">الجداول</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4909"/>
        <w:gridCol w:w="1487"/>
        <w:gridCol w:w="9663"/>
        <w:gridCol w:w="3719"/>
        <w:gridCol w:w="1041"/>
        <w:gridCol w:w="1192"/>
      </w:tblGrid>
      <w:tr>
        <w:trPr>
          <w:cantSplit/>
          <w:tblHeader/>
        </w:trPr>
        <w:tc>
          <w:tcPr>
            <w:tcW w:type="dxa" w:w="49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48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966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371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104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119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acc.FacilityAccount</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acc</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ربط حساب بتسهيل بغرض (S2) (FR-ACC-010، BR-ACC-007)؛ يُملأ من شاشة التسهيل</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FacilityAccountId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4</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r>
        <w:trPr>
          <w:cantSplit/>
        </w:trPr>
        <w:tc>
          <w:tcPr>
            <w:tcW w:type="dxa" w:w="49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acc.Signatory</w:t>
            </w:r>
          </w:p>
        </w:tc>
        <w:tc>
          <w:tcPr>
            <w:tcW w:type="dxa" w:w="148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acc</w:t>
            </w:r>
          </w:p>
        </w:tc>
        <w:tc>
          <w:tcPr>
            <w:tcW w:type="dxa" w:w="966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تفويض شخص لدى علاقة (S1-ب) (FR-ACC-012، FR-ACC-023، BR-ACC-008/009) + إضافات docs/05 G-10</w:t>
            </w:r>
          </w:p>
        </w:tc>
        <w:tc>
          <w:tcPr>
            <w:tcW w:type="dxa" w:w="37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SignatoryId</w:t>
            </w:r>
          </w:p>
        </w:tc>
        <w:tc>
          <w:tcPr>
            <w:tcW w:type="dxa" w:w="104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8</w:t>
            </w:r>
          </w:p>
        </w:tc>
        <w:tc>
          <w:tcPr>
            <w:tcW w:type="dxa" w:w="11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5</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acc.SignatoryAuthority</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acc</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صلاحية المفوّض لعملية على حساب أو على البنك (S1-ب) (FR-ACC-013/014/017، BR-ACC-010/011)؛ لا تعديل في مكانه: الإغلاق والفتح؛ حالتها مشتقة فلا تُخزَّن</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SignatoryAuthorityId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7</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4</w:t>
            </w:r>
          </w:p>
        </w:tc>
      </w:tr>
      <w:tr>
        <w:trPr>
          <w:cantSplit/>
        </w:trPr>
        <w:tc>
          <w:tcPr>
            <w:tcW w:type="dxa" w:w="49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acc.SignatoryAuthorityJointClass</w:t>
            </w:r>
          </w:p>
        </w:tc>
        <w:tc>
          <w:tcPr>
            <w:tcW w:type="dxa" w:w="148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acc</w:t>
            </w:r>
          </w:p>
        </w:tc>
        <w:tc>
          <w:tcPr>
            <w:tcW w:type="dxa" w:w="966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فئات التوقيع المطلوبة للتوقيع المشترك (JointClassIds) (BR-ACC-013)</w:t>
            </w:r>
          </w:p>
        </w:tc>
        <w:tc>
          <w:tcPr>
            <w:tcW w:type="dxa" w:w="37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TenantId, SignatoryAuthorityId, SignatureClassId</w:t>
            </w:r>
          </w:p>
        </w:tc>
        <w:tc>
          <w:tcPr>
            <w:tcW w:type="dxa" w:w="104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c>
          <w:tcPr>
            <w:tcW w:type="dxa" w:w="11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r>
    </w:tbl>
    <w:p>
      <w:pPr>
        <w:pStyle w:val="Heading2"/>
        <w:bidi/>
      </w:pPr>
      <w:r>
        <w:rPr>
          <w:rFonts w:ascii="Arial" w:cs="Arial" w:eastAsia="Arial" w:hAnsi="Arial"/>
          <w:b/>
          <w:bCs/>
          <w:color w:val="2B5C8A"/>
          <w:sz w:val="26"/>
          <w:szCs w:val="26"/>
          <w:rtl/>
        </w:rPr>
        <w:t xml:space="preserve">العلاقات</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5009"/>
        <w:gridCol w:w="4098"/>
        <w:gridCol w:w="3946"/>
        <w:gridCol w:w="1518"/>
        <w:gridCol w:w="1821"/>
        <w:gridCol w:w="3036"/>
        <w:gridCol w:w="1366"/>
        <w:gridCol w:w="1217"/>
      </w:tblGrid>
      <w:tr>
        <w:trPr>
          <w:cantSplit/>
          <w:tblHeader/>
        </w:trPr>
        <w:tc>
          <w:tcPr>
            <w:tcW w:type="dxa" w:w="50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409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394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51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82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303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136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121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acc.FacilityAccount</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FacilityId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fac.Facility</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acc.FacilityAccount</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BankAccountId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acc.BankAccount</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CurrencyId</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acc.FacilityAccount</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CurrencyId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ref.Currency</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acc.FacilityAccount</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PurposeId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cat.LookupItem</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acc.Signatory</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RelationshipId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ins.Relationship</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acc.Signatory</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PartyId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pty.Party</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acc.Signatory</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SignatureClassId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cat.LookupItem</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acc.Signatory</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PositionId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cat.Position</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acc.Signatory</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AuthorisationBasisId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cat.LookupItem</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acc.Signatory</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CashWithdrawalCurrencyId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ref.Currency</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acc.Signatory</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AuthorizationDocumentId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acc.Signatory</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SpecimenDocumentId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acc.SignatoryAuthority</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RelationshipId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ins.Relationship</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acc.SignatoryAuthority</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SignatoryId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acc.Signatory</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RelationshipId</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acc.SignatoryAuthority</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BankAccountId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acc.BankAccount</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RelationshipId</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acc.SignatoryAuthority</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OperationTypeId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cat.OperationType</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acc.SignatoryAuthority</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CurrencyId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ref.Currency</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acc.SignatoryAuthority</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SourceDocumentId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acc.SignatoryAuthority</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SupersededById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acc.SignatoryAuthority</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SignatoryId</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acc.SignatoryAuthorityJointClass</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SignatoryAuthorityId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acc.SignatoryAuthority</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acc.SignatoryAuthorityJointClass</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SignatureClassId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cat.LookupItem</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bl>
    <w:p>
      <w:pPr>
        <w:pStyle w:val="Heading2"/>
        <w:bidi/>
      </w:pPr>
      <w:r>
        <w:rPr>
          <w:rFonts w:ascii="Arial" w:cs="Arial" w:eastAsia="Arial" w:hAnsi="Arial"/>
          <w:b/>
          <w:bCs/>
          <w:color w:val="2B5C8A"/>
          <w:sz w:val="26"/>
          <w:szCs w:val="26"/>
          <w:rtl/>
        </w:rPr>
        <w:t xml:space="preserve">3.22 م4 · المنتجات والرسوم والتمويل والضمانات (1/3)</w:t>
      </w:r>
    </w:p>
    <w:p>
      <w:pPr>
        <w:keepNext/>
        <w:bidi/>
        <w:spacing w:after="60" w:before="0"/>
      </w:pPr>
      <w:r>
        <w:rPr>
          <w:rFonts w:ascii="Arial" w:cs="Arial" w:eastAsia="Arial" w:hAnsi="Arial"/>
          <w:b w:val="false"/>
          <w:bCs w:val="false"/>
          <w:i w:val="false"/>
          <w:iCs w:val="false"/>
          <w:color w:val="5B6670"/>
          <w:sz w:val="16"/>
          <w:szCs w:val="16"/>
          <w:rtl/>
        </w:rPr>
        <w:t xml:space="preserve">Products, fees, financing &amp; collateral types</w:t>
      </w:r>
    </w:p>
    <w:p>
      <w:pPr>
        <w:keepNext/>
        <w:bidi/>
        <w:spacing w:after="60" w:before="60"/>
        <w:jc w:val="center"/>
      </w:pPr>
      <w:r>
        <w:drawing>
          <wp:inline distT="0" distB="0" distL="0" distR="0">
            <wp:extent cx="11934825" cy="3571875"/>
            <wp:effectExtent t="0" r="0" b="0" l="0"/>
            <wp:docPr id="1" name="diagrams/erd/m4_products_1.png" descr="الشكل 29: م4 · المنتجات والرسوم والتمويل والضمانات (1/3) (4 جداول)" title="الشكل 29: م4 · المنتجات والرسوم والتمويل والضمانات (1/3) (4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1934825" cy="3571875"/>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29: م4 · المنتجات والرسوم والتمويل والضمانات (1/3) (4 جداول)</w:t>
      </w:r>
    </w:p>
    <w:p>
      <w:pPr>
        <w:pStyle w:val="Heading2"/>
        <w:bidi/>
      </w:pPr>
      <w:r>
        <w:rPr>
          <w:rFonts w:ascii="Arial" w:cs="Arial" w:eastAsia="Arial" w:hAnsi="Arial"/>
          <w:b/>
          <w:bCs/>
          <w:color w:val="2B5C8A"/>
          <w:sz w:val="26"/>
          <w:szCs w:val="26"/>
          <w:rtl/>
        </w:rPr>
        <w:t xml:space="preserve">الجداول</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4909"/>
        <w:gridCol w:w="1487"/>
        <w:gridCol w:w="9663"/>
        <w:gridCol w:w="3719"/>
        <w:gridCol w:w="1041"/>
        <w:gridCol w:w="1192"/>
      </w:tblGrid>
      <w:tr>
        <w:trPr>
          <w:cantSplit/>
          <w:tblHeader/>
        </w:trPr>
        <w:tc>
          <w:tcPr>
            <w:tcW w:type="dxa" w:w="49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48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966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371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104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119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cat.ProductCategory</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cat</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تصنيف المنتجات: مسطّح (FR-CAT-007)</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ProductCategoryId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r>
        <w:trPr>
          <w:cantSplit/>
        </w:trPr>
        <w:tc>
          <w:tcPr>
            <w:tcW w:type="dxa" w:w="49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cat.Product</w:t>
            </w:r>
          </w:p>
        </w:tc>
        <w:tc>
          <w:tcPr>
            <w:tcW w:type="dxa" w:w="148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cat</w:t>
            </w:r>
          </w:p>
        </w:tc>
        <w:tc>
          <w:tcPr>
            <w:tcW w:type="dxa" w:w="966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المنتج البنكي بأعلامه (FR-CAT-007، BR-CAT-004)</w:t>
            </w:r>
          </w:p>
        </w:tc>
        <w:tc>
          <w:tcPr>
            <w:tcW w:type="dxa" w:w="37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ProductId</w:t>
            </w:r>
          </w:p>
        </w:tc>
        <w:tc>
          <w:tcPr>
            <w:tcW w:type="dxa" w:w="104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w:t>
            </w:r>
          </w:p>
        </w:tc>
        <w:tc>
          <w:tcPr>
            <w:tcW w:type="dxa" w:w="11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4</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cat.FeeType</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cat</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نوع المصروف: فئة عريضة لا بند تعرفة (FR-CAT-008، BR-CAT-005، Q-CAT-10)</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FeeTypeId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r>
        <w:trPr>
          <w:cantSplit/>
        </w:trPr>
        <w:tc>
          <w:tcPr>
            <w:tcW w:type="dxa" w:w="49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cat.FinancingType</w:t>
            </w:r>
          </w:p>
        </w:tc>
        <w:tc>
          <w:tcPr>
            <w:tcW w:type="dxa" w:w="148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cat</w:t>
            </w:r>
          </w:p>
        </w:tc>
        <w:tc>
          <w:tcPr>
            <w:tcW w:type="dxa" w:w="966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نوع التمويل (FR-CAT-009، BR-CAT-006)</w:t>
            </w:r>
          </w:p>
        </w:tc>
        <w:tc>
          <w:tcPr>
            <w:tcW w:type="dxa" w:w="37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FinancingTypeId</w:t>
            </w:r>
          </w:p>
        </w:tc>
        <w:tc>
          <w:tcPr>
            <w:tcW w:type="dxa" w:w="104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c>
          <w:tcPr>
            <w:tcW w:type="dxa" w:w="11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bl>
    <w:p>
      <w:pPr>
        <w:pStyle w:val="Heading2"/>
        <w:bidi/>
      </w:pPr>
      <w:r>
        <w:rPr>
          <w:rFonts w:ascii="Arial" w:cs="Arial" w:eastAsia="Arial" w:hAnsi="Arial"/>
          <w:b/>
          <w:bCs/>
          <w:color w:val="2B5C8A"/>
          <w:sz w:val="26"/>
          <w:szCs w:val="26"/>
          <w:rtl/>
        </w:rPr>
        <w:t xml:space="preserve">العلاقات</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5009"/>
        <w:gridCol w:w="4098"/>
        <w:gridCol w:w="3946"/>
        <w:gridCol w:w="1518"/>
        <w:gridCol w:w="1821"/>
        <w:gridCol w:w="3036"/>
        <w:gridCol w:w="1366"/>
        <w:gridCol w:w="1217"/>
      </w:tblGrid>
      <w:tr>
        <w:trPr>
          <w:cantSplit/>
          <w:tblHeader/>
        </w:trPr>
        <w:tc>
          <w:tcPr>
            <w:tcW w:type="dxa" w:w="50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409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394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51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82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303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136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121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cat.Product</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ProductCategoryId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cat.ProductCategory</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bl>
    <w:p>
      <w:pPr>
        <w:pStyle w:val="Heading2"/>
        <w:bidi/>
      </w:pPr>
      <w:r>
        <w:rPr>
          <w:rFonts w:ascii="Arial" w:cs="Arial" w:eastAsia="Arial" w:hAnsi="Arial"/>
          <w:b/>
          <w:bCs/>
          <w:color w:val="2B5C8A"/>
          <w:sz w:val="26"/>
          <w:szCs w:val="26"/>
          <w:rtl/>
        </w:rPr>
        <w:t xml:space="preserve">3.23 م4 · المنتجات والرسوم والتمويل والضمانات (2/3)</w:t>
      </w:r>
    </w:p>
    <w:p>
      <w:pPr>
        <w:keepNext/>
        <w:bidi/>
        <w:spacing w:after="60" w:before="0"/>
      </w:pPr>
      <w:r>
        <w:rPr>
          <w:rFonts w:ascii="Arial" w:cs="Arial" w:eastAsia="Arial" w:hAnsi="Arial"/>
          <w:b w:val="false"/>
          <w:bCs w:val="false"/>
          <w:i w:val="false"/>
          <w:iCs w:val="false"/>
          <w:color w:val="5B6670"/>
          <w:sz w:val="16"/>
          <w:szCs w:val="16"/>
          <w:rtl/>
        </w:rPr>
        <w:t xml:space="preserve">Products, fees, financing &amp; collateral types</w:t>
      </w:r>
    </w:p>
    <w:p>
      <w:pPr>
        <w:keepNext/>
        <w:bidi/>
        <w:spacing w:after="60" w:before="60"/>
        <w:jc w:val="center"/>
      </w:pPr>
      <w:r>
        <w:drawing>
          <wp:inline distT="0" distB="0" distL="0" distR="0">
            <wp:extent cx="13973175" cy="3267075"/>
            <wp:effectExtent t="0" r="0" b="0" l="0"/>
            <wp:docPr id="1" name="diagrams/erd/m4_products_2.png" descr="الشكل 30: م4 · المنتجات والرسوم والتمويل والضمانات (2/3) (4 جداول)" title="الشكل 30: م4 · المنتجات والرسوم والتمويل والضمانات (2/3) (4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3973175" cy="3267075"/>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30: م4 · المنتجات والرسوم والتمويل والضمانات (2/3) (4 جداول)</w:t>
      </w:r>
    </w:p>
    <w:p>
      <w:pPr>
        <w:pStyle w:val="Heading2"/>
        <w:bidi/>
      </w:pPr>
      <w:r>
        <w:rPr>
          <w:rFonts w:ascii="Arial" w:cs="Arial" w:eastAsia="Arial" w:hAnsi="Arial"/>
          <w:b/>
          <w:bCs/>
          <w:color w:val="2B5C8A"/>
          <w:sz w:val="26"/>
          <w:szCs w:val="26"/>
          <w:rtl/>
        </w:rPr>
        <w:t xml:space="preserve">الجداول</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4909"/>
        <w:gridCol w:w="1487"/>
        <w:gridCol w:w="9663"/>
        <w:gridCol w:w="3719"/>
        <w:gridCol w:w="1041"/>
        <w:gridCol w:w="1192"/>
      </w:tblGrid>
      <w:tr>
        <w:trPr>
          <w:cantSplit/>
          <w:tblHeader/>
        </w:trPr>
        <w:tc>
          <w:tcPr>
            <w:tcW w:type="dxa" w:w="49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48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966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371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104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119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cat.ProductFeeType</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cat</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المصاريف المسموحة للمنتج؛ تعطيل الربط = حذفه ولا يمس قواعد تسعير قائمة (FR-CAT-010، BR-CAT-007)</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ProductFeeTypeId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r>
        <w:trPr>
          <w:cantSplit/>
        </w:trPr>
        <w:tc>
          <w:tcPr>
            <w:tcW w:type="dxa" w:w="49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cat.ProductFinancingType</w:t>
            </w:r>
          </w:p>
        </w:tc>
        <w:tc>
          <w:tcPr>
            <w:tcW w:type="dxa" w:w="148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cat</w:t>
            </w:r>
          </w:p>
        </w:tc>
        <w:tc>
          <w:tcPr>
            <w:tcW w:type="dxa" w:w="966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أنواع التمويل المسموحة للمنتج (FR-CAT-010، BR-CAT-007)</w:t>
            </w:r>
          </w:p>
        </w:tc>
        <w:tc>
          <w:tcPr>
            <w:tcW w:type="dxa" w:w="37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ProductFinancingTypeId</w:t>
            </w:r>
          </w:p>
        </w:tc>
        <w:tc>
          <w:tcPr>
            <w:tcW w:type="dxa" w:w="104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c>
          <w:tcPr>
            <w:tcW w:type="dxa" w:w="11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cat.FacilityType</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cat</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نوع التسهيل (FR-CAT-011)</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FacilityTypeId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r>
        <w:trPr>
          <w:cantSplit/>
        </w:trPr>
        <w:tc>
          <w:tcPr>
            <w:tcW w:type="dxa" w:w="49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cat.LimitType</w:t>
            </w:r>
          </w:p>
        </w:tc>
        <w:tc>
          <w:tcPr>
            <w:tcW w:type="dxa" w:w="148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cat</w:t>
            </w:r>
          </w:p>
        </w:tc>
        <w:tc>
          <w:tcPr>
            <w:tcW w:type="dxa" w:w="966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نوع الحد: رئيسي/جزئي (FR-CAT-012، BR-CAT-008)</w:t>
            </w:r>
          </w:p>
        </w:tc>
        <w:tc>
          <w:tcPr>
            <w:tcW w:type="dxa" w:w="37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LimitTypeId</w:t>
            </w:r>
          </w:p>
        </w:tc>
        <w:tc>
          <w:tcPr>
            <w:tcW w:type="dxa" w:w="104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w:t>
            </w:r>
          </w:p>
        </w:tc>
        <w:tc>
          <w:tcPr>
            <w:tcW w:type="dxa" w:w="11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bl>
    <w:p>
      <w:pPr>
        <w:pStyle w:val="Heading2"/>
        <w:bidi/>
      </w:pPr>
      <w:r>
        <w:rPr>
          <w:rFonts w:ascii="Arial" w:cs="Arial" w:eastAsia="Arial" w:hAnsi="Arial"/>
          <w:b/>
          <w:bCs/>
          <w:color w:val="2B5C8A"/>
          <w:sz w:val="26"/>
          <w:szCs w:val="26"/>
          <w:rtl/>
        </w:rPr>
        <w:t xml:space="preserve">العلاقات</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5009"/>
        <w:gridCol w:w="4098"/>
        <w:gridCol w:w="3946"/>
        <w:gridCol w:w="1518"/>
        <w:gridCol w:w="1821"/>
        <w:gridCol w:w="3036"/>
        <w:gridCol w:w="1366"/>
        <w:gridCol w:w="1217"/>
      </w:tblGrid>
      <w:tr>
        <w:trPr>
          <w:cantSplit/>
          <w:tblHeader/>
        </w:trPr>
        <w:tc>
          <w:tcPr>
            <w:tcW w:type="dxa" w:w="50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409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394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51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82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303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136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121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cat.ProductFeeType</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ProductId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cat.Product</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cat.ProductFeeType</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FeeTypeId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cat.FeeType</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cat.ProductFinancingType</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ProductId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cat.Product</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cat.ProductFinancingType</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FinancingTypeId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cat.FinancingType</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cat.LimitType</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ParentLimitTypeId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cat.LimitType</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bl>
    <w:p>
      <w:pPr>
        <w:pStyle w:val="Heading2"/>
        <w:bidi/>
      </w:pPr>
      <w:r>
        <w:rPr>
          <w:rFonts w:ascii="Arial" w:cs="Arial" w:eastAsia="Arial" w:hAnsi="Arial"/>
          <w:b/>
          <w:bCs/>
          <w:color w:val="2B5C8A"/>
          <w:sz w:val="26"/>
          <w:szCs w:val="26"/>
          <w:rtl/>
        </w:rPr>
        <w:t xml:space="preserve">3.24 م4 · المنتجات والرسوم والتمويل والضمانات (3/3)</w:t>
      </w:r>
    </w:p>
    <w:p>
      <w:pPr>
        <w:keepNext/>
        <w:bidi/>
        <w:spacing w:after="60" w:before="0"/>
      </w:pPr>
      <w:r>
        <w:rPr>
          <w:rFonts w:ascii="Arial" w:cs="Arial" w:eastAsia="Arial" w:hAnsi="Arial"/>
          <w:b w:val="false"/>
          <w:bCs w:val="false"/>
          <w:i w:val="false"/>
          <w:iCs w:val="false"/>
          <w:color w:val="5B6670"/>
          <w:sz w:val="16"/>
          <w:szCs w:val="16"/>
          <w:rtl/>
        </w:rPr>
        <w:t xml:space="preserve">Products, fees, financing &amp; collateral types</w:t>
      </w:r>
    </w:p>
    <w:p>
      <w:pPr>
        <w:keepNext/>
        <w:bidi/>
        <w:spacing w:after="60" w:before="60"/>
        <w:jc w:val="center"/>
      </w:pPr>
      <w:r>
        <w:drawing>
          <wp:inline distT="0" distB="0" distL="0" distR="0">
            <wp:extent cx="12125325" cy="4448175"/>
            <wp:effectExtent t="0" r="0" b="0" l="0"/>
            <wp:docPr id="1" name="diagrams/erd/m4_products_3.png" descr="الشكل 31: م4 · المنتجات والرسوم والتمويل والضمانات (3/3) (4 جداول)" title="الشكل 31: م4 · المنتجات والرسوم والتمويل والضمانات (3/3) (4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2125325" cy="4448175"/>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31: م4 · المنتجات والرسوم والتمويل والضمانات (3/3) (4 جداول)</w:t>
      </w:r>
    </w:p>
    <w:p>
      <w:pPr>
        <w:pStyle w:val="Heading2"/>
        <w:bidi/>
      </w:pPr>
      <w:r>
        <w:rPr>
          <w:rFonts w:ascii="Arial" w:cs="Arial" w:eastAsia="Arial" w:hAnsi="Arial"/>
          <w:b/>
          <w:bCs/>
          <w:color w:val="2B5C8A"/>
          <w:sz w:val="26"/>
          <w:szCs w:val="26"/>
          <w:rtl/>
        </w:rPr>
        <w:t xml:space="preserve">الجداول</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4909"/>
        <w:gridCol w:w="1487"/>
        <w:gridCol w:w="9663"/>
        <w:gridCol w:w="3719"/>
        <w:gridCol w:w="1041"/>
        <w:gridCol w:w="1192"/>
      </w:tblGrid>
      <w:tr>
        <w:trPr>
          <w:cantSplit/>
          <w:tblHeader/>
        </w:trPr>
        <w:tc>
          <w:tcPr>
            <w:tcW w:type="dxa" w:w="49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48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966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371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104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119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cat.LimitTypeProduct</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cat</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المنتجات المسموحة لنوع الحد؛ غياب الصفوف = أي منتج بعلامة ظاهرة (BR-CAT-008)</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TenantId, LimitTypeId, ProductId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r>
      <w:tr>
        <w:trPr>
          <w:cantSplit/>
        </w:trPr>
        <w:tc>
          <w:tcPr>
            <w:tcW w:type="dxa" w:w="49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cat.CollateralType</w:t>
            </w:r>
          </w:p>
        </w:tc>
        <w:tc>
          <w:tcPr>
            <w:tcW w:type="dxa" w:w="148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cat</w:t>
            </w:r>
          </w:p>
        </w:tc>
        <w:tc>
          <w:tcPr>
            <w:tcW w:type="dxa" w:w="966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نوع الضمان بنوع بنية وقالب سمات (FR-CAT-013)</w:t>
            </w:r>
          </w:p>
        </w:tc>
        <w:tc>
          <w:tcPr>
            <w:tcW w:type="dxa" w:w="37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CollateralTypeId</w:t>
            </w:r>
          </w:p>
        </w:tc>
        <w:tc>
          <w:tcPr>
            <w:tcW w:type="dxa" w:w="104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c>
          <w:tcPr>
            <w:tcW w:type="dxa" w:w="11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cat.CollateralTypeAttribute</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cat</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سمة في قالب نوع الضمان؛ لا تُحذف بل تُرمَّز Retired (BR-CAT-009)</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CollateralTypeAttributeId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r>
        <w:trPr>
          <w:cantSplit/>
        </w:trPr>
        <w:tc>
          <w:tcPr>
            <w:tcW w:type="dxa" w:w="49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cat.ObligationType</w:t>
            </w:r>
          </w:p>
        </w:tc>
        <w:tc>
          <w:tcPr>
            <w:tcW w:type="dxa" w:w="148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cat</w:t>
            </w:r>
          </w:p>
        </w:tc>
        <w:tc>
          <w:tcPr>
            <w:tcW w:type="dxa" w:w="966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نوع الالتزام بأربع عائلات (FR-CAT-014، BR-CAT-010)</w:t>
            </w:r>
          </w:p>
        </w:tc>
        <w:tc>
          <w:tcPr>
            <w:tcW w:type="dxa" w:w="37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ObligationTypeId</w:t>
            </w:r>
          </w:p>
        </w:tc>
        <w:tc>
          <w:tcPr>
            <w:tcW w:type="dxa" w:w="104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c>
          <w:tcPr>
            <w:tcW w:type="dxa" w:w="11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bl>
    <w:p>
      <w:pPr>
        <w:pStyle w:val="Heading2"/>
        <w:bidi/>
      </w:pPr>
      <w:r>
        <w:rPr>
          <w:rFonts w:ascii="Arial" w:cs="Arial" w:eastAsia="Arial" w:hAnsi="Arial"/>
          <w:b/>
          <w:bCs/>
          <w:color w:val="2B5C8A"/>
          <w:sz w:val="26"/>
          <w:szCs w:val="26"/>
          <w:rtl/>
        </w:rPr>
        <w:t xml:space="preserve">العلاقات</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5009"/>
        <w:gridCol w:w="4098"/>
        <w:gridCol w:w="3946"/>
        <w:gridCol w:w="1518"/>
        <w:gridCol w:w="1821"/>
        <w:gridCol w:w="3036"/>
        <w:gridCol w:w="1366"/>
        <w:gridCol w:w="1217"/>
      </w:tblGrid>
      <w:tr>
        <w:trPr>
          <w:cantSplit/>
          <w:tblHeader/>
        </w:trPr>
        <w:tc>
          <w:tcPr>
            <w:tcW w:type="dxa" w:w="50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409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394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51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82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303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136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121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cat.LimitTypeProduct</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LimitTypeId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cat.LimitType</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cat.LimitTypeProduct</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ProductId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cat.Product</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cat.CollateralTypeAttribute</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CollateralTypeId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cat.CollateralType</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bl>
    <w:p>
      <w:pPr>
        <w:pStyle w:val="Heading2"/>
        <w:bidi/>
      </w:pPr>
      <w:r>
        <w:rPr>
          <w:rFonts w:ascii="Arial" w:cs="Arial" w:eastAsia="Arial" w:hAnsi="Arial"/>
          <w:b/>
          <w:bCs/>
          <w:color w:val="2B5C8A"/>
          <w:sz w:val="26"/>
          <w:szCs w:val="26"/>
          <w:rtl/>
        </w:rPr>
        <w:t xml:space="preserve">3.25 م4 · الكتالوجات المرجعية (1/2)</w:t>
      </w:r>
    </w:p>
    <w:p>
      <w:pPr>
        <w:keepNext/>
        <w:bidi/>
        <w:spacing w:after="60" w:before="0"/>
      </w:pPr>
      <w:r>
        <w:rPr>
          <w:rFonts w:ascii="Arial" w:cs="Arial" w:eastAsia="Arial" w:hAnsi="Arial"/>
          <w:b w:val="false"/>
          <w:bCs w:val="false"/>
          <w:i w:val="false"/>
          <w:iCs w:val="false"/>
          <w:color w:val="5B6670"/>
          <w:sz w:val="16"/>
          <w:szCs w:val="16"/>
          <w:rtl/>
        </w:rPr>
        <w:t xml:space="preserve">Reference catalogues</w:t>
      </w:r>
    </w:p>
    <w:p>
      <w:pPr>
        <w:keepNext/>
        <w:bidi/>
        <w:spacing w:after="60" w:before="60"/>
        <w:jc w:val="center"/>
      </w:pPr>
      <w:r>
        <w:drawing>
          <wp:inline distT="0" distB="0" distL="0" distR="0">
            <wp:extent cx="13973175" cy="1266825"/>
            <wp:effectExtent t="0" r="0" b="0" l="0"/>
            <wp:docPr id="1" name="diagrams/erd/m4_reference_1.png" descr="الشكل 32: م4 · الكتالوجات المرجعية (1/2) (4 جداول)" title="الشكل 32: م4 · الكتالوجات المرجعية (1/2) (4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13973175" cy="1266825"/>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32: م4 · الكتالوجات المرجعية (1/2) (4 جداول)</w:t>
      </w:r>
    </w:p>
    <w:p>
      <w:pPr>
        <w:pStyle w:val="Heading2"/>
        <w:bidi/>
      </w:pPr>
      <w:r>
        <w:rPr>
          <w:rFonts w:ascii="Arial" w:cs="Arial" w:eastAsia="Arial" w:hAnsi="Arial"/>
          <w:b/>
          <w:bCs/>
          <w:color w:val="2B5C8A"/>
          <w:sz w:val="26"/>
          <w:szCs w:val="26"/>
          <w:rtl/>
        </w:rPr>
        <w:t xml:space="preserve">الجداول</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4909"/>
        <w:gridCol w:w="1487"/>
        <w:gridCol w:w="9663"/>
        <w:gridCol w:w="3719"/>
        <w:gridCol w:w="1041"/>
        <w:gridCol w:w="1192"/>
      </w:tblGrid>
      <w:tr>
        <w:trPr>
          <w:cantSplit/>
          <w:tblHeader/>
        </w:trPr>
        <w:tc>
          <w:tcPr>
            <w:tcW w:type="dxa" w:w="49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48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966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371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104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119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cat.TenantCurrency</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cat</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العملات المفعّلة للمشترك: تفعيل مجموعة جزئية من المرجع العالمي (FR-CAT-023، Q-CAT-08)</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TenantId, CurrencyId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r>
      <w:tr>
        <w:trPr>
          <w:cantSplit/>
        </w:trPr>
        <w:tc>
          <w:tcPr>
            <w:tcW w:type="dxa" w:w="49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cat.InstitutionType</w:t>
            </w:r>
          </w:p>
        </w:tc>
        <w:tc>
          <w:tcPr>
            <w:tcW w:type="dxa" w:w="148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cat</w:t>
            </w:r>
          </w:p>
        </w:tc>
        <w:tc>
          <w:tcPr>
            <w:tcW w:type="dxa" w:w="966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نوع المنشأة المالية: بنك، شركة تمويل، استثمارية، مالية، فرد (FR-INS-001)</w:t>
            </w:r>
          </w:p>
        </w:tc>
        <w:tc>
          <w:tcPr>
            <w:tcW w:type="dxa" w:w="37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InstitutionTypeId</w:t>
            </w:r>
          </w:p>
        </w:tc>
        <w:tc>
          <w:tcPr>
            <w:tcW w:type="dxa" w:w="104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c>
          <w:tcPr>
            <w:tcW w:type="dxa" w:w="11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cat.AccountType</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cat</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نوع الحساب (FR-ACC-001)</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AccountTypeId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r>
        <w:trPr>
          <w:cantSplit/>
        </w:trPr>
        <w:tc>
          <w:tcPr>
            <w:tcW w:type="dxa" w:w="49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cat.LegalEntityType</w:t>
            </w:r>
          </w:p>
        </w:tc>
        <w:tc>
          <w:tcPr>
            <w:tcW w:type="dxa" w:w="148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cat</w:t>
            </w:r>
          </w:p>
        </w:tc>
        <w:tc>
          <w:tcPr>
            <w:tcW w:type="dxa" w:w="966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الشكل القانوني: الكيان وسماته يعرّفها 10 (FR-ORG-002، BR-CAT-017) وتبذره هذه الوحدة؛ أعمدة الكتالوج مكتوبة يدويًا لأن فرادة الرمز بالدولة (10 §6.2) لا فرادته وحده</w:t>
            </w:r>
          </w:p>
        </w:tc>
        <w:tc>
          <w:tcPr>
            <w:tcW w:type="dxa" w:w="37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LegalEntityTypeId</w:t>
            </w:r>
          </w:p>
        </w:tc>
        <w:tc>
          <w:tcPr>
            <w:tcW w:type="dxa" w:w="104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w:t>
            </w:r>
          </w:p>
        </w:tc>
        <w:tc>
          <w:tcPr>
            <w:tcW w:type="dxa" w:w="11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bl>
    <w:p>
      <w:pPr>
        <w:pStyle w:val="Heading2"/>
        <w:bidi/>
      </w:pPr>
      <w:r>
        <w:rPr>
          <w:rFonts w:ascii="Arial" w:cs="Arial" w:eastAsia="Arial" w:hAnsi="Arial"/>
          <w:b/>
          <w:bCs/>
          <w:color w:val="2B5C8A"/>
          <w:sz w:val="26"/>
          <w:szCs w:val="26"/>
          <w:rtl/>
        </w:rPr>
        <w:t xml:space="preserve">العلاقات</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5009"/>
        <w:gridCol w:w="4098"/>
        <w:gridCol w:w="3946"/>
        <w:gridCol w:w="1518"/>
        <w:gridCol w:w="1821"/>
        <w:gridCol w:w="3036"/>
        <w:gridCol w:w="1366"/>
        <w:gridCol w:w="1217"/>
      </w:tblGrid>
      <w:tr>
        <w:trPr>
          <w:cantSplit/>
          <w:tblHeader/>
        </w:trPr>
        <w:tc>
          <w:tcPr>
            <w:tcW w:type="dxa" w:w="50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409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394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51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82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303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136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121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cat.TenantCurrency</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CurrencyId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ref.Currency</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cat.LegalEntityType</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CountryId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ref.Country</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bl>
    <w:p>
      <w:pPr>
        <w:pStyle w:val="Heading2"/>
        <w:bidi/>
      </w:pPr>
      <w:r>
        <w:rPr>
          <w:rFonts w:ascii="Arial" w:cs="Arial" w:eastAsia="Arial" w:hAnsi="Arial"/>
          <w:b/>
          <w:bCs/>
          <w:color w:val="2B5C8A"/>
          <w:sz w:val="26"/>
          <w:szCs w:val="26"/>
          <w:rtl/>
        </w:rPr>
        <w:t xml:space="preserve">3.26 م4 · الكتالوجات المرجعية (2/2)</w:t>
      </w:r>
    </w:p>
    <w:p>
      <w:pPr>
        <w:keepNext/>
        <w:bidi/>
        <w:spacing w:after="60" w:before="0"/>
      </w:pPr>
      <w:r>
        <w:rPr>
          <w:rFonts w:ascii="Arial" w:cs="Arial" w:eastAsia="Arial" w:hAnsi="Arial"/>
          <w:b w:val="false"/>
          <w:bCs w:val="false"/>
          <w:i w:val="false"/>
          <w:iCs w:val="false"/>
          <w:color w:val="5B6670"/>
          <w:sz w:val="16"/>
          <w:szCs w:val="16"/>
          <w:rtl/>
        </w:rPr>
        <w:t xml:space="preserve">Reference catalogues</w:t>
      </w:r>
    </w:p>
    <w:p>
      <w:pPr>
        <w:keepNext/>
        <w:bidi/>
        <w:spacing w:after="60" w:before="60"/>
        <w:jc w:val="center"/>
      </w:pPr>
      <w:r>
        <w:drawing>
          <wp:inline distT="0" distB="0" distL="0" distR="0">
            <wp:extent cx="11439525" cy="1066800"/>
            <wp:effectExtent t="0" r="0" b="0" l="0"/>
            <wp:docPr id="1" name="diagrams/erd/m4_reference_2.png" descr="الشكل 33: م4 · الكتالوجات المرجعية (2/2) (3 جداول)" title="الشكل 33: م4 · الكتالوجات المرجعية (2/2) (3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11439525" cy="1066800"/>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33: م4 · الكتالوجات المرجعية (2/2) (3 جداول)</w:t>
      </w:r>
    </w:p>
    <w:p>
      <w:pPr>
        <w:pStyle w:val="Heading2"/>
        <w:bidi/>
      </w:pPr>
      <w:r>
        <w:rPr>
          <w:rFonts w:ascii="Arial" w:cs="Arial" w:eastAsia="Arial" w:hAnsi="Arial"/>
          <w:b/>
          <w:bCs/>
          <w:color w:val="2B5C8A"/>
          <w:sz w:val="26"/>
          <w:szCs w:val="26"/>
          <w:rtl/>
        </w:rPr>
        <w:t xml:space="preserve">الجداول</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4909"/>
        <w:gridCol w:w="1487"/>
        <w:gridCol w:w="9663"/>
        <w:gridCol w:w="3719"/>
        <w:gridCol w:w="1041"/>
        <w:gridCol w:w="1192"/>
      </w:tblGrid>
      <w:tr>
        <w:trPr>
          <w:cantSplit/>
          <w:tblHeader/>
        </w:trPr>
        <w:tc>
          <w:tcPr>
            <w:tcW w:type="dxa" w:w="49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48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966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371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104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119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cat.DocumentType</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cat</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نوع الوثيقة؛ يطبّق 10 أعلامه عند الرفع (FR-CAT-018، BR-CAT-016، FR-PLT-028)</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DocumentTypeId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r>
        <w:trPr>
          <w:cantSplit/>
        </w:trPr>
        <w:tc>
          <w:tcPr>
            <w:tcW w:type="dxa" w:w="49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cat.Position</w:t>
            </w:r>
          </w:p>
        </w:tc>
        <w:tc>
          <w:tcPr>
            <w:tcW w:type="dxa" w:w="148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cat</w:t>
            </w:r>
          </w:p>
        </w:tc>
        <w:tc>
          <w:tcPr>
            <w:tcW w:type="dxa" w:w="966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المنصب: السمات يعرّفها 10 §6.2 وحده وتبذر هذه الوحدة صفوفه (FR-CAT-019، BR-CAT-017)؛ SortOrder من أساس الكتالوج</w:t>
            </w:r>
          </w:p>
        </w:tc>
        <w:tc>
          <w:tcPr>
            <w:tcW w:type="dxa" w:w="37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PositionId</w:t>
            </w:r>
          </w:p>
        </w:tc>
        <w:tc>
          <w:tcPr>
            <w:tcW w:type="dxa" w:w="104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c>
          <w:tcPr>
            <w:tcW w:type="dxa" w:w="11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cat.PowerType</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cat</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نوع الصلاحية: السمات يعرّفها 10 §6.2 وحده وتبذر هذه الوحدة صفوفه (FR-CAT-019، FR-ORG-024)</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PowerTypeId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bl>
    <w:p>
      <w:pPr>
        <w:pStyle w:val="Heading2"/>
        <w:bidi/>
      </w:pPr>
      <w:r>
        <w:rPr>
          <w:rFonts w:ascii="Arial" w:cs="Arial" w:eastAsia="Arial" w:hAnsi="Arial"/>
          <w:b/>
          <w:bCs/>
          <w:color w:val="2B5C8A"/>
          <w:sz w:val="26"/>
          <w:szCs w:val="26"/>
          <w:rtl/>
        </w:rPr>
        <w:t xml:space="preserve">العلاقات</w:t>
      </w:r>
    </w:p>
    <w:p>
      <w:pPr>
        <w:keepNext w:val="false"/>
        <w:bidi/>
        <w:spacing w:after="110" w:before="0" w:line="300"/>
      </w:pPr>
      <w:r>
        <w:rPr>
          <w:rFonts w:ascii="Arial" w:cs="Arial" w:eastAsia="Arial" w:hAnsi="Arial"/>
          <w:b w:val="false"/>
          <w:bCs w:val="false"/>
          <w:i/>
          <w:iCs/>
          <w:color w:val="5B6670"/>
          <w:sz w:val="16"/>
          <w:szCs w:val="16"/>
          <w:rtl/>
        </w:rPr>
        <w:t xml:space="preserve">لا توجد مفاتيح أجنبية عملية لجداول هذه المجموعة.</w:t>
      </w:r>
    </w:p>
    <w:p>
      <w:pPr>
        <w:pStyle w:val="Heading2"/>
        <w:bidi/>
      </w:pPr>
      <w:r>
        <w:rPr>
          <w:rFonts w:ascii="Arial" w:cs="Arial" w:eastAsia="Arial" w:hAnsi="Arial"/>
          <w:b/>
          <w:bCs/>
          <w:color w:val="2B5C8A"/>
          <w:sz w:val="26"/>
          <w:szCs w:val="26"/>
          <w:rtl/>
        </w:rPr>
        <w:t xml:space="preserve">3.27 م4 · الأسعار المرجعية والقوائم (1/2)</w:t>
      </w:r>
    </w:p>
    <w:p>
      <w:pPr>
        <w:keepNext/>
        <w:bidi/>
        <w:spacing w:after="60" w:before="0"/>
      </w:pPr>
      <w:r>
        <w:rPr>
          <w:rFonts w:ascii="Arial" w:cs="Arial" w:eastAsia="Arial" w:hAnsi="Arial"/>
          <w:b w:val="false"/>
          <w:bCs w:val="false"/>
          <w:i w:val="false"/>
          <w:iCs w:val="false"/>
          <w:color w:val="5B6670"/>
          <w:sz w:val="16"/>
          <w:szCs w:val="16"/>
          <w:rtl/>
        </w:rPr>
        <w:t xml:space="preserve">Base rates &amp; lookup lists</w:t>
      </w:r>
    </w:p>
    <w:p>
      <w:pPr>
        <w:keepNext/>
        <w:bidi/>
        <w:spacing w:after="60" w:before="60"/>
        <w:jc w:val="center"/>
      </w:pPr>
      <w:r>
        <w:drawing>
          <wp:inline distT="0" distB="0" distL="0" distR="0">
            <wp:extent cx="8286750" cy="4867275"/>
            <wp:effectExtent t="0" r="0" b="0" l="0"/>
            <wp:docPr id="1" name="diagrams/erd/m4_rates_lookups_1.png" descr="الشكل 34: م4 · الأسعار المرجعية والقوائم (1/2) (4 جداول)" title="الشكل 34: م4 · الأسعار المرجعية والقوائم (1/2) (4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8286750" cy="4867275"/>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34: م4 · الأسعار المرجعية والقوائم (1/2) (4 جداول)</w:t>
      </w:r>
    </w:p>
    <w:p>
      <w:pPr>
        <w:pStyle w:val="Heading2"/>
        <w:bidi/>
      </w:pPr>
      <w:r>
        <w:rPr>
          <w:rFonts w:ascii="Arial" w:cs="Arial" w:eastAsia="Arial" w:hAnsi="Arial"/>
          <w:b/>
          <w:bCs/>
          <w:color w:val="2B5C8A"/>
          <w:sz w:val="26"/>
          <w:szCs w:val="26"/>
          <w:rtl/>
        </w:rPr>
        <w:t xml:space="preserve">الجداول</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4909"/>
        <w:gridCol w:w="1487"/>
        <w:gridCol w:w="9663"/>
        <w:gridCol w:w="3719"/>
        <w:gridCol w:w="1041"/>
        <w:gridCol w:w="1192"/>
      </w:tblGrid>
      <w:tr>
        <w:trPr>
          <w:cantSplit/>
          <w:tblHeader/>
        </w:trPr>
        <w:tc>
          <w:tcPr>
            <w:tcW w:type="dxa" w:w="49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48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966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371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104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119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cat.OperationType</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cat</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نوع العملية البنكية المفوَّض بها (FR-ACC-013، BR-CAT-014)</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OperationTypeId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r>
        <w:trPr>
          <w:cantSplit/>
        </w:trPr>
        <w:tc>
          <w:tcPr>
            <w:tcW w:type="dxa" w:w="49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cat.OperationTypePowerType</w:t>
            </w:r>
          </w:p>
        </w:tc>
        <w:tc>
          <w:tcPr>
            <w:tcW w:type="dxa" w:w="148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cat</w:t>
            </w:r>
          </w:p>
        </w:tc>
        <w:tc>
          <w:tcPr>
            <w:tcW w:type="dxa" w:w="966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ربط عملية بنوع/أنواع صلاحية حوكمة؛ «أي واحد يكفي» (BR-CAT-014، FR-CAT-019، Q-ACC-05)</w:t>
            </w:r>
          </w:p>
        </w:tc>
        <w:tc>
          <w:tcPr>
            <w:tcW w:type="dxa" w:w="37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TenantId, OperationTypeId, PowerTypeId</w:t>
            </w:r>
          </w:p>
        </w:tc>
        <w:tc>
          <w:tcPr>
            <w:tcW w:type="dxa" w:w="104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c>
          <w:tcPr>
            <w:tcW w:type="dxa" w:w="11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cat.BaseRate</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cat</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سعر الأساس: سوق (InstitutionId فارغ) أو داخلي لبنك (FR-CAT-015، BR-CAT-011)؛ الأسماء البديلة في BaseRateAlias</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BaseRateId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5</w:t>
            </w:r>
          </w:p>
        </w:tc>
      </w:tr>
      <w:tr>
        <w:trPr>
          <w:cantSplit/>
        </w:trPr>
        <w:tc>
          <w:tcPr>
            <w:tcW w:type="dxa" w:w="49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cat.BaseRateAlias</w:t>
            </w:r>
          </w:p>
        </w:tc>
        <w:tc>
          <w:tcPr>
            <w:tcW w:type="dxa" w:w="148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cat</w:t>
            </w:r>
          </w:p>
        </w:tc>
        <w:tc>
          <w:tcPr>
            <w:tcW w:type="dxa" w:w="966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اسم بديل لسعر أساس (SIBOR ≡ SAIBOR) بحث بلا حساسية حالة وفريد ضمن النطاق (BR-CAT-011، FR-CAT-015)</w:t>
            </w:r>
          </w:p>
        </w:tc>
        <w:tc>
          <w:tcPr>
            <w:tcW w:type="dxa" w:w="37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BaseRateAliasId</w:t>
            </w:r>
          </w:p>
        </w:tc>
        <w:tc>
          <w:tcPr>
            <w:tcW w:type="dxa" w:w="104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c>
          <w:tcPr>
            <w:tcW w:type="dxa" w:w="11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bl>
    <w:p>
      <w:pPr>
        <w:pStyle w:val="Heading2"/>
        <w:bidi/>
      </w:pPr>
      <w:r>
        <w:rPr>
          <w:rFonts w:ascii="Arial" w:cs="Arial" w:eastAsia="Arial" w:hAnsi="Arial"/>
          <w:b/>
          <w:bCs/>
          <w:color w:val="2B5C8A"/>
          <w:sz w:val="26"/>
          <w:szCs w:val="26"/>
          <w:rtl/>
        </w:rPr>
        <w:t xml:space="preserve">العلاقات</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5009"/>
        <w:gridCol w:w="4098"/>
        <w:gridCol w:w="3946"/>
        <w:gridCol w:w="1518"/>
        <w:gridCol w:w="1821"/>
        <w:gridCol w:w="3036"/>
        <w:gridCol w:w="1366"/>
        <w:gridCol w:w="1217"/>
      </w:tblGrid>
      <w:tr>
        <w:trPr>
          <w:cantSplit/>
          <w:tblHeader/>
        </w:trPr>
        <w:tc>
          <w:tcPr>
            <w:tcW w:type="dxa" w:w="50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409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394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51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82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303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136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121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cat.OperationTypePowerType</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OperationTypeId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cat.OperationType</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cat.OperationTypePowerType</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PowerTypeId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cat.PowerType</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cat.BaseRate</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InstitutionId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ins.Institution</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cat.BaseRate</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CurrencyId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ref.Currency</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cat.BaseRateAlias</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BaseRateId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cat.BaseRate</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Tenor</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cat.BaseRateAlias</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InstitutionId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ins.Institution</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bl>
    <w:p>
      <w:pPr>
        <w:pStyle w:val="Heading2"/>
        <w:bidi/>
      </w:pPr>
      <w:r>
        <w:rPr>
          <w:rFonts w:ascii="Arial" w:cs="Arial" w:eastAsia="Arial" w:hAnsi="Arial"/>
          <w:b/>
          <w:bCs/>
          <w:color w:val="2B5C8A"/>
          <w:sz w:val="26"/>
          <w:szCs w:val="26"/>
          <w:rtl/>
        </w:rPr>
        <w:t xml:space="preserve">3.28 م4 · الأسعار المرجعية والقوائم (2/2)</w:t>
      </w:r>
    </w:p>
    <w:p>
      <w:pPr>
        <w:keepNext/>
        <w:bidi/>
        <w:spacing w:after="60" w:before="0"/>
      </w:pPr>
      <w:r>
        <w:rPr>
          <w:rFonts w:ascii="Arial" w:cs="Arial" w:eastAsia="Arial" w:hAnsi="Arial"/>
          <w:b w:val="false"/>
          <w:bCs w:val="false"/>
          <w:i w:val="false"/>
          <w:iCs w:val="false"/>
          <w:color w:val="5B6670"/>
          <w:sz w:val="16"/>
          <w:szCs w:val="16"/>
          <w:rtl/>
        </w:rPr>
        <w:t xml:space="preserve">Base rates &amp; lookup lists</w:t>
      </w:r>
    </w:p>
    <w:p>
      <w:pPr>
        <w:keepNext/>
        <w:bidi/>
        <w:spacing w:after="60" w:before="60"/>
        <w:jc w:val="center"/>
      </w:pPr>
      <w:r>
        <w:drawing>
          <wp:inline distT="0" distB="0" distL="0" distR="0">
            <wp:extent cx="7715250" cy="4448175"/>
            <wp:effectExtent t="0" r="0" b="0" l="0"/>
            <wp:docPr id="1" name="diagrams/erd/m4_rates_lookups_2.png" descr="الشكل 35: م4 · الأسعار المرجعية والقوائم (2/2) (3 جداول)" title="الشكل 35: م4 · الأسعار المرجعية والقوائم (2/2) (3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7715250" cy="4448175"/>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35: م4 · الأسعار المرجعية والقوائم (2/2) (3 جداول)</w:t>
      </w:r>
    </w:p>
    <w:p>
      <w:pPr>
        <w:pStyle w:val="Heading2"/>
        <w:bidi/>
      </w:pPr>
      <w:r>
        <w:rPr>
          <w:rFonts w:ascii="Arial" w:cs="Arial" w:eastAsia="Arial" w:hAnsi="Arial"/>
          <w:b/>
          <w:bCs/>
          <w:color w:val="2B5C8A"/>
          <w:sz w:val="26"/>
          <w:szCs w:val="26"/>
          <w:rtl/>
        </w:rPr>
        <w:t xml:space="preserve">الجداول</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4909"/>
        <w:gridCol w:w="1487"/>
        <w:gridCol w:w="9663"/>
        <w:gridCol w:w="3719"/>
        <w:gridCol w:w="1041"/>
        <w:gridCol w:w="1192"/>
      </w:tblGrid>
      <w:tr>
        <w:trPr>
          <w:cantSplit/>
          <w:tblHeader/>
        </w:trPr>
        <w:tc>
          <w:tcPr>
            <w:tcW w:type="dxa" w:w="49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48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966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371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104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119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cat.BaseRateValue</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cat</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قيمة سعر الأساس بتاريخ سريان؛ لا حذف: التصحيح صف جديد والقديم SUPERSEDED (FR-CAT-016، BR-CAT-012/013)</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BaseRateValueId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r>
        <w:trPr>
          <w:cantSplit/>
        </w:trPr>
        <w:tc>
          <w:tcPr>
            <w:tcW w:type="dxa" w:w="49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cat.LookupList</w:t>
            </w:r>
          </w:p>
        </w:tc>
        <w:tc>
          <w:tcPr>
            <w:tcW w:type="dxa" w:w="148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cat</w:t>
            </w:r>
          </w:p>
        </w:tc>
        <w:tc>
          <w:tcPr>
            <w:tcW w:type="dxa" w:w="966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قائمة قيم مملوكة للمشترك (FR-CAT-020، BR-CAT-015)</w:t>
            </w:r>
          </w:p>
        </w:tc>
        <w:tc>
          <w:tcPr>
            <w:tcW w:type="dxa" w:w="37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LookupListId</w:t>
            </w:r>
          </w:p>
        </w:tc>
        <w:tc>
          <w:tcPr>
            <w:tcW w:type="dxa" w:w="104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c>
          <w:tcPr>
            <w:tcW w:type="dxa" w:w="11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cat.LookupItem</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cat</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بند في قائمة قيم مملوك للمشترك (FR-CAT-020)</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LookupItemId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bl>
    <w:p>
      <w:pPr>
        <w:pStyle w:val="Heading2"/>
        <w:bidi/>
      </w:pPr>
      <w:r>
        <w:rPr>
          <w:rFonts w:ascii="Arial" w:cs="Arial" w:eastAsia="Arial" w:hAnsi="Arial"/>
          <w:b/>
          <w:bCs/>
          <w:color w:val="2B5C8A"/>
          <w:sz w:val="26"/>
          <w:szCs w:val="26"/>
          <w:rtl/>
        </w:rPr>
        <w:t xml:space="preserve">العلاقات</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5009"/>
        <w:gridCol w:w="4098"/>
        <w:gridCol w:w="3946"/>
        <w:gridCol w:w="1518"/>
        <w:gridCol w:w="1821"/>
        <w:gridCol w:w="3036"/>
        <w:gridCol w:w="1366"/>
        <w:gridCol w:w="1217"/>
      </w:tblGrid>
      <w:tr>
        <w:trPr>
          <w:cantSplit/>
          <w:tblHeader/>
        </w:trPr>
        <w:tc>
          <w:tcPr>
            <w:tcW w:type="dxa" w:w="50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409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394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51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82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303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136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121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cat.BaseRateValue</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BaseRateId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cat.BaseRate</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cat.BaseRateValue</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SupersedesId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cat.BaseRateValue</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BaseRateId</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cat.BaseRateValue</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EnteredBy</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cat.LookupItem</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LookupListId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cat.LookupList</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bl>
    <w:p>
      <w:pPr>
        <w:pStyle w:val="Heading2"/>
        <w:bidi/>
      </w:pPr>
      <w:r>
        <w:rPr>
          <w:rFonts w:ascii="Arial" w:cs="Arial" w:eastAsia="Arial" w:hAnsi="Arial"/>
          <w:b/>
          <w:bCs/>
          <w:color w:val="2B5C8A"/>
          <w:sz w:val="26"/>
          <w:szCs w:val="26"/>
          <w:rtl/>
        </w:rPr>
        <w:t xml:space="preserve">3.29 م4 · المراجع العامة (ref)</w:t>
      </w:r>
    </w:p>
    <w:p>
      <w:pPr>
        <w:keepNext/>
        <w:bidi/>
        <w:spacing w:after="60" w:before="0"/>
      </w:pPr>
      <w:r>
        <w:rPr>
          <w:rFonts w:ascii="Arial" w:cs="Arial" w:eastAsia="Arial" w:hAnsi="Arial"/>
          <w:b w:val="false"/>
          <w:bCs w:val="false"/>
          <w:i w:val="false"/>
          <w:iCs w:val="false"/>
          <w:color w:val="5B6670"/>
          <w:sz w:val="16"/>
          <w:szCs w:val="16"/>
          <w:rtl/>
        </w:rPr>
        <w:t xml:space="preserve">Global references (shared, read-only)</w:t>
      </w:r>
    </w:p>
    <w:p>
      <w:pPr>
        <w:keepNext/>
        <w:bidi/>
        <w:spacing w:after="60" w:before="60"/>
        <w:jc w:val="center"/>
      </w:pPr>
      <w:r>
        <w:drawing>
          <wp:inline distT="0" distB="0" distL="0" distR="0">
            <wp:extent cx="13973175" cy="1000125"/>
            <wp:effectExtent t="0" r="0" b="0" l="0"/>
            <wp:docPr id="1" name="diagrams/erd/m4_global_ref.png" descr="الشكل 36: م4 · المراجع العامة (ref) (4 جداول)" title="الشكل 36: م4 · المراجع العامة (ref) (4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3973175" cy="1000125"/>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36: م4 · المراجع العامة (ref) (4 جداول)</w:t>
      </w:r>
    </w:p>
    <w:p>
      <w:pPr>
        <w:pStyle w:val="Heading2"/>
        <w:bidi/>
      </w:pPr>
      <w:r>
        <w:rPr>
          <w:rFonts w:ascii="Arial" w:cs="Arial" w:eastAsia="Arial" w:hAnsi="Arial"/>
          <w:b/>
          <w:bCs/>
          <w:color w:val="2B5C8A"/>
          <w:sz w:val="26"/>
          <w:szCs w:val="26"/>
          <w:rtl/>
        </w:rPr>
        <w:t xml:space="preserve">الجداول</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4909"/>
        <w:gridCol w:w="1487"/>
        <w:gridCol w:w="9663"/>
        <w:gridCol w:w="3719"/>
        <w:gridCol w:w="1041"/>
        <w:gridCol w:w="1192"/>
      </w:tblGrid>
      <w:tr>
        <w:trPr>
          <w:cantSplit/>
          <w:tblHeader/>
        </w:trPr>
        <w:tc>
          <w:tcPr>
            <w:tcW w:type="dxa" w:w="49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48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966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371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104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119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ref.Country</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ref</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الدولة: مرجع عالمي للقراءة فقط يديره مشغّل المنصة (FR-CAT-026، BR-CAT-018، BR-CAT-015)</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CountryId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r>
        <w:trPr>
          <w:cantSplit/>
        </w:trPr>
        <w:tc>
          <w:tcPr>
            <w:tcW w:type="dxa" w:w="49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ref.Currency</w:t>
            </w:r>
          </w:p>
        </w:tc>
        <w:tc>
          <w:tcPr>
            <w:tcW w:type="dxa" w:w="148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ref</w:t>
            </w:r>
          </w:p>
        </w:tc>
        <w:tc>
          <w:tcPr>
            <w:tcW w:type="dxa" w:w="966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العملة: مرجع عالمي ISO 4217 للقراءة فقط (FR-CAT-021، Q-CAT-08)</w:t>
            </w:r>
          </w:p>
        </w:tc>
        <w:tc>
          <w:tcPr>
            <w:tcW w:type="dxa" w:w="37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CurrencyId</w:t>
            </w:r>
          </w:p>
        </w:tc>
        <w:tc>
          <w:tcPr>
            <w:tcW w:type="dxa" w:w="104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c>
          <w:tcPr>
            <w:tcW w:type="dxa" w:w="11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ref.Incoterm</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ref</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مصطلح تسليم Incoterms: مرجع عالمي للقراءة فقط يديره المشغّل؛ القديم LEGACY للعرض لا للاختيار (FR-LCT-013، FR-CAT-021، BR-CAT-015)</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IncotermId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w:t>
            </w:r>
          </w:p>
        </w:tc>
      </w:tr>
      <w:tr>
        <w:trPr>
          <w:cantSplit/>
        </w:trPr>
        <w:tc>
          <w:tcPr>
            <w:tcW w:type="dxa" w:w="49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ref.UcpArticle</w:t>
            </w:r>
          </w:p>
        </w:tc>
        <w:tc>
          <w:tcPr>
            <w:tcW w:type="dxa" w:w="148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ref</w:t>
            </w:r>
          </w:p>
        </w:tc>
        <w:tc>
          <w:tcPr>
            <w:tcW w:type="dxa" w:w="966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مادة UCP 600 مرجعية: TenantId الفارغ = صف عام للقراءة فقط ينشره المشغّل وحده (FR-LCT-006، BR-LCT-018، BR-PLT-001)</w:t>
            </w:r>
          </w:p>
        </w:tc>
        <w:tc>
          <w:tcPr>
            <w:tcW w:type="dxa" w:w="37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UcpArticleId</w:t>
            </w:r>
          </w:p>
        </w:tc>
        <w:tc>
          <w:tcPr>
            <w:tcW w:type="dxa" w:w="104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w:t>
            </w:r>
          </w:p>
        </w:tc>
        <w:tc>
          <w:tcPr>
            <w:tcW w:type="dxa" w:w="11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bl>
    <w:p>
      <w:pPr>
        <w:pStyle w:val="Heading2"/>
        <w:bidi/>
      </w:pPr>
      <w:r>
        <w:rPr>
          <w:rFonts w:ascii="Arial" w:cs="Arial" w:eastAsia="Arial" w:hAnsi="Arial"/>
          <w:b/>
          <w:bCs/>
          <w:color w:val="2B5C8A"/>
          <w:sz w:val="26"/>
          <w:szCs w:val="26"/>
          <w:rtl/>
        </w:rPr>
        <w:t xml:space="preserve">العلاقات</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5009"/>
        <w:gridCol w:w="4098"/>
        <w:gridCol w:w="3946"/>
        <w:gridCol w:w="1518"/>
        <w:gridCol w:w="1821"/>
        <w:gridCol w:w="3036"/>
        <w:gridCol w:w="1366"/>
        <w:gridCol w:w="1217"/>
      </w:tblGrid>
      <w:tr>
        <w:trPr>
          <w:cantSplit/>
          <w:tblHeader/>
        </w:trPr>
        <w:tc>
          <w:tcPr>
            <w:tcW w:type="dxa" w:w="50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409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394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51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82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303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136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121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ref.UcpArticle</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VerifiedBy</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plat.PlatformOperator</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bl>
    <w:p>
      <w:pPr>
        <w:pStyle w:val="Heading2"/>
        <w:bidi/>
      </w:pPr>
      <w:r>
        <w:rPr>
          <w:rFonts w:ascii="Arial" w:cs="Arial" w:eastAsia="Arial" w:hAnsi="Arial"/>
          <w:b/>
          <w:bCs/>
          <w:color w:val="2B5C8A"/>
          <w:sz w:val="26"/>
          <w:szCs w:val="26"/>
          <w:rtl/>
        </w:rPr>
        <w:t xml:space="preserve">3.30 م5 · التسهيلات والمراجعات (1/2)</w:t>
      </w:r>
    </w:p>
    <w:p>
      <w:pPr>
        <w:keepNext/>
        <w:bidi/>
        <w:spacing w:after="60" w:before="0"/>
      </w:pPr>
      <w:r>
        <w:rPr>
          <w:rFonts w:ascii="Arial" w:cs="Arial" w:eastAsia="Arial" w:hAnsi="Arial"/>
          <w:b w:val="false"/>
          <w:bCs w:val="false"/>
          <w:i w:val="false"/>
          <w:iCs w:val="false"/>
          <w:color w:val="5B6670"/>
          <w:sz w:val="16"/>
          <w:szCs w:val="16"/>
          <w:rtl/>
        </w:rPr>
        <w:t xml:space="preserve">Facilities &amp; revisions</w:t>
      </w:r>
    </w:p>
    <w:p>
      <w:pPr>
        <w:keepNext/>
        <w:bidi/>
        <w:spacing w:after="60" w:before="60"/>
        <w:jc w:val="center"/>
      </w:pPr>
      <w:r>
        <w:drawing>
          <wp:inline distT="0" distB="0" distL="0" distR="0">
            <wp:extent cx="13973175" cy="7600950"/>
            <wp:effectExtent t="0" r="0" b="0" l="0"/>
            <wp:docPr id="1" name="diagrams/erd/m5_facility_core_1.png" descr="الشكل 37: م5 · التسهيلات والمراجعات (1/2) (4 جداول)" title="الشكل 37: م5 · التسهيلات والمراجعات (1/2) (4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3973175" cy="7600950"/>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37: م5 · التسهيلات والمراجعات (1/2) (4 جداول)</w:t>
      </w:r>
    </w:p>
    <w:p>
      <w:pPr>
        <w:pStyle w:val="Heading2"/>
        <w:bidi/>
      </w:pPr>
      <w:r>
        <w:rPr>
          <w:rFonts w:ascii="Arial" w:cs="Arial" w:eastAsia="Arial" w:hAnsi="Arial"/>
          <w:b/>
          <w:bCs/>
          <w:color w:val="2B5C8A"/>
          <w:sz w:val="26"/>
          <w:szCs w:val="26"/>
          <w:rtl/>
        </w:rPr>
        <w:t xml:space="preserve">الجداول</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4909"/>
        <w:gridCol w:w="1487"/>
        <w:gridCol w:w="9663"/>
        <w:gridCol w:w="3719"/>
        <w:gridCol w:w="1041"/>
        <w:gridCol w:w="1192"/>
      </w:tblGrid>
      <w:tr>
        <w:trPr>
          <w:cantSplit/>
          <w:tblHeader/>
        </w:trPr>
        <w:tc>
          <w:tcPr>
            <w:tcW w:type="dxa" w:w="49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48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966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371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104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119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fac.Facility</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حزمة الاتفاقية الائتمانية: جذر التجميعة (FR-FAC-001..008، BR-FAC-001/005/006)</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FacilityId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4</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4</w:t>
            </w:r>
          </w:p>
        </w:tc>
      </w:tr>
      <w:tr>
        <w:trPr>
          <w:cantSplit/>
        </w:trPr>
        <w:tc>
          <w:tcPr>
            <w:tcW w:type="dxa" w:w="49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fac.FacilityRevision</w:t>
            </w:r>
          </w:p>
        </w:tc>
        <w:tc>
          <w:tcPr>
            <w:tcW w:type="dxa" w:w="148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w:t>
            </w:r>
          </w:p>
        </w:tc>
        <w:tc>
          <w:tcPr>
            <w:tcW w:type="dxa" w:w="966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مراجعة معدّ/معتمِد لشروط التسهيل (FR-FAC-024، BR-FAC-003/004، §8)</w:t>
            </w:r>
          </w:p>
        </w:tc>
        <w:tc>
          <w:tcPr>
            <w:tcW w:type="dxa" w:w="37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FacilityRevisionId</w:t>
            </w:r>
          </w:p>
        </w:tc>
        <w:tc>
          <w:tcPr>
            <w:tcW w:type="dxa" w:w="104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c>
          <w:tcPr>
            <w:tcW w:type="dxa" w:w="11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fac.FacilityDocument</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وثيقة ضمن الحزمة بأسبقية (FR-FAC-004، BR-FAC-008، V-FAC-03)؛ نوعها من doc.Document.DocumentTypeId</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FacilityDocumentId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4</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4</w:t>
            </w:r>
          </w:p>
        </w:tc>
      </w:tr>
      <w:tr>
        <w:trPr>
          <w:cantSplit/>
        </w:trPr>
        <w:tc>
          <w:tcPr>
            <w:tcW w:type="dxa" w:w="49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fac.FacilityLender</w:t>
            </w:r>
          </w:p>
        </w:tc>
        <w:tc>
          <w:tcPr>
            <w:tcW w:type="dxa" w:w="148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w:t>
            </w:r>
          </w:p>
        </w:tc>
        <w:tc>
          <w:tcPr>
            <w:tcW w:type="dxa" w:w="966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مقرض وحصته (FR-FAC-003، BR-FAC-007، V-FAC-02)؛ مجموع الحصص 100 ووكيل واحد يتحقق منهما التطبيق</w:t>
            </w:r>
          </w:p>
        </w:tc>
        <w:tc>
          <w:tcPr>
            <w:tcW w:type="dxa" w:w="37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FacilityLenderId</w:t>
            </w:r>
          </w:p>
        </w:tc>
        <w:tc>
          <w:tcPr>
            <w:tcW w:type="dxa" w:w="104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4</w:t>
            </w:r>
          </w:p>
        </w:tc>
        <w:tc>
          <w:tcPr>
            <w:tcW w:type="dxa" w:w="11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bl>
    <w:p>
      <w:pPr>
        <w:pStyle w:val="Heading2"/>
        <w:bidi/>
      </w:pPr>
      <w:r>
        <w:rPr>
          <w:rFonts w:ascii="Arial" w:cs="Arial" w:eastAsia="Arial" w:hAnsi="Arial"/>
          <w:b/>
          <w:bCs/>
          <w:color w:val="2B5C8A"/>
          <w:sz w:val="26"/>
          <w:szCs w:val="26"/>
          <w:rtl/>
        </w:rPr>
        <w:t xml:space="preserve">العلاقات</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5009"/>
        <w:gridCol w:w="4098"/>
        <w:gridCol w:w="3946"/>
        <w:gridCol w:w="1518"/>
        <w:gridCol w:w="1821"/>
        <w:gridCol w:w="3036"/>
        <w:gridCol w:w="1366"/>
        <w:gridCol w:w="1217"/>
      </w:tblGrid>
      <w:tr>
        <w:trPr>
          <w:cantSplit/>
          <w:tblHeader/>
        </w:trPr>
        <w:tc>
          <w:tcPr>
            <w:tcW w:type="dxa" w:w="50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409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394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51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82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303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136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121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fac.Facility</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BorrowerCompanyId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fac.Facility</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FacilityTypeId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cat.FacilityType</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fac.Facility</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CurrencyId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ref.Currency</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fac.Facility</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PreviousFacilityId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fac.Facility</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fac.FacilityRevision</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FacilityId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fac.Facility</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fac.FacilityRevision</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SubmittedBy</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fac.FacilityRevision</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ApprovedBy</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fac.FacilityDocument</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FacilityId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fac.Facility</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fac.FacilityDocument</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DocumentId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fac.FacilityDocument</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AmendsFacilityDocumentId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fac.FacilityDocument</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FacilityId</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fac.FacilityDocument</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SupersedesId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fac.FacilityDocument</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fac.FacilityLender</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FacilityId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fac.Facility</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fac.FacilityLender</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InstitutionId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ins.Institution</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fac.FacilityLender</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ContactId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ins.Contact</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InstitutionId</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fac.FacilityLender</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SupersedesId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fac.FacilityLender</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bl>
    <w:p>
      <w:pPr>
        <w:pStyle w:val="Heading2"/>
        <w:bidi/>
      </w:pPr>
      <w:r>
        <w:rPr>
          <w:rFonts w:ascii="Arial" w:cs="Arial" w:eastAsia="Arial" w:hAnsi="Arial"/>
          <w:b/>
          <w:bCs/>
          <w:color w:val="2B5C8A"/>
          <w:sz w:val="26"/>
          <w:szCs w:val="26"/>
          <w:rtl/>
        </w:rPr>
        <w:t xml:space="preserve">3.31 م5 · التسهيلات والمراجعات (2/2)</w:t>
      </w:r>
    </w:p>
    <w:p>
      <w:pPr>
        <w:keepNext/>
        <w:bidi/>
        <w:spacing w:after="60" w:before="0"/>
      </w:pPr>
      <w:r>
        <w:rPr>
          <w:rFonts w:ascii="Arial" w:cs="Arial" w:eastAsia="Arial" w:hAnsi="Arial"/>
          <w:b w:val="false"/>
          <w:bCs w:val="false"/>
          <w:i w:val="false"/>
          <w:iCs w:val="false"/>
          <w:color w:val="5B6670"/>
          <w:sz w:val="16"/>
          <w:szCs w:val="16"/>
          <w:rtl/>
        </w:rPr>
        <w:t xml:space="preserve">Facilities &amp; revisions</w:t>
      </w:r>
    </w:p>
    <w:p>
      <w:pPr>
        <w:keepNext/>
        <w:bidi/>
        <w:spacing w:after="60" w:before="60"/>
        <w:jc w:val="center"/>
      </w:pPr>
      <w:r>
        <w:drawing>
          <wp:inline distT="0" distB="0" distL="0" distR="0">
            <wp:extent cx="8639175" cy="2800350"/>
            <wp:effectExtent t="0" r="0" b="0" l="0"/>
            <wp:docPr id="1" name="diagrams/erd/m5_facility_core_2.png" descr="الشكل 38: م5 · التسهيلات والمراجعات (2/2) (جدولان)" title="الشكل 38: م5 · التسهيلات والمراجعات (2/2) (جدولا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8639175" cy="2800350"/>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38: م5 · التسهيلات والمراجعات (2/2) (جدولان)</w:t>
      </w:r>
    </w:p>
    <w:p>
      <w:pPr>
        <w:pStyle w:val="Heading2"/>
        <w:bidi/>
      </w:pPr>
      <w:r>
        <w:rPr>
          <w:rFonts w:ascii="Arial" w:cs="Arial" w:eastAsia="Arial" w:hAnsi="Arial"/>
          <w:b/>
          <w:bCs/>
          <w:color w:val="2B5C8A"/>
          <w:sz w:val="26"/>
          <w:szCs w:val="26"/>
          <w:rtl/>
        </w:rPr>
        <w:t xml:space="preserve">الجداول</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4909"/>
        <w:gridCol w:w="1487"/>
        <w:gridCol w:w="9663"/>
        <w:gridCol w:w="3719"/>
        <w:gridCol w:w="1041"/>
        <w:gridCol w:w="1192"/>
      </w:tblGrid>
      <w:tr>
        <w:trPr>
          <w:cantSplit/>
          <w:tblHeader/>
        </w:trPr>
        <w:tc>
          <w:tcPr>
            <w:tcW w:type="dxa" w:w="49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48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966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371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104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119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fac.OutstandingSnapshot</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لقطة الرصيد المعترف به (FR-FAC-009، BR-FAC-017)؛ PctOfLimit مشتق لا يُخزَّن</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OutstandingSnapshotId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7</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r>
        <w:trPr>
          <w:cantSplit/>
        </w:trPr>
        <w:tc>
          <w:tcPr>
            <w:tcW w:type="dxa" w:w="49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fac.ValueConflict</w:t>
            </w:r>
          </w:p>
        </w:tc>
        <w:tc>
          <w:tcPr>
            <w:tcW w:type="dxa" w:w="148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w:t>
            </w:r>
          </w:p>
        </w:tc>
        <w:tc>
          <w:tcPr>
            <w:tcW w:type="dxa" w:w="966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تعارض قيمتين لحقل واحد وحسمه (FR-FAC-026، BR-FAC-019، BR-FAC-008)</w:t>
            </w:r>
          </w:p>
        </w:tc>
        <w:tc>
          <w:tcPr>
            <w:tcW w:type="dxa" w:w="37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ValueConflictId</w:t>
            </w:r>
          </w:p>
        </w:tc>
        <w:tc>
          <w:tcPr>
            <w:tcW w:type="dxa" w:w="104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4</w:t>
            </w:r>
          </w:p>
        </w:tc>
        <w:tc>
          <w:tcPr>
            <w:tcW w:type="dxa" w:w="11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bl>
    <w:p>
      <w:pPr>
        <w:pStyle w:val="Heading2"/>
        <w:bidi/>
      </w:pPr>
      <w:r>
        <w:rPr>
          <w:rFonts w:ascii="Arial" w:cs="Arial" w:eastAsia="Arial" w:hAnsi="Arial"/>
          <w:b/>
          <w:bCs/>
          <w:color w:val="2B5C8A"/>
          <w:sz w:val="26"/>
          <w:szCs w:val="26"/>
          <w:rtl/>
        </w:rPr>
        <w:t xml:space="preserve">العلاقات</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5009"/>
        <w:gridCol w:w="4098"/>
        <w:gridCol w:w="3946"/>
        <w:gridCol w:w="1518"/>
        <w:gridCol w:w="1821"/>
        <w:gridCol w:w="3036"/>
        <w:gridCol w:w="1366"/>
        <w:gridCol w:w="1217"/>
      </w:tblGrid>
      <w:tr>
        <w:trPr>
          <w:cantSplit/>
          <w:tblHeader/>
        </w:trPr>
        <w:tc>
          <w:tcPr>
            <w:tcW w:type="dxa" w:w="50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409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394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51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82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303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136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121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fac.OutstandingSnapshot</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FacilityId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fac.Facility</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fac.OutstandingSnapshot</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LimitId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FacilityId</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fac.OutstandingSnapshot</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ProductId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cat.Product</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fac.OutstandingSnapshot</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CurrencyId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ref.Currency</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fac.OutstandingSnapshot</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SourceDocumentId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fac.OutstandingSnapshot</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VerifiedBy</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fac.OutstandingSnapshot</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ConflictId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fac.ValueConflict</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fac.ValueConflict</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FacilityId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fac.Facility</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fac.ValueConflict</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CandidateASourceDocumentId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fac.ValueConflict</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CandidateBSourceDocumentId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fac.ValueConflict</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ResolvedBy</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bl>
    <w:p>
      <w:pPr>
        <w:pStyle w:val="Heading2"/>
        <w:bidi/>
      </w:pPr>
      <w:r>
        <w:rPr>
          <w:rFonts w:ascii="Arial" w:cs="Arial" w:eastAsia="Arial" w:hAnsi="Arial"/>
          <w:b/>
          <w:bCs/>
          <w:color w:val="2B5C8A"/>
          <w:sz w:val="26"/>
          <w:szCs w:val="26"/>
          <w:rtl/>
        </w:rPr>
        <w:t xml:space="preserve">3.32 م5 · الحدود والاستخدام والحجوزات (1/2)</w:t>
      </w:r>
    </w:p>
    <w:p>
      <w:pPr>
        <w:keepNext/>
        <w:bidi/>
        <w:spacing w:after="60" w:before="0"/>
      </w:pPr>
      <w:r>
        <w:rPr>
          <w:rFonts w:ascii="Arial" w:cs="Arial" w:eastAsia="Arial" w:hAnsi="Arial"/>
          <w:b w:val="false"/>
          <w:bCs w:val="false"/>
          <w:i w:val="false"/>
          <w:iCs w:val="false"/>
          <w:color w:val="5B6670"/>
          <w:sz w:val="16"/>
          <w:szCs w:val="16"/>
          <w:rtl/>
        </w:rPr>
        <w:t xml:space="preserve">Limits, utilisation &amp; reservations</w:t>
      </w:r>
    </w:p>
    <w:p>
      <w:pPr>
        <w:keepNext/>
        <w:bidi/>
        <w:spacing w:after="60" w:before="60"/>
        <w:jc w:val="center"/>
      </w:pPr>
      <w:r>
        <w:drawing>
          <wp:inline distT="0" distB="0" distL="0" distR="0">
            <wp:extent cx="9705975" cy="7620000"/>
            <wp:effectExtent t="0" r="0" b="0" l="0"/>
            <wp:docPr id="1" name="diagrams/erd/m5_limits_1.png" descr="الشكل 39: م5 · الحدود والاستخدام والحجوزات (1/2) (4 جداول)" title="الشكل 39: م5 · الحدود والاستخدام والحجوزات (1/2) (4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9705975" cy="7620000"/>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39: م5 · الحدود والاستخدام والحجوزات (1/2) (4 جداول)</w:t>
      </w:r>
    </w:p>
    <w:p>
      <w:pPr>
        <w:pStyle w:val="Heading2"/>
        <w:bidi/>
      </w:pPr>
      <w:r>
        <w:rPr>
          <w:rFonts w:ascii="Arial" w:cs="Arial" w:eastAsia="Arial" w:hAnsi="Arial"/>
          <w:b/>
          <w:bCs/>
          <w:color w:val="2B5C8A"/>
          <w:sz w:val="26"/>
          <w:szCs w:val="26"/>
          <w:rtl/>
        </w:rPr>
        <w:t xml:space="preserve">الجداول</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4909"/>
        <w:gridCol w:w="1487"/>
        <w:gridCol w:w="9663"/>
        <w:gridCol w:w="3719"/>
        <w:gridCol w:w="1041"/>
        <w:gridCol w:w="1192"/>
      </w:tblGrid>
      <w:tr>
        <w:trPr>
          <w:cantSplit/>
          <w:tblHeader/>
        </w:trPr>
        <w:tc>
          <w:tcPr>
            <w:tcW w:type="dxa" w:w="49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48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966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371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104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119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عقدة شجرة الحدود (FR-FAC-010/011، BR-FAC-009/010، V-FAC-04..07)</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LimitId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7</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r>
        <w:trPr>
          <w:cantSplit/>
        </w:trPr>
        <w:tc>
          <w:tcPr>
            <w:tcW w:type="dxa" w:w="49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fac.LimitProductLine</w:t>
            </w:r>
          </w:p>
        </w:tc>
        <w:tc>
          <w:tcPr>
            <w:tcW w:type="dxa" w:w="148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w:t>
            </w:r>
          </w:p>
        </w:tc>
        <w:tc>
          <w:tcPr>
            <w:tcW w:type="dxa" w:w="966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خط منتج داخل حد: سقف اختياري SHARED_CAP دائمًا (FR-FAC-012، V-FAC-08)</w:t>
            </w:r>
          </w:p>
        </w:tc>
        <w:tc>
          <w:tcPr>
            <w:tcW w:type="dxa" w:w="37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LimitProductLineId</w:t>
            </w:r>
          </w:p>
        </w:tc>
        <w:tc>
          <w:tcPr>
            <w:tcW w:type="dxa" w:w="104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7</w:t>
            </w:r>
          </w:p>
        </w:tc>
        <w:tc>
          <w:tcPr>
            <w:tcW w:type="dxa" w:w="11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4</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fac.LimitCompanyRule</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قيد شركة على حد: مسموح/مستثنى/تخصيص (FR-FAC-013، BR-FAC-012، V-FAC-09)</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LimitCompanyRuleId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7</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r>
        <w:trPr>
          <w:cantSplit/>
        </w:trPr>
        <w:tc>
          <w:tcPr>
            <w:tcW w:type="dxa" w:w="49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fac.ProductLineTerm</w:t>
            </w:r>
          </w:p>
        </w:tc>
        <w:tc>
          <w:tcPr>
            <w:tcW w:type="dxa" w:w="148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w:t>
            </w:r>
          </w:p>
        </w:tc>
        <w:tc>
          <w:tcPr>
            <w:tcW w:type="dxa" w:w="966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شروط العملية لخط المنتج بتواريخ سريان؛ الفارغ = «غير محدد» لا صفر (FR-FAC-014، BR-FAC-016)</w:t>
            </w:r>
          </w:p>
        </w:tc>
        <w:tc>
          <w:tcPr>
            <w:tcW w:type="dxa" w:w="37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ProductLineTermId</w:t>
            </w:r>
          </w:p>
        </w:tc>
        <w:tc>
          <w:tcPr>
            <w:tcW w:type="dxa" w:w="104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6</w:t>
            </w:r>
          </w:p>
        </w:tc>
        <w:tc>
          <w:tcPr>
            <w:tcW w:type="dxa" w:w="11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bl>
    <w:p>
      <w:pPr>
        <w:pStyle w:val="Heading2"/>
        <w:bidi/>
      </w:pPr>
      <w:r>
        <w:rPr>
          <w:rFonts w:ascii="Arial" w:cs="Arial" w:eastAsia="Arial" w:hAnsi="Arial"/>
          <w:b/>
          <w:bCs/>
          <w:color w:val="2B5C8A"/>
          <w:sz w:val="26"/>
          <w:szCs w:val="26"/>
          <w:rtl/>
        </w:rPr>
        <w:t xml:space="preserve">العلاقات</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5009"/>
        <w:gridCol w:w="4098"/>
        <w:gridCol w:w="3946"/>
        <w:gridCol w:w="1518"/>
        <w:gridCol w:w="1821"/>
        <w:gridCol w:w="3036"/>
        <w:gridCol w:w="1366"/>
        <w:gridCol w:w="1217"/>
      </w:tblGrid>
      <w:tr>
        <w:trPr>
          <w:cantSplit/>
          <w:tblHeader/>
        </w:trPr>
        <w:tc>
          <w:tcPr>
            <w:tcW w:type="dxa" w:w="50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409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394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51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82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303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136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121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FacilityId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fac.Facility</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ParentLimitId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FacilityId</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LimitTypeId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cat.LimitType</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SupersedesId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SourceDocumentId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VerifiedBy</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ConflictId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fac.ValueConflict</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fac.LimitProductLine</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FacilityId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fac.Facility</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fac.LimitProductLine</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LimitId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FacilityId</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fac.LimitProductLine</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ProductId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cat.Product</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fac.LimitProductLine</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SupersedesId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fac.LimitProductLine</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fac.LimitProductLine</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SourceDocumentId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fac.LimitProductLine</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VerifiedBy</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fac.LimitProductLine</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ConflictId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fac.ValueConflict</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fac.LimitCompanyRule</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FacilityId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fac.Facility</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fac.LimitCompanyRule</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LimitId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FacilityId</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fac.LimitCompanyRule</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CompanyId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fac.LimitCompanyRule</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SupersedesId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fac.LimitCompanyRule</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fac.LimitCompanyRule</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SourceDocumentId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fac.LimitCompanyRule</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VerifiedBy</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fac.LimitCompanyRule</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ConflictId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fac.ValueConflict</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fac.ProductLineTerm</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FacilityId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fac.Facility</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fac.ProductLineTerm</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LimitProductLineId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fac.LimitProductLine</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FacilityId</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fac.ProductLineTerm</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SupersedesId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fac.ProductLineTerm</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fac.ProductLineTerm</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SourceDocumentId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fac.ProductLineTerm</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VerifiedBy</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fac.ProductLineTerm</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ConflictId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fac.ValueConflict</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bl>
    <w:p>
      <w:pPr>
        <w:pStyle w:val="Heading2"/>
        <w:bidi/>
      </w:pPr>
      <w:r>
        <w:rPr>
          <w:rFonts w:ascii="Arial" w:cs="Arial" w:eastAsia="Arial" w:hAnsi="Arial"/>
          <w:b/>
          <w:bCs/>
          <w:color w:val="2B5C8A"/>
          <w:sz w:val="26"/>
          <w:szCs w:val="26"/>
          <w:rtl/>
        </w:rPr>
        <w:t xml:space="preserve">3.33 م5 · الحدود والاستخدام والحجوزات (2/2)</w:t>
      </w:r>
    </w:p>
    <w:p>
      <w:pPr>
        <w:keepNext/>
        <w:bidi/>
        <w:spacing w:after="60" w:before="0"/>
      </w:pPr>
      <w:r>
        <w:rPr>
          <w:rFonts w:ascii="Arial" w:cs="Arial" w:eastAsia="Arial" w:hAnsi="Arial"/>
          <w:b w:val="false"/>
          <w:bCs w:val="false"/>
          <w:i w:val="false"/>
          <w:iCs w:val="false"/>
          <w:color w:val="5B6670"/>
          <w:sz w:val="16"/>
          <w:szCs w:val="16"/>
          <w:rtl/>
        </w:rPr>
        <w:t xml:space="preserve">Limits, utilisation &amp; reservations</w:t>
      </w:r>
    </w:p>
    <w:p>
      <w:pPr>
        <w:keepNext/>
        <w:bidi/>
        <w:spacing w:after="60" w:before="60"/>
        <w:jc w:val="center"/>
      </w:pPr>
      <w:r>
        <w:drawing>
          <wp:inline distT="0" distB="0" distL="0" distR="0">
            <wp:extent cx="3581400" cy="7620000"/>
            <wp:effectExtent t="0" r="0" b="0" l="0"/>
            <wp:docPr id="1" name="diagrams/erd/m5_limits_2.png" descr="الشكل 40: م5 · الحدود والاستخدام والحجوزات (2/2) (3 جداول)" title="الشكل 40: م5 · الحدود والاستخدام والحجوزات (2/2) (3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3581400" cy="7620000"/>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40: م5 · الحدود والاستخدام والحجوزات (2/2) (3 جداول)</w:t>
      </w:r>
    </w:p>
    <w:p>
      <w:pPr>
        <w:pStyle w:val="Heading2"/>
        <w:bidi/>
      </w:pPr>
      <w:r>
        <w:rPr>
          <w:rFonts w:ascii="Arial" w:cs="Arial" w:eastAsia="Arial" w:hAnsi="Arial"/>
          <w:b/>
          <w:bCs/>
          <w:color w:val="2B5C8A"/>
          <w:sz w:val="26"/>
          <w:szCs w:val="26"/>
          <w:rtl/>
        </w:rPr>
        <w:t xml:space="preserve">الجداول</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4909"/>
        <w:gridCol w:w="1487"/>
        <w:gridCol w:w="9663"/>
        <w:gridCol w:w="3719"/>
        <w:gridCol w:w="1041"/>
        <w:gridCol w:w="1192"/>
      </w:tblGrid>
      <w:tr>
        <w:trPr>
          <w:cantSplit/>
          <w:tblHeader/>
        </w:trPr>
        <w:tc>
          <w:tcPr>
            <w:tcW w:type="dxa" w:w="49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48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966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371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104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119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fac.Utilization</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بند استخدام فعّال: يدوي أو مرتبط باعتماد مستندي؛ لا حذف (FR-FAC-016/030، BR-FAC-013/020)</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UtilizationId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5</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4</w:t>
            </w:r>
          </w:p>
        </w:tc>
      </w:tr>
      <w:tr>
        <w:trPr>
          <w:cantSplit/>
        </w:trPr>
        <w:tc>
          <w:tcPr>
            <w:tcW w:type="dxa" w:w="49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fac.LimitReservation</w:t>
            </w:r>
          </w:p>
        </w:tc>
        <w:tc>
          <w:tcPr>
            <w:tcW w:type="dxa" w:w="148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w:t>
            </w:r>
          </w:p>
        </w:tc>
        <w:tc>
          <w:tcPr>
            <w:tcW w:type="dxa" w:w="966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حجز مبلغ لطلب = ExposureAmount (FR-FAC-017/018/020، BR-FAC-015)</w:t>
            </w:r>
          </w:p>
        </w:tc>
        <w:tc>
          <w:tcPr>
            <w:tcW w:type="dxa" w:w="37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LimitReservationId</w:t>
            </w:r>
          </w:p>
        </w:tc>
        <w:tc>
          <w:tcPr>
            <w:tcW w:type="dxa" w:w="104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7</w:t>
            </w:r>
          </w:p>
        </w:tc>
        <w:tc>
          <w:tcPr>
            <w:tcW w:type="dxa" w:w="11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5</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fac.LimitMovement</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سجل حركة على حجز أو استخدام؛ لا تعديل ولا حذف؛ مفتاح عدم التكرار (BR-FAC-015/020)</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LimitMovementId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5</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bl>
    <w:p>
      <w:pPr>
        <w:pStyle w:val="Heading2"/>
        <w:bidi/>
      </w:pPr>
      <w:r>
        <w:rPr>
          <w:rFonts w:ascii="Arial" w:cs="Arial" w:eastAsia="Arial" w:hAnsi="Arial"/>
          <w:b/>
          <w:bCs/>
          <w:color w:val="2B5C8A"/>
          <w:sz w:val="26"/>
          <w:szCs w:val="26"/>
          <w:rtl/>
        </w:rPr>
        <w:t xml:space="preserve">العلاقات</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5009"/>
        <w:gridCol w:w="4098"/>
        <w:gridCol w:w="3946"/>
        <w:gridCol w:w="1518"/>
        <w:gridCol w:w="1821"/>
        <w:gridCol w:w="3036"/>
        <w:gridCol w:w="1366"/>
        <w:gridCol w:w="1217"/>
      </w:tblGrid>
      <w:tr>
        <w:trPr>
          <w:cantSplit/>
          <w:tblHeader/>
        </w:trPr>
        <w:tc>
          <w:tcPr>
            <w:tcW w:type="dxa" w:w="50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409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394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51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82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303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136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121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fac.Utilization</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FacilityId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fac.Facility</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fac.Utilization</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LimitId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FacilityId</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fac.Utilization</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LimitProductLineId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fac.LimitProductLine</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FacilityId, LimitId</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fac.Utilization</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CompanyId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fac.Utilization</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CurrencyId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ref.Currency</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fac.LimitReservation</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FacilityId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fac.Facility</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fac.LimitReservation</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LimitId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FacilityId</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fac.LimitReservation</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LimitProductLineId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fac.LimitProductLine</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FacilityId, LimitId</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fac.LimitReservation</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CompanyId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fac.LimitReservation</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RequestId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fac.LimitReservation</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CurrencyId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ref.Currency</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fac.LimitReservation</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ConvertedUtilizationId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fac.Utilization</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FacilityId</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fac.LimitMovement</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FacilityId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fac.Facility</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fac.LimitMovement</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LimitReservationId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fac.LimitReservation</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FacilityId</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fac.LimitMovement</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UtilizationId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fac.Utilization</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FacilityId</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fac.LimitMovement</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CurrencyId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ref.Currency</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fac.LimitMovement</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ActorUserId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bl>
    <w:p>
      <w:pPr>
        <w:pStyle w:val="Heading2"/>
        <w:bidi/>
      </w:pPr>
      <w:r>
        <w:rPr>
          <w:rFonts w:ascii="Arial" w:cs="Arial" w:eastAsia="Arial" w:hAnsi="Arial"/>
          <w:b/>
          <w:bCs/>
          <w:color w:val="2B5C8A"/>
          <w:sz w:val="26"/>
          <w:szCs w:val="26"/>
          <w:rtl/>
        </w:rPr>
        <w:t xml:space="preserve">3.34 م5 · التسعير وشروط المقارنة (1/2)</w:t>
      </w:r>
    </w:p>
    <w:p>
      <w:pPr>
        <w:keepNext/>
        <w:bidi/>
        <w:spacing w:after="60" w:before="0"/>
      </w:pPr>
      <w:r>
        <w:rPr>
          <w:rFonts w:ascii="Arial" w:cs="Arial" w:eastAsia="Arial" w:hAnsi="Arial"/>
          <w:b w:val="false"/>
          <w:bCs w:val="false"/>
          <w:i w:val="false"/>
          <w:iCs w:val="false"/>
          <w:color w:val="5B6670"/>
          <w:sz w:val="16"/>
          <w:szCs w:val="16"/>
          <w:rtl/>
        </w:rPr>
        <w:t xml:space="preserve">Pricing, tariffs &amp; comparable terms</w:t>
      </w:r>
    </w:p>
    <w:p>
      <w:pPr>
        <w:keepNext/>
        <w:bidi/>
        <w:spacing w:after="60" w:before="60"/>
        <w:jc w:val="center"/>
      </w:pPr>
      <w:r>
        <w:drawing>
          <wp:inline distT="0" distB="0" distL="0" distR="0">
            <wp:extent cx="1990725" cy="7620000"/>
            <wp:effectExtent t="0" r="0" b="0" l="0"/>
            <wp:docPr id="1" name="diagrams/erd/m5_pricing_1.png" descr="الشكل 41: م5 · التسعير وشروط المقارنة (1/2) (4 جداول)" title="الشكل 41: م5 · التسعير وشروط المقارنة (1/2) (4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990725" cy="7620000"/>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41: م5 · التسعير وشروط المقارنة (1/2) (4 جداول)</w:t>
      </w:r>
    </w:p>
    <w:p>
      <w:pPr>
        <w:pStyle w:val="Heading2"/>
        <w:bidi/>
      </w:pPr>
      <w:r>
        <w:rPr>
          <w:rFonts w:ascii="Arial" w:cs="Arial" w:eastAsia="Arial" w:hAnsi="Arial"/>
          <w:b/>
          <w:bCs/>
          <w:color w:val="2B5C8A"/>
          <w:sz w:val="26"/>
          <w:szCs w:val="26"/>
          <w:rtl/>
        </w:rPr>
        <w:t xml:space="preserve">الجداول</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4909"/>
        <w:gridCol w:w="1487"/>
        <w:gridCol w:w="9663"/>
        <w:gridCol w:w="3719"/>
        <w:gridCol w:w="1041"/>
        <w:gridCol w:w="1192"/>
      </w:tblGrid>
      <w:tr>
        <w:trPr>
          <w:cantSplit/>
          <w:tblHeader/>
        </w:trPr>
        <w:tc>
          <w:tcPr>
            <w:tcW w:type="dxa" w:w="49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48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966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371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104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119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prc.PricingRule</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prc</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قاعدة تسعير بنطاق ووراثة وطرق (FR-PRC-006..017، BR-PRC-006..012، V-PRC-02)</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PricingRuleId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14</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4</w:t>
            </w:r>
          </w:p>
        </w:tc>
      </w:tr>
      <w:tr>
        <w:trPr>
          <w:cantSplit/>
        </w:trPr>
        <w:tc>
          <w:tcPr>
            <w:tcW w:type="dxa" w:w="49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prc.PricingTier</w:t>
            </w:r>
          </w:p>
        </w:tc>
        <w:tc>
          <w:tcPr>
            <w:tcW w:type="dxa" w:w="148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prc</w:t>
            </w:r>
          </w:p>
        </w:tc>
        <w:tc>
          <w:tcPr>
            <w:tcW w:type="dxa" w:w="966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شريحة قاعدة TIERED بالمبلغ و/أو المدة (FR-PRC-003، BR-PRC-002)</w:t>
            </w:r>
          </w:p>
        </w:tc>
        <w:tc>
          <w:tcPr>
            <w:tcW w:type="dxa" w:w="37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PricingTierId</w:t>
            </w:r>
          </w:p>
        </w:tc>
        <w:tc>
          <w:tcPr>
            <w:tcW w:type="dxa" w:w="104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c>
          <w:tcPr>
            <w:tcW w:type="dxa" w:w="11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prc.TariffItem</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prc</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بند رسم في جدول التعرفة (FR-PRC-002، BR-PRC-002..005)</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TariffItemId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7</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r>
        <w:trPr>
          <w:cantSplit/>
        </w:trPr>
        <w:tc>
          <w:tcPr>
            <w:tcW w:type="dxa" w:w="49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prc.TariffSchedule</w:t>
            </w:r>
          </w:p>
        </w:tc>
        <w:tc>
          <w:tcPr>
            <w:tcW w:type="dxa" w:w="148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prc</w:t>
            </w:r>
          </w:p>
        </w:tc>
        <w:tc>
          <w:tcPr>
            <w:tcW w:type="dxa" w:w="966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إصدار جدول رسوم لبنك؛ خاص بتسهيل اختياريًا (FR-PRC-001، BR-PRC-001، V-PRC-01)</w:t>
            </w:r>
          </w:p>
        </w:tc>
        <w:tc>
          <w:tcPr>
            <w:tcW w:type="dxa" w:w="37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TariffScheduleId</w:t>
            </w:r>
          </w:p>
        </w:tc>
        <w:tc>
          <w:tcPr>
            <w:tcW w:type="dxa" w:w="104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4</w:t>
            </w:r>
          </w:p>
        </w:tc>
        <w:tc>
          <w:tcPr>
            <w:tcW w:type="dxa" w:w="11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4</w:t>
            </w:r>
          </w:p>
        </w:tc>
      </w:tr>
    </w:tbl>
    <w:p>
      <w:pPr>
        <w:pStyle w:val="Heading2"/>
        <w:bidi/>
      </w:pPr>
      <w:r>
        <w:rPr>
          <w:rFonts w:ascii="Arial" w:cs="Arial" w:eastAsia="Arial" w:hAnsi="Arial"/>
          <w:b/>
          <w:bCs/>
          <w:color w:val="2B5C8A"/>
          <w:sz w:val="26"/>
          <w:szCs w:val="26"/>
          <w:rtl/>
        </w:rPr>
        <w:t xml:space="preserve">العلاقات</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5009"/>
        <w:gridCol w:w="4098"/>
        <w:gridCol w:w="3946"/>
        <w:gridCol w:w="1518"/>
        <w:gridCol w:w="1821"/>
        <w:gridCol w:w="3036"/>
        <w:gridCol w:w="1366"/>
        <w:gridCol w:w="1217"/>
      </w:tblGrid>
      <w:tr>
        <w:trPr>
          <w:cantSplit/>
          <w:tblHeader/>
        </w:trPr>
        <w:tc>
          <w:tcPr>
            <w:tcW w:type="dxa" w:w="50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409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394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51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82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303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136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121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prc.PricingRule</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FacilityId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fac.Facility</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prc.PricingRule</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ScopeLimitId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FacilityId</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prc.PricingRule</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ScopeLimitProductLineId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fac.LimitProductLine</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FacilityId, ScopeLimitId</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prc.PricingRule</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ScopeProductId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cat.Product</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prc.PricingRule</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ScopeCompanyId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prc.PricingRule</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FeeTypeId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cat.FeeType</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prc.PricingRule</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FinancingTypeId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cat.FinancingType</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prc.PricingRule</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TariffItemId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prc.TariffItem</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prc.PricingRule</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BaseRateId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cat.BaseRate</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prc.PricingRule</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CurrencyId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ref.Currency</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prc.PricingRule</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SupersedesId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prc.PricingRule</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prc.PricingRule</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SourceDocumentId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prc.PricingRule</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VerifiedBy</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prc.PricingRule</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ConflictId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fac.ValueConflict</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prc.PricingTier</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FacilityId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fac.Facility</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prc.PricingTier</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PricingRuleId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prc.PricingRule</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FacilityId</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prc.PricingTier</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SupersedesId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prc.PricingTier</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prc.TariffItem</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ScheduleId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prc.TariffSchedule</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prc.TariffItem</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FeeTypeId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cat.FeeType</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prc.TariffItem</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ProductId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cat.Product</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prc.TariffItem</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CurrencyId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ref.Currency</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prc.TariffItem</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SourceDocumentId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prc.TariffItem</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VerifiedBy</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prc.TariffItem</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ConflictId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fac.ValueConflict</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prc.TariffSchedule</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InstitutionId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ins.Institution</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prc.TariffSchedule</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FacilityId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fac.Facility</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prc.TariffSchedule</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SourceDocumentId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prc.TariffSchedule</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ApprovedBy</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bl>
    <w:p>
      <w:pPr>
        <w:pStyle w:val="Heading2"/>
        <w:bidi/>
      </w:pPr>
      <w:r>
        <w:rPr>
          <w:rFonts w:ascii="Arial" w:cs="Arial" w:eastAsia="Arial" w:hAnsi="Arial"/>
          <w:b/>
          <w:bCs/>
          <w:color w:val="2B5C8A"/>
          <w:sz w:val="26"/>
          <w:szCs w:val="26"/>
          <w:rtl/>
        </w:rPr>
        <w:t xml:space="preserve">3.35 م5 · التسعير وشروط المقارنة (2/2)</w:t>
      </w:r>
    </w:p>
    <w:p>
      <w:pPr>
        <w:keepNext/>
        <w:bidi/>
        <w:spacing w:after="60" w:before="0"/>
      </w:pPr>
      <w:r>
        <w:rPr>
          <w:rFonts w:ascii="Arial" w:cs="Arial" w:eastAsia="Arial" w:hAnsi="Arial"/>
          <w:b w:val="false"/>
          <w:bCs w:val="false"/>
          <w:i w:val="false"/>
          <w:iCs w:val="false"/>
          <w:color w:val="5B6670"/>
          <w:sz w:val="16"/>
          <w:szCs w:val="16"/>
          <w:rtl/>
        </w:rPr>
        <w:t xml:space="preserve">Pricing, tariffs &amp; comparable terms</w:t>
      </w:r>
    </w:p>
    <w:p>
      <w:pPr>
        <w:keepNext/>
        <w:bidi/>
        <w:spacing w:after="60" w:before="60"/>
        <w:jc w:val="center"/>
      </w:pPr>
      <w:r>
        <w:drawing>
          <wp:inline distT="0" distB="0" distL="0" distR="0">
            <wp:extent cx="7477125" cy="6648450"/>
            <wp:effectExtent t="0" r="0" b="0" l="0"/>
            <wp:docPr id="1" name="diagrams/erd/m5_pricing_2.png" descr="الشكل 42: م5 · التسعير وشروط المقارنة (2/2) (3 جداول)" title="الشكل 42: م5 · التسعير وشروط المقارنة (2/2) (3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7477125" cy="6648450"/>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42: م5 · التسعير وشروط المقارنة (2/2) (3 جداول)</w:t>
      </w:r>
    </w:p>
    <w:p>
      <w:pPr>
        <w:pStyle w:val="Heading2"/>
        <w:bidi/>
      </w:pPr>
      <w:r>
        <w:rPr>
          <w:rFonts w:ascii="Arial" w:cs="Arial" w:eastAsia="Arial" w:hAnsi="Arial"/>
          <w:b/>
          <w:bCs/>
          <w:color w:val="2B5C8A"/>
          <w:sz w:val="26"/>
          <w:szCs w:val="26"/>
          <w:rtl/>
        </w:rPr>
        <w:t xml:space="preserve">الجداول</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4909"/>
        <w:gridCol w:w="1487"/>
        <w:gridCol w:w="9663"/>
        <w:gridCol w:w="3719"/>
        <w:gridCol w:w="1041"/>
        <w:gridCol w:w="1192"/>
      </w:tblGrid>
      <w:tr>
        <w:trPr>
          <w:cantSplit/>
          <w:tblHeader/>
        </w:trPr>
        <w:tc>
          <w:tcPr>
            <w:tcW w:type="dxa" w:w="49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48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966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371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104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119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prc.TariffTier</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prc</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شريحة بند تعرفة بالمبلغ و/أو المدة (FR-PRC-003، BR-PRC-002)</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TariffTierId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r>
        <w:trPr>
          <w:cantSplit/>
        </w:trPr>
        <w:tc>
          <w:tcPr>
            <w:tcW w:type="dxa" w:w="49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cmp.TermType</w:t>
            </w:r>
          </w:p>
        </w:tc>
        <w:tc>
          <w:tcPr>
            <w:tcW w:type="dxa" w:w="148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cmp</w:t>
            </w:r>
          </w:p>
        </w:tc>
        <w:tc>
          <w:tcPr>
            <w:tcW w:type="dxa" w:w="966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مفتاح شرط قابل للمقارنة (FR-CMP-001)؛ الرمز بنمط PRC.MARGIN_PCT؛ النظامي لا يُحذف ولا تتغير وحدته (IsSystem)</w:t>
            </w:r>
          </w:p>
        </w:tc>
        <w:tc>
          <w:tcPr>
            <w:tcW w:type="dxa" w:w="37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TermTypeId</w:t>
            </w:r>
          </w:p>
        </w:tc>
        <w:tc>
          <w:tcPr>
            <w:tcW w:type="dxa" w:w="104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c>
          <w:tcPr>
            <w:tcW w:type="dxa" w:w="11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cmp.TermValue</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cmp</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قيمة شرط في تسهيل بنطاقها ومصدرها (FR-CMP-002..006، BR-CMP-001..006، V-CMP-01)</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TermValueId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11</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bl>
    <w:p>
      <w:pPr>
        <w:pStyle w:val="Heading2"/>
        <w:bidi/>
      </w:pPr>
      <w:r>
        <w:rPr>
          <w:rFonts w:ascii="Arial" w:cs="Arial" w:eastAsia="Arial" w:hAnsi="Arial"/>
          <w:b/>
          <w:bCs/>
          <w:color w:val="2B5C8A"/>
          <w:sz w:val="26"/>
          <w:szCs w:val="26"/>
          <w:rtl/>
        </w:rPr>
        <w:t xml:space="preserve">العلاقات</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5009"/>
        <w:gridCol w:w="4098"/>
        <w:gridCol w:w="3946"/>
        <w:gridCol w:w="1518"/>
        <w:gridCol w:w="1821"/>
        <w:gridCol w:w="3036"/>
        <w:gridCol w:w="1366"/>
        <w:gridCol w:w="1217"/>
      </w:tblGrid>
      <w:tr>
        <w:trPr>
          <w:cantSplit/>
          <w:tblHeader/>
        </w:trPr>
        <w:tc>
          <w:tcPr>
            <w:tcW w:type="dxa" w:w="50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409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394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51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82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303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136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121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prc.TariffTier</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TariffItemId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prc.TariffItem</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cmp.TermValue</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FacilityId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fac.Facility</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cmp.TermValue</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TermTypeId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cmp.TermType</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cmp.TermValue</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LimitId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FacilityId</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cmp.TermValue</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LimitProductLineId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fac.LimitProductLine</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FacilityId, LimitId</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cmp.TermValue</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ProductId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cat.Product</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cmp.TermValue</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CompanyId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cmp.TermValue</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CurrencyId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ref.Currency</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cmp.TermValue</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SupersedesId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cmp.TermValue</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cmp.TermValue</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SourceDocumentId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cmp.TermValue</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VerifiedBy</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cmp.TermValue</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ConflictId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fac.ValueConflict</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bl>
    <w:p>
      <w:pPr>
        <w:pStyle w:val="Heading2"/>
        <w:bidi/>
      </w:pPr>
      <w:r>
        <w:rPr>
          <w:rFonts w:ascii="Arial" w:cs="Arial" w:eastAsia="Arial" w:hAnsi="Arial"/>
          <w:b/>
          <w:bCs/>
          <w:color w:val="2B5C8A"/>
          <w:sz w:val="26"/>
          <w:szCs w:val="26"/>
          <w:rtl/>
        </w:rPr>
        <w:t xml:space="preserve">3.36 م5 · الضمانات (1/2)</w:t>
      </w:r>
    </w:p>
    <w:p>
      <w:pPr>
        <w:keepNext/>
        <w:bidi/>
        <w:spacing w:after="60" w:before="0"/>
      </w:pPr>
      <w:r>
        <w:rPr>
          <w:rFonts w:ascii="Arial" w:cs="Arial" w:eastAsia="Arial" w:hAnsi="Arial"/>
          <w:b w:val="false"/>
          <w:bCs w:val="false"/>
          <w:i w:val="false"/>
          <w:iCs w:val="false"/>
          <w:color w:val="5B6670"/>
          <w:sz w:val="16"/>
          <w:szCs w:val="16"/>
          <w:rtl/>
        </w:rPr>
        <w:t xml:space="preserve">Collateral &amp; guarantees</w:t>
      </w:r>
    </w:p>
    <w:p>
      <w:pPr>
        <w:keepNext/>
        <w:bidi/>
        <w:spacing w:after="60" w:before="60"/>
        <w:jc w:val="center"/>
      </w:pPr>
      <w:r>
        <w:drawing>
          <wp:inline distT="0" distB="0" distL="0" distR="0">
            <wp:extent cx="13973175" cy="6924675"/>
            <wp:effectExtent t="0" r="0" b="0" l="0"/>
            <wp:docPr id="1" name="diagrams/erd/m5_collateral_1.png" descr="الشكل 43: م5 · الضمانات (1/2) (4 جداول)" title="الشكل 43: م5 · الضمانات (1/2) (4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3973175" cy="6924675"/>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43: م5 · الضمانات (1/2) (4 جداول)</w:t>
      </w:r>
    </w:p>
    <w:p>
      <w:pPr>
        <w:pStyle w:val="Heading2"/>
        <w:bidi/>
      </w:pPr>
      <w:r>
        <w:rPr>
          <w:rFonts w:ascii="Arial" w:cs="Arial" w:eastAsia="Arial" w:hAnsi="Arial"/>
          <w:b/>
          <w:bCs/>
          <w:color w:val="2B5C8A"/>
          <w:sz w:val="26"/>
          <w:szCs w:val="26"/>
          <w:rtl/>
        </w:rPr>
        <w:t xml:space="preserve">الجداول</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4909"/>
        <w:gridCol w:w="1487"/>
        <w:gridCol w:w="9663"/>
        <w:gridCol w:w="3719"/>
        <w:gridCol w:w="1041"/>
        <w:gridCol w:w="1192"/>
      </w:tblGrid>
      <w:tr>
        <w:trPr>
          <w:cantSplit/>
          <w:tblHeader/>
        </w:trPr>
        <w:tc>
          <w:tcPr>
            <w:tcW w:type="dxa" w:w="49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48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966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371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104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119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col.Collateral</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col</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سجل ضمان؛ اعتماد مستقل عن مراجعة التسهيل، والتعديل يُنشئ إصدارًا جديدًا (FR-COL-001/014، V-COL-01، §8)</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CollateralId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9</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r>
        <w:trPr>
          <w:cantSplit/>
        </w:trPr>
        <w:tc>
          <w:tcPr>
            <w:tcW w:type="dxa" w:w="49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col.CollateralLink</w:t>
            </w:r>
          </w:p>
        </w:tc>
        <w:tc>
          <w:tcPr>
            <w:tcW w:type="dxa" w:w="148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col</w:t>
            </w:r>
          </w:p>
        </w:tc>
        <w:tc>
          <w:tcPr>
            <w:tcW w:type="dxa" w:w="966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ربط ضمان بتسهيل أو حد؛ ضمان واحد لعدة تسهيلات (FR-COL-002، BR-COL-005)</w:t>
            </w:r>
          </w:p>
        </w:tc>
        <w:tc>
          <w:tcPr>
            <w:tcW w:type="dxa" w:w="37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CollateralLinkId</w:t>
            </w:r>
          </w:p>
        </w:tc>
        <w:tc>
          <w:tcPr>
            <w:tcW w:type="dxa" w:w="104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4</w:t>
            </w:r>
          </w:p>
        </w:tc>
        <w:tc>
          <w:tcPr>
            <w:tcW w:type="dxa" w:w="11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col.Guarantee</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col</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كفالة 1:1 مع Collateral؛ الكفيل Party دائمًا ولا أرقام هوية هنا (FR-COL-003/004، BR-COL-001)</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GuaranteeId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5</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r>
        <w:trPr>
          <w:cantSplit/>
        </w:trPr>
        <w:tc>
          <w:tcPr>
            <w:tcW w:type="dxa" w:w="49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col.InsurancePolicyAssignment</w:t>
            </w:r>
          </w:p>
        </w:tc>
        <w:tc>
          <w:tcPr>
            <w:tcW w:type="dxa" w:w="148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col</w:t>
            </w:r>
          </w:p>
        </w:tc>
        <w:tc>
          <w:tcPr>
            <w:tcW w:type="dxa" w:w="966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تجيير وثيقة تأمين؛ مفتاح الفرادة (CollateralId,PolicyNo) يسمح بتجديد الوثيقة (FR-COL-006، BR-COL-003)</w:t>
            </w:r>
          </w:p>
        </w:tc>
        <w:tc>
          <w:tcPr>
            <w:tcW w:type="dxa" w:w="37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InsurancePolicyAssignmentId</w:t>
            </w:r>
          </w:p>
        </w:tc>
        <w:tc>
          <w:tcPr>
            <w:tcW w:type="dxa" w:w="104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4</w:t>
            </w:r>
          </w:p>
        </w:tc>
        <w:tc>
          <w:tcPr>
            <w:tcW w:type="dxa" w:w="11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bl>
    <w:p>
      <w:pPr>
        <w:pStyle w:val="Heading2"/>
        <w:bidi/>
      </w:pPr>
      <w:r>
        <w:rPr>
          <w:rFonts w:ascii="Arial" w:cs="Arial" w:eastAsia="Arial" w:hAnsi="Arial"/>
          <w:b/>
          <w:bCs/>
          <w:color w:val="2B5C8A"/>
          <w:sz w:val="26"/>
          <w:szCs w:val="26"/>
          <w:rtl/>
        </w:rPr>
        <w:t xml:space="preserve">العلاقات</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5009"/>
        <w:gridCol w:w="4098"/>
        <w:gridCol w:w="3946"/>
        <w:gridCol w:w="1518"/>
        <w:gridCol w:w="1821"/>
        <w:gridCol w:w="3036"/>
        <w:gridCol w:w="1366"/>
        <w:gridCol w:w="1217"/>
      </w:tblGrid>
      <w:tr>
        <w:trPr>
          <w:cantSplit/>
          <w:tblHeader/>
        </w:trPr>
        <w:tc>
          <w:tcPr>
            <w:tcW w:type="dxa" w:w="50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409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394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51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82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303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136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121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col.Collateral</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CollateralTypeId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cat.CollateralType</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col.Collateral</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OwnerPartyId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pty.Party</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col.Collateral</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CashMarginAccountId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acc.BankAccount</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col.Collateral</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ApprovedBy</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col.Collateral</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SupersedesId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col.Collateral</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col.Collateral</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ReleaseDocumentId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col.Collateral</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SourceDocumentId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col.Collateral</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VerifiedBy</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col.Collateral</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ConflictId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fac.ValueConflict</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col.CollateralLink</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CollateralId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col.Collateral</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col.CollateralLink</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FacilityId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fac.Facility</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col.CollateralLink</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LimitId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FacilityId</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col.CollateralLink</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SupersedesId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col.CollateralLink</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col.Guarantee</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CollateralId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col.Collateral</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col.Guarantee</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GuarantorPartyId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pty.Party</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col.Guarantee</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GuarantorIdentityDocumentId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pty.IdentityDocument</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col.Guarantee</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CurrencyId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ref.Currency</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col.Guarantee</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DeedDocumentId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col.InsurancePolicyAssignment</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CollateralId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col.Collateral</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col.InsurancePolicyAssignment</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AssignedToInstitutionId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ins.Institution</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col.InsurancePolicyAssignment</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CurrencyId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ref.Currency</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col.InsurancePolicyAssignment</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PolicyDocumentId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bl>
    <w:p>
      <w:pPr>
        <w:pStyle w:val="Heading2"/>
        <w:bidi/>
      </w:pPr>
      <w:r>
        <w:rPr>
          <w:rFonts w:ascii="Arial" w:cs="Arial" w:eastAsia="Arial" w:hAnsi="Arial"/>
          <w:b/>
          <w:bCs/>
          <w:color w:val="2B5C8A"/>
          <w:sz w:val="26"/>
          <w:szCs w:val="26"/>
          <w:rtl/>
        </w:rPr>
        <w:t xml:space="preserve">3.37 م5 · الضمانات (2/2)</w:t>
      </w:r>
    </w:p>
    <w:p>
      <w:pPr>
        <w:keepNext/>
        <w:bidi/>
        <w:spacing w:after="60" w:before="0"/>
      </w:pPr>
      <w:r>
        <w:rPr>
          <w:rFonts w:ascii="Arial" w:cs="Arial" w:eastAsia="Arial" w:hAnsi="Arial"/>
          <w:b w:val="false"/>
          <w:bCs w:val="false"/>
          <w:i w:val="false"/>
          <w:iCs w:val="false"/>
          <w:color w:val="5B6670"/>
          <w:sz w:val="16"/>
          <w:szCs w:val="16"/>
          <w:rtl/>
        </w:rPr>
        <w:t xml:space="preserve">Collateral &amp; guarantees</w:t>
      </w:r>
    </w:p>
    <w:p>
      <w:pPr>
        <w:keepNext/>
        <w:bidi/>
        <w:spacing w:after="60" w:before="60"/>
        <w:jc w:val="center"/>
      </w:pPr>
      <w:r>
        <w:drawing>
          <wp:inline distT="0" distB="0" distL="0" distR="0">
            <wp:extent cx="8772525" cy="5334000"/>
            <wp:effectExtent t="0" r="0" b="0" l="0"/>
            <wp:docPr id="1" name="diagrams/erd/m5_collateral_2.png" descr="الشكل 44: م5 · الضمانات (2/2) (3 جداول)" title="الشكل 44: م5 · الضمانات (2/2) (3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8772525" cy="5334000"/>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44: م5 · الضمانات (2/2) (3 جداول)</w:t>
      </w:r>
    </w:p>
    <w:p>
      <w:pPr>
        <w:pStyle w:val="Heading2"/>
        <w:bidi/>
      </w:pPr>
      <w:r>
        <w:rPr>
          <w:rFonts w:ascii="Arial" w:cs="Arial" w:eastAsia="Arial" w:hAnsi="Arial"/>
          <w:b/>
          <w:bCs/>
          <w:color w:val="2B5C8A"/>
          <w:sz w:val="26"/>
          <w:szCs w:val="26"/>
          <w:rtl/>
        </w:rPr>
        <w:t xml:space="preserve">الجداول</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4909"/>
        <w:gridCol w:w="1487"/>
        <w:gridCol w:w="9663"/>
        <w:gridCol w:w="3719"/>
        <w:gridCol w:w="1041"/>
        <w:gridCol w:w="1192"/>
      </w:tblGrid>
      <w:tr>
        <w:trPr>
          <w:cantSplit/>
          <w:tblHeader/>
        </w:trPr>
        <w:tc>
          <w:tcPr>
            <w:tcW w:type="dxa" w:w="49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48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966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371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104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119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col.PromissoryNote</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col</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سند لأمر 1:1؛ مبلغ مستقل قد يفوق الحد (FR-COL-005، BR-COL-002)؛ NextRenewalDue وPNRatio مشتقان</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PromissoryNoteId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r>
        <w:trPr>
          <w:cantSplit/>
        </w:trPr>
        <w:tc>
          <w:tcPr>
            <w:tcW w:type="dxa" w:w="49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col.PromissoryNoteSigner</w:t>
            </w:r>
          </w:p>
        </w:tc>
        <w:tc>
          <w:tcPr>
            <w:tcW w:type="dxa" w:w="148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col</w:t>
            </w:r>
          </w:p>
        </w:tc>
        <w:tc>
          <w:tcPr>
            <w:tcW w:type="dxa" w:w="966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موقّعو السند (SignerPartyIds)</w:t>
            </w:r>
          </w:p>
        </w:tc>
        <w:tc>
          <w:tcPr>
            <w:tcW w:type="dxa" w:w="37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TenantId, PromissoryNoteId, PartyId</w:t>
            </w:r>
          </w:p>
        </w:tc>
        <w:tc>
          <w:tcPr>
            <w:tcW w:type="dxa" w:w="104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c>
          <w:tcPr>
            <w:tcW w:type="dxa" w:w="11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col.ValuationSchedule</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col</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مراحل تقييم عقار (FR-COL-008، BR-COL-004)؛ مثل 3 مقيّمين في السنة الأولى ثم مقيّم سنويًا</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ValuationScheduleId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bl>
    <w:p>
      <w:pPr>
        <w:pStyle w:val="Heading2"/>
        <w:bidi/>
      </w:pPr>
      <w:r>
        <w:rPr>
          <w:rFonts w:ascii="Arial" w:cs="Arial" w:eastAsia="Arial" w:hAnsi="Arial"/>
          <w:b/>
          <w:bCs/>
          <w:color w:val="2B5C8A"/>
          <w:sz w:val="26"/>
          <w:szCs w:val="26"/>
          <w:rtl/>
        </w:rPr>
        <w:t xml:space="preserve">العلاقات</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5009"/>
        <w:gridCol w:w="4098"/>
        <w:gridCol w:w="3946"/>
        <w:gridCol w:w="1518"/>
        <w:gridCol w:w="1821"/>
        <w:gridCol w:w="3036"/>
        <w:gridCol w:w="1366"/>
        <w:gridCol w:w="1217"/>
      </w:tblGrid>
      <w:tr>
        <w:trPr>
          <w:cantSplit/>
          <w:tblHeader/>
        </w:trPr>
        <w:tc>
          <w:tcPr>
            <w:tcW w:type="dxa" w:w="50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409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394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51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82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303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136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121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col.PromissoryNote</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CollateralId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col.Collateral</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col.PromissoryNote</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CurrencyId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ref.Currency</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col.PromissoryNote</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NoteDocumentId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col.PromissoryNoteSigner</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PromissoryNoteId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col.PromissoryNote</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col.PromissoryNoteSigner</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PartyId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pty.Party</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col.ValuationSchedule</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CollateralId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col.Collateral</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col.ValuationSchedule</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CurrencyId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ref.Currency</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bl>
    <w:p>
      <w:pPr>
        <w:pStyle w:val="Heading2"/>
        <w:bidi/>
      </w:pPr>
      <w:r>
        <w:rPr>
          <w:rFonts w:ascii="Arial" w:cs="Arial" w:eastAsia="Arial" w:hAnsi="Arial"/>
          <w:b/>
          <w:bCs/>
          <w:color w:val="2B5C8A"/>
          <w:sz w:val="26"/>
          <w:szCs w:val="26"/>
          <w:rtl/>
        </w:rPr>
        <w:t xml:space="preserve">3.38 م5 · الالتزامات والتعهدات (1/2)</w:t>
      </w:r>
    </w:p>
    <w:p>
      <w:pPr>
        <w:keepNext/>
        <w:bidi/>
        <w:spacing w:after="60" w:before="0"/>
      </w:pPr>
      <w:r>
        <w:rPr>
          <w:rFonts w:ascii="Arial" w:cs="Arial" w:eastAsia="Arial" w:hAnsi="Arial"/>
          <w:b w:val="false"/>
          <w:bCs w:val="false"/>
          <w:i w:val="false"/>
          <w:iCs w:val="false"/>
          <w:color w:val="5B6670"/>
          <w:sz w:val="16"/>
          <w:szCs w:val="16"/>
          <w:rtl/>
        </w:rPr>
        <w:t xml:space="preserve">Obligations, covenants &amp; reporting</w:t>
      </w:r>
    </w:p>
    <w:p>
      <w:pPr>
        <w:keepNext/>
        <w:bidi/>
        <w:spacing w:after="60" w:before="60"/>
        <w:jc w:val="center"/>
      </w:pPr>
      <w:r>
        <w:drawing>
          <wp:inline distT="0" distB="0" distL="0" distR="0">
            <wp:extent cx="6134100" cy="7620000"/>
            <wp:effectExtent t="0" r="0" b="0" l="0"/>
            <wp:docPr id="1" name="diagrams/erd/m5_obligations_1.png" descr="الشكل 45: م5 · الالتزامات والتعهدات (1/2) (4 جداول)" title="الشكل 45: م5 · الالتزامات والتعهدات (1/2) (4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134100" cy="7620000"/>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45: م5 · الالتزامات والتعهدات (1/2) (4 جداول)</w:t>
      </w:r>
    </w:p>
    <w:p>
      <w:pPr>
        <w:pStyle w:val="Heading2"/>
        <w:bidi/>
      </w:pPr>
      <w:r>
        <w:rPr>
          <w:rFonts w:ascii="Arial" w:cs="Arial" w:eastAsia="Arial" w:hAnsi="Arial"/>
          <w:b/>
          <w:bCs/>
          <w:color w:val="2B5C8A"/>
          <w:sz w:val="26"/>
          <w:szCs w:val="26"/>
          <w:rtl/>
        </w:rPr>
        <w:t xml:space="preserve">الجداول</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4909"/>
        <w:gridCol w:w="1487"/>
        <w:gridCol w:w="9663"/>
        <w:gridCol w:w="3719"/>
        <w:gridCol w:w="1041"/>
        <w:gridCol w:w="1192"/>
      </w:tblGrid>
      <w:tr>
        <w:trPr>
          <w:cantSplit/>
          <w:tblHeader/>
        </w:trPr>
        <w:tc>
          <w:tcPr>
            <w:tcW w:type="dxa" w:w="49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48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966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371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104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119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obl.Covenant</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obl</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إصدار تعهد بتواريخ؛ الحدود المتدرجة = عدة نسخ (FR-OBL-006، BR-OBL-001/005/006، Q-OBL-01)</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CovenantId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5</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r>
        <w:trPr>
          <w:cantSplit/>
        </w:trPr>
        <w:tc>
          <w:tcPr>
            <w:tcW w:type="dxa" w:w="49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obl.CovenantAccount</w:t>
            </w:r>
          </w:p>
        </w:tc>
        <w:tc>
          <w:tcPr>
            <w:tcW w:type="dxa" w:w="148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obl</w:t>
            </w:r>
          </w:p>
        </w:tc>
        <w:tc>
          <w:tcPr>
            <w:tcW w:type="dxa" w:w="966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الحسابات المشمولة بالتعهد عند اختيار حسابات محددة (AccountIds)</w:t>
            </w:r>
          </w:p>
        </w:tc>
        <w:tc>
          <w:tcPr>
            <w:tcW w:type="dxa" w:w="37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TenantId, CovenantId, BankAccountId</w:t>
            </w:r>
          </w:p>
        </w:tc>
        <w:tc>
          <w:tcPr>
            <w:tcW w:type="dxa" w:w="104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c>
          <w:tcPr>
            <w:tcW w:type="dxa" w:w="11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obl.CovenantTest</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obl</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تقييم تعهد لفترة وإصدار تقييم؛ يمنع التطبيق تعديل التقييم المخزَّن (FR-OBL-011، FR-FIN-012/013، BR-OBL-006/007، §8)</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CovenantTestId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4</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r>
        <w:trPr>
          <w:cantSplit/>
        </w:trPr>
        <w:tc>
          <w:tcPr>
            <w:tcW w:type="dxa" w:w="49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obl.Obligation</w:t>
            </w:r>
          </w:p>
        </w:tc>
        <w:tc>
          <w:tcPr>
            <w:tcW w:type="dxa" w:w="148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obl</w:t>
            </w:r>
          </w:p>
        </w:tc>
        <w:tc>
          <w:tcPr>
            <w:tcW w:type="dxa" w:w="966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التزام على تسهيل (أو حد/خط/شركات)؛ العائلة من ObligationType ولا تُحرَّر (FR-OBL-001، BR-OBL-001)</w:t>
            </w:r>
          </w:p>
        </w:tc>
        <w:tc>
          <w:tcPr>
            <w:tcW w:type="dxa" w:w="37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ObligationId</w:t>
            </w:r>
          </w:p>
        </w:tc>
        <w:tc>
          <w:tcPr>
            <w:tcW w:type="dxa" w:w="104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9</w:t>
            </w:r>
          </w:p>
        </w:tc>
        <w:tc>
          <w:tcPr>
            <w:tcW w:type="dxa" w:w="11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bl>
    <w:p>
      <w:pPr>
        <w:pStyle w:val="Heading2"/>
        <w:bidi/>
      </w:pPr>
      <w:r>
        <w:rPr>
          <w:rFonts w:ascii="Arial" w:cs="Arial" w:eastAsia="Arial" w:hAnsi="Arial"/>
          <w:b/>
          <w:bCs/>
          <w:color w:val="2B5C8A"/>
          <w:sz w:val="26"/>
          <w:szCs w:val="26"/>
          <w:rtl/>
        </w:rPr>
        <w:t xml:space="preserve">العلاقات</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5009"/>
        <w:gridCol w:w="4098"/>
        <w:gridCol w:w="3946"/>
        <w:gridCol w:w="1518"/>
        <w:gridCol w:w="1821"/>
        <w:gridCol w:w="3036"/>
        <w:gridCol w:w="1366"/>
        <w:gridCol w:w="1217"/>
      </w:tblGrid>
      <w:tr>
        <w:trPr>
          <w:cantSplit/>
          <w:tblHeader/>
        </w:trPr>
        <w:tc>
          <w:tcPr>
            <w:tcW w:type="dxa" w:w="50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409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394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51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82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303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136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121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obl.Covenant</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ObligationId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obl.Obligation</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obl.Covenant</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FormulaId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fin.MeasureFormula</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obl.Covenant</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CurrencyId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ref.Currency</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obl.Covenant</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TestedCompanyId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obl.Covenant</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SupersedesId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obl.Covenant</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obl.CovenantAccount</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CovenantId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obl.Covenant</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obl.CovenantAccount</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BankAccountId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acc.BankAccount</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obl.CovenantTest</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CovenantId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obl.Covenant</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obl.CovenantTest</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EvaluatedBy</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obl.CovenantTest</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EvidenceDocumentId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obl.CovenantTest</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ReviewedBy</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obl.Obligation</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FacilityId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fac.Facility</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obl.Obligation</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ObligationTypeId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cat.ObligationType</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obl.Obligation</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ScopeLimitId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FacilityId</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obl.Obligation</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ScopeProductLineId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fac.LimitProductLine</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FacilityId</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obl.Obligation</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ParamCurrencyId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ref.Currency</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obl.Obligation</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SupersedesId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obl.Obligation</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obl.Obligation</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SourceDocumentId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obl.Obligation</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VerifiedBy</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obl.Obligation</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ConflictId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fac.ValueConflict</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bl>
    <w:p>
      <w:pPr>
        <w:pStyle w:val="Heading2"/>
        <w:bidi/>
      </w:pPr>
      <w:r>
        <w:rPr>
          <w:rFonts w:ascii="Arial" w:cs="Arial" w:eastAsia="Arial" w:hAnsi="Arial"/>
          <w:b/>
          <w:bCs/>
          <w:color w:val="2B5C8A"/>
          <w:sz w:val="26"/>
          <w:szCs w:val="26"/>
          <w:rtl/>
        </w:rPr>
        <w:t xml:space="preserve">3.39 م5 · الالتزامات والتعهدات (2/2)</w:t>
      </w:r>
    </w:p>
    <w:p>
      <w:pPr>
        <w:keepNext/>
        <w:bidi/>
        <w:spacing w:after="60" w:before="0"/>
      </w:pPr>
      <w:r>
        <w:rPr>
          <w:rFonts w:ascii="Arial" w:cs="Arial" w:eastAsia="Arial" w:hAnsi="Arial"/>
          <w:b w:val="false"/>
          <w:bCs w:val="false"/>
          <w:i w:val="false"/>
          <w:iCs w:val="false"/>
          <w:color w:val="5B6670"/>
          <w:sz w:val="16"/>
          <w:szCs w:val="16"/>
          <w:rtl/>
        </w:rPr>
        <w:t xml:space="preserve">Obligations, covenants &amp; reporting</w:t>
      </w:r>
    </w:p>
    <w:p>
      <w:pPr>
        <w:keepNext/>
        <w:bidi/>
        <w:spacing w:after="60" w:before="60"/>
        <w:jc w:val="center"/>
      </w:pPr>
      <w:r>
        <w:drawing>
          <wp:inline distT="0" distB="0" distL="0" distR="0">
            <wp:extent cx="6657975" cy="7620000"/>
            <wp:effectExtent t="0" r="0" b="0" l="0"/>
            <wp:docPr id="1" name="diagrams/erd/m5_obligations_2.png" descr="الشكل 46: م5 · الالتزامات والتعهدات (2/2) (4 جداول)" title="الشكل 46: م5 · الالتزامات والتعهدات (2/2) (4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657975" cy="7620000"/>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46: م5 · الالتزامات والتعهدات (2/2) (4 جداول)</w:t>
      </w:r>
    </w:p>
    <w:p>
      <w:pPr>
        <w:pStyle w:val="Heading2"/>
        <w:bidi/>
      </w:pPr>
      <w:r>
        <w:rPr>
          <w:rFonts w:ascii="Arial" w:cs="Arial" w:eastAsia="Arial" w:hAnsi="Arial"/>
          <w:b/>
          <w:bCs/>
          <w:color w:val="2B5C8A"/>
          <w:sz w:val="26"/>
          <w:szCs w:val="26"/>
          <w:rtl/>
        </w:rPr>
        <w:t xml:space="preserve">الجداول</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4909"/>
        <w:gridCol w:w="1487"/>
        <w:gridCol w:w="9663"/>
        <w:gridCol w:w="3719"/>
        <w:gridCol w:w="1041"/>
        <w:gridCol w:w="1192"/>
      </w:tblGrid>
      <w:tr>
        <w:trPr>
          <w:cantSplit/>
          <w:tblHeader/>
        </w:trPr>
        <w:tc>
          <w:tcPr>
            <w:tcW w:type="dxa" w:w="49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48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966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371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104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119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obl.ObligationBreach</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obl</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سجل خرق وعلاجه وتنازله (FR-OBL-012، BR-OBL-009/011، §8)</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ObligationBreachId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5</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4</w:t>
            </w:r>
          </w:p>
        </w:tc>
      </w:tr>
      <w:tr>
        <w:trPr>
          <w:cantSplit/>
        </w:trPr>
        <w:tc>
          <w:tcPr>
            <w:tcW w:type="dxa" w:w="49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obl.ObligationCompany</w:t>
            </w:r>
          </w:p>
        </w:tc>
        <w:tc>
          <w:tcPr>
            <w:tcW w:type="dxa" w:w="148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obl</w:t>
            </w:r>
          </w:p>
        </w:tc>
        <w:tc>
          <w:tcPr>
            <w:tcW w:type="dxa" w:w="966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الشركات التي ينطبق عليها الالتزام (AppliesToCompanyIds)</w:t>
            </w:r>
          </w:p>
        </w:tc>
        <w:tc>
          <w:tcPr>
            <w:tcW w:type="dxa" w:w="37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TenantId, ObligationId, CompanyId</w:t>
            </w:r>
          </w:p>
        </w:tc>
        <w:tc>
          <w:tcPr>
            <w:tcW w:type="dxa" w:w="104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c>
          <w:tcPr>
            <w:tcW w:type="dxa" w:w="11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obl.ReportingInstance</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obl</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بند أجندة مولَّد أو مسجَّل لحدث (FR-OBL-003..005، BR-OBL-003، §8)؛ DUE_SOON/OVERDUE مشتقتان</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ReportingInstanceId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4</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5</w:t>
            </w:r>
          </w:p>
        </w:tc>
      </w:tr>
      <w:tr>
        <w:trPr>
          <w:cantSplit/>
        </w:trPr>
        <w:tc>
          <w:tcPr>
            <w:tcW w:type="dxa" w:w="49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obl.ReportingObligation</w:t>
            </w:r>
          </w:p>
        </w:tc>
        <w:tc>
          <w:tcPr>
            <w:tcW w:type="dxa" w:w="148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obl</w:t>
            </w:r>
          </w:p>
        </w:tc>
        <w:tc>
          <w:tcPr>
            <w:tcW w:type="dxa" w:w="966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قاعدة استحقاق تقرير/إخطار 1:1 مع Obligation (FR-OBL-002/003، BR-OBL-002، V-OBL-01)</w:t>
            </w:r>
          </w:p>
        </w:tc>
        <w:tc>
          <w:tcPr>
            <w:tcW w:type="dxa" w:w="37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ReportingObligationId</w:t>
            </w:r>
          </w:p>
        </w:tc>
        <w:tc>
          <w:tcPr>
            <w:tcW w:type="dxa" w:w="104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c>
          <w:tcPr>
            <w:tcW w:type="dxa" w:w="11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bl>
    <w:p>
      <w:pPr>
        <w:pStyle w:val="Heading2"/>
        <w:bidi/>
      </w:pPr>
      <w:r>
        <w:rPr>
          <w:rFonts w:ascii="Arial" w:cs="Arial" w:eastAsia="Arial" w:hAnsi="Arial"/>
          <w:b/>
          <w:bCs/>
          <w:color w:val="2B5C8A"/>
          <w:sz w:val="26"/>
          <w:szCs w:val="26"/>
          <w:rtl/>
        </w:rPr>
        <w:t xml:space="preserve">العلاقات</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5009"/>
        <w:gridCol w:w="4098"/>
        <w:gridCol w:w="3946"/>
        <w:gridCol w:w="1518"/>
        <w:gridCol w:w="1821"/>
        <w:gridCol w:w="3036"/>
        <w:gridCol w:w="1366"/>
        <w:gridCol w:w="1217"/>
      </w:tblGrid>
      <w:tr>
        <w:trPr>
          <w:cantSplit/>
          <w:tblHeader/>
        </w:trPr>
        <w:tc>
          <w:tcPr>
            <w:tcW w:type="dxa" w:w="50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409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394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51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82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303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136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121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obl.ObligationBreach</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ObligationId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obl.Obligation</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obl.ObligationBreach</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CovenantTestId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obl.CovenantTest</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obl.ObligationBreach</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ReportingInstanceId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obl.ReportingInstance</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obl.ObligationBreach</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WaiverBankContactId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ins.Contact</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obl.ObligationBreach</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WaiverDocumentId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obl.ObligationCompany</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ObligationId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obl.Obligation</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obl.ObligationCompany</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CompanyId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obl.ReportingInstance</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ReportingObligationId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obl.ReportingObligation</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obl.ReportingInstance</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SubmissionChannelUsedId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cat.LookupItem</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obl.ReportingInstance</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EvidenceDocumentId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obl.ReportingInstance</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CurrencyId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ref.Currency</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obl.ReportingObligation</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ObligationId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obl.Obligation</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obl.ReportingObligation</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SubmissionChannelId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cat.LookupItem</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obl.ReportingObligation</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SupersedesId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obl.ReportingObligation</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bl>
    <w:p>
      <w:pPr>
        <w:pStyle w:val="Heading2"/>
        <w:bidi/>
      </w:pPr>
      <w:r>
        <w:rPr>
          <w:rFonts w:ascii="Arial" w:cs="Arial" w:eastAsia="Arial" w:hAnsi="Arial"/>
          <w:b/>
          <w:bCs/>
          <w:color w:val="2B5C8A"/>
          <w:sz w:val="26"/>
          <w:szCs w:val="26"/>
          <w:rtl/>
        </w:rPr>
        <w:t xml:space="preserve">3.40 م5 · البيانات المالية والأرصدة (1/2)</w:t>
      </w:r>
    </w:p>
    <w:p>
      <w:pPr>
        <w:keepNext/>
        <w:bidi/>
        <w:spacing w:after="60" w:before="0"/>
      </w:pPr>
      <w:r>
        <w:rPr>
          <w:rFonts w:ascii="Arial" w:cs="Arial" w:eastAsia="Arial" w:hAnsi="Arial"/>
          <w:b w:val="false"/>
          <w:bCs w:val="false"/>
          <w:i w:val="false"/>
          <w:iCs w:val="false"/>
          <w:color w:val="5B6670"/>
          <w:sz w:val="16"/>
          <w:szCs w:val="16"/>
          <w:rtl/>
        </w:rPr>
        <w:t xml:space="preserve">Financial statements &amp; balances</w:t>
      </w:r>
    </w:p>
    <w:p>
      <w:pPr>
        <w:keepNext/>
        <w:bidi/>
        <w:spacing w:after="60" w:before="60"/>
        <w:jc w:val="center"/>
      </w:pPr>
      <w:r>
        <w:drawing>
          <wp:inline distT="0" distB="0" distL="0" distR="0">
            <wp:extent cx="13973175" cy="2762250"/>
            <wp:effectExtent t="0" r="0" b="0" l="0"/>
            <wp:docPr id="1" name="diagrams/erd/m5_financials_1.png" descr="الشكل 47: م5 · البيانات المالية والأرصدة (1/2) (4 جداول)" title="الشكل 47: م5 · البيانات المالية والأرصدة (1/2) (4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13973175" cy="2762250"/>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47: م5 · البيانات المالية والأرصدة (1/2) (4 جداول)</w:t>
      </w:r>
    </w:p>
    <w:p>
      <w:pPr>
        <w:pStyle w:val="Heading2"/>
        <w:bidi/>
      </w:pPr>
      <w:r>
        <w:rPr>
          <w:rFonts w:ascii="Arial" w:cs="Arial" w:eastAsia="Arial" w:hAnsi="Arial"/>
          <w:b/>
          <w:bCs/>
          <w:color w:val="2B5C8A"/>
          <w:sz w:val="26"/>
          <w:szCs w:val="26"/>
          <w:rtl/>
        </w:rPr>
        <w:t xml:space="preserve">الجداول</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4909"/>
        <w:gridCol w:w="1487"/>
        <w:gridCol w:w="9663"/>
        <w:gridCol w:w="3719"/>
        <w:gridCol w:w="1041"/>
        <w:gridCol w:w="1192"/>
      </w:tblGrid>
      <w:tr>
        <w:trPr>
          <w:cantSplit/>
          <w:tblHeader/>
        </w:trPr>
        <w:tc>
          <w:tcPr>
            <w:tcW w:type="dxa" w:w="49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48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966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371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104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119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fin.AccountMonthlyStat</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fin</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رصيد شهري لحساب بعملة الحساب (FR-FIN-008، BR-FIN-005/006، V-FIN-02)</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AccountMonthlyStatId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r>
        <w:trPr>
          <w:cantSplit/>
        </w:trPr>
        <w:tc>
          <w:tcPr>
            <w:tcW w:type="dxa" w:w="49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fin.BankFlowEntry</w:t>
            </w:r>
          </w:p>
        </w:tc>
        <w:tc>
          <w:tcPr>
            <w:tcW w:type="dxa" w:w="148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fin</w:t>
            </w:r>
          </w:p>
        </w:tc>
        <w:tc>
          <w:tcPr>
            <w:tcW w:type="dxa" w:w="966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مبلغ محوَّل للبنك في شهر؛ تجميع سنوي آلي (FR-FIN-009/010، BR-FIN-007/008)</w:t>
            </w:r>
          </w:p>
        </w:tc>
        <w:tc>
          <w:tcPr>
            <w:tcW w:type="dxa" w:w="37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BankFlowEntryId</w:t>
            </w:r>
          </w:p>
        </w:tc>
        <w:tc>
          <w:tcPr>
            <w:tcW w:type="dxa" w:w="104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6</w:t>
            </w:r>
          </w:p>
        </w:tc>
        <w:tc>
          <w:tcPr>
            <w:tcW w:type="dxa" w:w="11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fin.FinancialStatement</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fin</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رأس قائمة مالية؛ سري جدًا (FR-FIN-002/005/006، BR-FIN-001..004، §8)</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FinancialStatementId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6</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4</w:t>
            </w:r>
          </w:p>
        </w:tc>
      </w:tr>
      <w:tr>
        <w:trPr>
          <w:cantSplit/>
        </w:trPr>
        <w:tc>
          <w:tcPr>
            <w:tcW w:type="dxa" w:w="49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fin.LineCatalogItem</w:t>
            </w:r>
          </w:p>
        </w:tc>
        <w:tc>
          <w:tcPr>
            <w:tcW w:type="dxa" w:w="148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fin</w:t>
            </w:r>
          </w:p>
        </w:tc>
        <w:tc>
          <w:tcPr>
            <w:tcW w:type="dxa" w:w="966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بند معياري للقوائم؛ 39 بندًا مبذورًا؛ النظامي في الصيغ لا يُحذف (FR-FIN-001، CatalogBase)</w:t>
            </w:r>
          </w:p>
        </w:tc>
        <w:tc>
          <w:tcPr>
            <w:tcW w:type="dxa" w:w="37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LineCatalogItemId</w:t>
            </w:r>
          </w:p>
        </w:tc>
        <w:tc>
          <w:tcPr>
            <w:tcW w:type="dxa" w:w="104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c>
          <w:tcPr>
            <w:tcW w:type="dxa" w:w="11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bl>
    <w:p>
      <w:pPr>
        <w:pStyle w:val="Heading2"/>
        <w:bidi/>
      </w:pPr>
      <w:r>
        <w:rPr>
          <w:rFonts w:ascii="Arial" w:cs="Arial" w:eastAsia="Arial" w:hAnsi="Arial"/>
          <w:b/>
          <w:bCs/>
          <w:color w:val="2B5C8A"/>
          <w:sz w:val="26"/>
          <w:szCs w:val="26"/>
          <w:rtl/>
        </w:rPr>
        <w:t xml:space="preserve">العلاقات</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5009"/>
        <w:gridCol w:w="4098"/>
        <w:gridCol w:w="3946"/>
        <w:gridCol w:w="1518"/>
        <w:gridCol w:w="1821"/>
        <w:gridCol w:w="3036"/>
        <w:gridCol w:w="1366"/>
        <w:gridCol w:w="1217"/>
      </w:tblGrid>
      <w:tr>
        <w:trPr>
          <w:cantSplit/>
          <w:tblHeader/>
        </w:trPr>
        <w:tc>
          <w:tcPr>
            <w:tcW w:type="dxa" w:w="50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409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394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51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82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303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136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121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fin.AccountMonthlyStat</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BankAccountId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acc.BankAccount</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fin.AccountMonthlyStat</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DocumentId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fin.BankFlowEntry</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CompanyId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fin.BankFlowEntry</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InstitutionId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ins.Institution</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fin.BankFlowEntry</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FacilityId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fac.Facility</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fin.BankFlowEntry</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FlowKindId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cat.LookupItem</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fin.BankFlowEntry</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CurrencyId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ref.Currency</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fin.BankFlowEntry</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DocumentId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fin.FinancialStatement</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CompanyId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fin.FinancialStatement</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CurrencyId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ref.Currency</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fin.FinancialStatement</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SupersedesId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fin.FinancialStatement</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fin.FinancialStatement</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SourceDocumentId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fin.FinancialStatement</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PreparedBy</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fin.FinancialStatement</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ApprovedBy</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bl>
    <w:p>
      <w:pPr>
        <w:pStyle w:val="Heading2"/>
        <w:bidi/>
      </w:pPr>
      <w:r>
        <w:rPr>
          <w:rFonts w:ascii="Arial" w:cs="Arial" w:eastAsia="Arial" w:hAnsi="Arial"/>
          <w:b/>
          <w:bCs/>
          <w:color w:val="2B5C8A"/>
          <w:sz w:val="26"/>
          <w:szCs w:val="26"/>
          <w:rtl/>
        </w:rPr>
        <w:t xml:space="preserve">3.41 م5 · البيانات المالية والأرصدة (2/2)</w:t>
      </w:r>
    </w:p>
    <w:p>
      <w:pPr>
        <w:keepNext/>
        <w:bidi/>
        <w:spacing w:after="60" w:before="0"/>
      </w:pPr>
      <w:r>
        <w:rPr>
          <w:rFonts w:ascii="Arial" w:cs="Arial" w:eastAsia="Arial" w:hAnsi="Arial"/>
          <w:b w:val="false"/>
          <w:bCs w:val="false"/>
          <w:i w:val="false"/>
          <w:iCs w:val="false"/>
          <w:color w:val="5B6670"/>
          <w:sz w:val="16"/>
          <w:szCs w:val="16"/>
          <w:rtl/>
        </w:rPr>
        <w:t xml:space="preserve">Financial statements &amp; balances</w:t>
      </w:r>
    </w:p>
    <w:p>
      <w:pPr>
        <w:keepNext/>
        <w:bidi/>
        <w:spacing w:after="60" w:before="60"/>
        <w:jc w:val="center"/>
      </w:pPr>
      <w:r>
        <w:drawing>
          <wp:inline distT="0" distB="0" distL="0" distR="0">
            <wp:extent cx="13658850" cy="4533900"/>
            <wp:effectExtent t="0" r="0" b="0" l="0"/>
            <wp:docPr id="1" name="diagrams/erd/m5_financials_2.png" descr="الشكل 48: م5 · البيانات المالية والأرصدة (2/2) (3 جداول)" title="الشكل 48: م5 · البيانات المالية والأرصدة (2/2) (3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13658850" cy="4533900"/>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48: م5 · البيانات المالية والأرصدة (2/2) (3 جداول)</w:t>
      </w:r>
    </w:p>
    <w:p>
      <w:pPr>
        <w:pStyle w:val="Heading2"/>
        <w:bidi/>
      </w:pPr>
      <w:r>
        <w:rPr>
          <w:rFonts w:ascii="Arial" w:cs="Arial" w:eastAsia="Arial" w:hAnsi="Arial"/>
          <w:b/>
          <w:bCs/>
          <w:color w:val="2B5C8A"/>
          <w:sz w:val="26"/>
          <w:szCs w:val="26"/>
          <w:rtl/>
        </w:rPr>
        <w:t xml:space="preserve">الجداول</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4909"/>
        <w:gridCol w:w="1487"/>
        <w:gridCol w:w="9663"/>
        <w:gridCol w:w="3719"/>
        <w:gridCol w:w="1041"/>
        <w:gridCol w:w="1192"/>
      </w:tblGrid>
      <w:tr>
        <w:trPr>
          <w:cantSplit/>
          <w:tblHeader/>
        </w:trPr>
        <w:tc>
          <w:tcPr>
            <w:tcW w:type="dxa" w:w="49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48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966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371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104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119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fin.LineCatalogItemAlias</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fin</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الأسماء البديلة للبند (Aliases) للصق والمطابقة</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LineCatalogItemAliasId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r>
        <w:trPr>
          <w:cantSplit/>
        </w:trPr>
        <w:tc>
          <w:tcPr>
            <w:tcW w:type="dxa" w:w="49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fin.MeasureFormula</w:t>
            </w:r>
          </w:p>
        </w:tc>
        <w:tc>
          <w:tcPr>
            <w:tcW w:type="dxa" w:w="148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fin</w:t>
            </w:r>
          </w:p>
        </w:tc>
        <w:tc>
          <w:tcPr>
            <w:tcW w:type="dxa" w:w="966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صيغة مقياس: قالب أو نسخة اتفاقية بإصدارات؛ لا تُنفَّذ نصًا (FR-FIN-011، BR-FIN-009، §12)</w:t>
            </w:r>
          </w:p>
        </w:tc>
        <w:tc>
          <w:tcPr>
            <w:tcW w:type="dxa" w:w="37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MeasureFormulaId</w:t>
            </w:r>
          </w:p>
        </w:tc>
        <w:tc>
          <w:tcPr>
            <w:tcW w:type="dxa" w:w="104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6</w:t>
            </w:r>
          </w:p>
        </w:tc>
        <w:tc>
          <w:tcPr>
            <w:tcW w:type="dxa" w:w="11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fin.StatementLine</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fin</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سطر قائمة؛ بعملة الرأس والمخزَّن = المُدخل x UnitScale؛ Variance مشتق؛ سري جدًا (BR-FIN-001/002)</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StatementLineId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bl>
    <w:p>
      <w:pPr>
        <w:pStyle w:val="Heading2"/>
        <w:bidi/>
      </w:pPr>
      <w:r>
        <w:rPr>
          <w:rFonts w:ascii="Arial" w:cs="Arial" w:eastAsia="Arial" w:hAnsi="Arial"/>
          <w:b/>
          <w:bCs/>
          <w:color w:val="2B5C8A"/>
          <w:sz w:val="26"/>
          <w:szCs w:val="26"/>
          <w:rtl/>
        </w:rPr>
        <w:t xml:space="preserve">العلاقات</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5009"/>
        <w:gridCol w:w="4098"/>
        <w:gridCol w:w="3946"/>
        <w:gridCol w:w="1518"/>
        <w:gridCol w:w="1821"/>
        <w:gridCol w:w="3036"/>
        <w:gridCol w:w="1366"/>
        <w:gridCol w:w="1217"/>
      </w:tblGrid>
      <w:tr>
        <w:trPr>
          <w:cantSplit/>
          <w:tblHeader/>
        </w:trPr>
        <w:tc>
          <w:tcPr>
            <w:tcW w:type="dxa" w:w="50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409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394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51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82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303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136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121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fin.LineCatalogItemAlias</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LineCatalogItemId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fin.LineCatalogItem</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fin.MeasureFormula</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FacilityId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fac.Facility</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fin.MeasureFormula</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BaseTemplateId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fin.MeasureFormula</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fin.MeasureFormula</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ApprovedBy</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fin.MeasureFormula</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SourceDocumentId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fin.MeasureFormula</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VerifiedBy</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fin.MeasureFormula</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ConflictId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fac.ValueConflict</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fin.StatementLine</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StatementId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fin.FinancialStatement</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fin.StatementLine</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LineCatalogItemId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fin.LineCatalogItem</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bl>
    <w:p>
      <w:pPr>
        <w:pStyle w:val="Heading2"/>
        <w:bidi/>
      </w:pPr>
      <w:r>
        <w:rPr>
          <w:rFonts w:ascii="Arial" w:cs="Arial" w:eastAsia="Arial" w:hAnsi="Arial"/>
          <w:b/>
          <w:bCs/>
          <w:color w:val="2B5C8A"/>
          <w:sz w:val="26"/>
          <w:szCs w:val="26"/>
          <w:rtl/>
        </w:rPr>
        <w:t xml:space="preserve">3.42 م6 · قوالب دورات العمل (1/3)</w:t>
      </w:r>
    </w:p>
    <w:p>
      <w:pPr>
        <w:keepNext/>
        <w:bidi/>
        <w:spacing w:after="60" w:before="0"/>
      </w:pPr>
      <w:r>
        <w:rPr>
          <w:rFonts w:ascii="Arial" w:cs="Arial" w:eastAsia="Arial" w:hAnsi="Arial"/>
          <w:b w:val="false"/>
          <w:bCs w:val="false"/>
          <w:i w:val="false"/>
          <w:iCs w:val="false"/>
          <w:color w:val="5B6670"/>
          <w:sz w:val="16"/>
          <w:szCs w:val="16"/>
          <w:rtl/>
        </w:rPr>
        <w:t xml:space="preserve">Workflow templates</w:t>
      </w:r>
    </w:p>
    <w:p>
      <w:pPr>
        <w:keepNext/>
        <w:bidi/>
        <w:spacing w:after="60" w:before="60"/>
        <w:jc w:val="center"/>
      </w:pPr>
      <w:r>
        <w:drawing>
          <wp:inline distT="0" distB="0" distL="0" distR="0">
            <wp:extent cx="10734675" cy="4905375"/>
            <wp:effectExtent t="0" r="0" b="0" l="0"/>
            <wp:docPr id="1" name="diagrams/erd/m6_wf_templates_1.png" descr="الشكل 49: م6 · قوالب دورات العمل (1/3) (4 جداول)" title="الشكل 49: م6 · قوالب دورات العمل (1/3) (4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10734675" cy="4905375"/>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49: م6 · قوالب دورات العمل (1/3) (4 جداول)</w:t>
      </w:r>
    </w:p>
    <w:p>
      <w:pPr>
        <w:pStyle w:val="Heading2"/>
        <w:bidi/>
      </w:pPr>
      <w:r>
        <w:rPr>
          <w:rFonts w:ascii="Arial" w:cs="Arial" w:eastAsia="Arial" w:hAnsi="Arial"/>
          <w:b/>
          <w:bCs/>
          <w:color w:val="2B5C8A"/>
          <w:sz w:val="26"/>
          <w:szCs w:val="26"/>
          <w:rtl/>
        </w:rPr>
        <w:t xml:space="preserve">الجداول</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4909"/>
        <w:gridCol w:w="1487"/>
        <w:gridCol w:w="9663"/>
        <w:gridCol w:w="3719"/>
        <w:gridCol w:w="1041"/>
        <w:gridCol w:w="1192"/>
      </w:tblGrid>
      <w:tr>
        <w:trPr>
          <w:cantSplit/>
          <w:tblHeader/>
        </w:trPr>
        <w:tc>
          <w:tcPr>
            <w:tcW w:type="dxa" w:w="49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48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966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371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104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119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wfl.RequestType</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wfl</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تعريف نوع الطلب (FR-REQ-001، BR-REQ-001، V-REQ-01)؛ الأنواع الجديدة بلا كود (FR-REQ-021)</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RequestTypeId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4</w:t>
            </w:r>
          </w:p>
        </w:tc>
      </w:tr>
      <w:tr>
        <w:trPr>
          <w:cantSplit/>
        </w:trPr>
        <w:tc>
          <w:tcPr>
            <w:tcW w:type="dxa" w:w="49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wfl.RequestTypeAudience</w:t>
            </w:r>
          </w:p>
        </w:tc>
        <w:tc>
          <w:tcPr>
            <w:tcW w:type="dxa" w:w="148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wfl</w:t>
            </w:r>
          </w:p>
        </w:tc>
        <w:tc>
          <w:tcPr>
            <w:tcW w:type="dxa" w:w="966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جمهور النوع: من يحق له الطلب؛ غياب الصفوف = لا أحد (فشل مغلق) (FR-REQ-007)</w:t>
            </w:r>
          </w:p>
        </w:tc>
        <w:tc>
          <w:tcPr>
            <w:tcW w:type="dxa" w:w="37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RequestTypeAudienceId</w:t>
            </w:r>
          </w:p>
        </w:tc>
        <w:tc>
          <w:tcPr>
            <w:tcW w:type="dxa" w:w="104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4</w:t>
            </w:r>
          </w:p>
        </w:tc>
        <w:tc>
          <w:tcPr>
            <w:tcW w:type="dxa" w:w="11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4</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wfl.ExternalPhase</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wfl</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المرحلة الظاهرة للطالب: DRAFT · IN_APPROVAL · RETURNED · AWAITING_REQUESTER · IN_PROGRESS · COMPLETED · REJECTED · CANCELLED (BR-WFL-011، D-6)</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ExternalPhaseId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r>
        <w:trPr>
          <w:cantSplit/>
        </w:trPr>
        <w:tc>
          <w:tcPr>
            <w:tcW w:type="dxa" w:w="49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wfl.WorkflowTemplate</w:t>
            </w:r>
          </w:p>
        </w:tc>
        <w:tc>
          <w:tcPr>
            <w:tcW w:type="dxa" w:w="148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wfl</w:t>
            </w:r>
          </w:p>
        </w:tc>
        <w:tc>
          <w:tcPr>
            <w:tcW w:type="dxa" w:w="966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إصدار قالب دورة عمل؛ المنشور ثابت (FR-WFL-001/028، BR-WFL-019، AC-WFL-6)</w:t>
            </w:r>
          </w:p>
        </w:tc>
        <w:tc>
          <w:tcPr>
            <w:tcW w:type="dxa" w:w="37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WorkflowTemplateId</w:t>
            </w:r>
          </w:p>
        </w:tc>
        <w:tc>
          <w:tcPr>
            <w:tcW w:type="dxa" w:w="104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c>
          <w:tcPr>
            <w:tcW w:type="dxa" w:w="11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6</w:t>
            </w:r>
          </w:p>
        </w:tc>
      </w:tr>
    </w:tbl>
    <w:p>
      <w:pPr>
        <w:pStyle w:val="Heading2"/>
        <w:bidi/>
      </w:pPr>
      <w:r>
        <w:rPr>
          <w:rFonts w:ascii="Arial" w:cs="Arial" w:eastAsia="Arial" w:hAnsi="Arial"/>
          <w:b/>
          <w:bCs/>
          <w:color w:val="2B5C8A"/>
          <w:sz w:val="26"/>
          <w:szCs w:val="26"/>
          <w:rtl/>
        </w:rPr>
        <w:t xml:space="preserve">العلاقات</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5009"/>
        <w:gridCol w:w="4098"/>
        <w:gridCol w:w="3946"/>
        <w:gridCol w:w="1518"/>
        <w:gridCol w:w="1821"/>
        <w:gridCol w:w="3036"/>
        <w:gridCol w:w="1366"/>
        <w:gridCol w:w="1217"/>
      </w:tblGrid>
      <w:tr>
        <w:trPr>
          <w:cantSplit/>
          <w:tblHeader/>
        </w:trPr>
        <w:tc>
          <w:tcPr>
            <w:tcW w:type="dxa" w:w="50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409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394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51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82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303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136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121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wfl.RequestTypeAudience</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RequestTypeId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wfl.RequestType</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wfl.RequestTypeAudience</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RoleId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sec.Role</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wfl.RequestTypeAudience</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DepartmentId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org.Department</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wfl.RequestTypeAudience</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UserId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wfl.WorkflowTemplate</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RequestTypeId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wfl.RequestType</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wfl.WorkflowTemplate</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PublishedBy</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bl>
    <w:p>
      <w:pPr>
        <w:pStyle w:val="Heading2"/>
        <w:bidi/>
      </w:pPr>
      <w:r>
        <w:rPr>
          <w:rFonts w:ascii="Arial" w:cs="Arial" w:eastAsia="Arial" w:hAnsi="Arial"/>
          <w:b/>
          <w:bCs/>
          <w:color w:val="2B5C8A"/>
          <w:sz w:val="26"/>
          <w:szCs w:val="26"/>
          <w:rtl/>
        </w:rPr>
        <w:t xml:space="preserve">3.43 م6 · قوالب دورات العمل (2/3)</w:t>
      </w:r>
    </w:p>
    <w:p>
      <w:pPr>
        <w:keepNext/>
        <w:bidi/>
        <w:spacing w:after="60" w:before="0"/>
      </w:pPr>
      <w:r>
        <w:rPr>
          <w:rFonts w:ascii="Arial" w:cs="Arial" w:eastAsia="Arial" w:hAnsi="Arial"/>
          <w:b w:val="false"/>
          <w:bCs w:val="false"/>
          <w:i w:val="false"/>
          <w:iCs w:val="false"/>
          <w:color w:val="5B6670"/>
          <w:sz w:val="16"/>
          <w:szCs w:val="16"/>
          <w:rtl/>
        </w:rPr>
        <w:t xml:space="preserve">Workflow templates</w:t>
      </w:r>
    </w:p>
    <w:p>
      <w:pPr>
        <w:keepNext/>
        <w:bidi/>
        <w:spacing w:after="60" w:before="60"/>
        <w:jc w:val="center"/>
      </w:pPr>
      <w:r>
        <w:drawing>
          <wp:inline distT="0" distB="0" distL="0" distR="0">
            <wp:extent cx="12163425" cy="7620000"/>
            <wp:effectExtent t="0" r="0" b="0" l="0"/>
            <wp:docPr id="1" name="diagrams/erd/m6_wf_templates_2.png" descr="الشكل 50: م6 · قوالب دورات العمل (2/3) (4 جداول)" title="الشكل 50: م6 · قوالب دورات العمل (2/3) (4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2163425" cy="7620000"/>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50: م6 · قوالب دورات العمل (2/3) (4 جداول)</w:t>
      </w:r>
    </w:p>
    <w:p>
      <w:pPr>
        <w:pStyle w:val="Heading2"/>
        <w:bidi/>
      </w:pPr>
      <w:r>
        <w:rPr>
          <w:rFonts w:ascii="Arial" w:cs="Arial" w:eastAsia="Arial" w:hAnsi="Arial"/>
          <w:b/>
          <w:bCs/>
          <w:color w:val="2B5C8A"/>
          <w:sz w:val="26"/>
          <w:szCs w:val="26"/>
          <w:rtl/>
        </w:rPr>
        <w:t xml:space="preserve">الجداول</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4909"/>
        <w:gridCol w:w="1487"/>
        <w:gridCol w:w="9663"/>
        <w:gridCol w:w="3719"/>
        <w:gridCol w:w="1041"/>
        <w:gridCol w:w="1192"/>
      </w:tblGrid>
      <w:tr>
        <w:trPr>
          <w:cantSplit/>
          <w:tblHeader/>
        </w:trPr>
        <w:tc>
          <w:tcPr>
            <w:tcW w:type="dxa" w:w="49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48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966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371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104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119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wfl.WorkflowStage</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wfl</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مرحلة في نسخة قالب (FR-WFL-003/004/005، BR-WFL-002/010/012)؛ حذف فعلي لمسودة النسخة فقط</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WorkflowStageId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7</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4</w:t>
            </w:r>
          </w:p>
        </w:tc>
      </w:tr>
      <w:tr>
        <w:trPr>
          <w:cantSplit/>
        </w:trPr>
        <w:tc>
          <w:tcPr>
            <w:tcW w:type="dxa" w:w="49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wfl.StageApprover</w:t>
            </w:r>
          </w:p>
        </w:tc>
        <w:tc>
          <w:tcPr>
            <w:tcW w:type="dxa" w:w="148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wfl</w:t>
            </w:r>
          </w:p>
        </w:tc>
        <w:tc>
          <w:tcPr>
            <w:tcW w:type="dxa" w:w="966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خانة موافقة في مرحلة APPROVAL؛ ALL = كل الخانات، ودور بشخصين يلزمان معًا = خانتان (FR-WFL-007/041، BR-WFL-003/004)</w:t>
            </w:r>
          </w:p>
        </w:tc>
        <w:tc>
          <w:tcPr>
            <w:tcW w:type="dxa" w:w="37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StageApproverId</w:t>
            </w:r>
          </w:p>
        </w:tc>
        <w:tc>
          <w:tcPr>
            <w:tcW w:type="dxa" w:w="104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5</w:t>
            </w:r>
          </w:p>
        </w:tc>
        <w:tc>
          <w:tcPr>
            <w:tcW w:type="dxa" w:w="11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wfl.WorkflowTransition</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wfl</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انتقال بين مرحلتين بشرط وأولوية؛ دورة خطية بتفرع شرطي بسيط (FR-WFL-006، BR-WFL-001، D-8)</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WorkflowTransitionId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4</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r>
        <w:trPr>
          <w:cantSplit/>
        </w:trPr>
        <w:tc>
          <w:tcPr>
            <w:tcW w:type="dxa" w:w="49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wfl.WorkflowStageHook</w:t>
            </w:r>
          </w:p>
        </w:tc>
        <w:tc>
          <w:tcPr>
            <w:tcW w:type="dxa" w:w="148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wfl</w:t>
            </w:r>
          </w:p>
        </w:tc>
        <w:tc>
          <w:tcPr>
            <w:tcW w:type="dxa" w:w="966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خطاف مسجَّل بالكود على مرحلة: مفتاح ومعاملات لا كود (FR-WFL-021، BR-WFL-015، §5.4)</w:t>
            </w:r>
          </w:p>
        </w:tc>
        <w:tc>
          <w:tcPr>
            <w:tcW w:type="dxa" w:w="37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WorkflowStageHookId</w:t>
            </w:r>
          </w:p>
        </w:tc>
        <w:tc>
          <w:tcPr>
            <w:tcW w:type="dxa" w:w="104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w:t>
            </w:r>
          </w:p>
        </w:tc>
        <w:tc>
          <w:tcPr>
            <w:tcW w:type="dxa" w:w="11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bl>
    <w:p>
      <w:pPr>
        <w:pStyle w:val="Heading2"/>
        <w:bidi/>
      </w:pPr>
      <w:r>
        <w:rPr>
          <w:rFonts w:ascii="Arial" w:cs="Arial" w:eastAsia="Arial" w:hAnsi="Arial"/>
          <w:b/>
          <w:bCs/>
          <w:color w:val="2B5C8A"/>
          <w:sz w:val="26"/>
          <w:szCs w:val="26"/>
          <w:rtl/>
        </w:rPr>
        <w:t xml:space="preserve">العلاقات</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5009"/>
        <w:gridCol w:w="4098"/>
        <w:gridCol w:w="3946"/>
        <w:gridCol w:w="1518"/>
        <w:gridCol w:w="1821"/>
        <w:gridCol w:w="3036"/>
        <w:gridCol w:w="1366"/>
        <w:gridCol w:w="1217"/>
      </w:tblGrid>
      <w:tr>
        <w:trPr>
          <w:cantSplit/>
          <w:tblHeader/>
        </w:trPr>
        <w:tc>
          <w:tcPr>
            <w:tcW w:type="dxa" w:w="50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409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394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51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82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303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136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121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wfl.WorkflowStage</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TemplateId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wfl.WorkflowTemplate</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wfl.WorkflowStage</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ExternalPhaseId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wfl.ExternalPhase</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wfl.WorkflowStage</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AssigneeRoleId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sec.Role</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wfl.WorkflowStage</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PoolPermissionId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sec.Permission</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wfl.WorkflowStage</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AssigneeUserId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wfl.WorkflowStage</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AssigneeDepartmentId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org.Department</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wfl.WorkflowStage</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FallbackRoleId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sec.Role</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wfl.StageApprover</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StageId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wfl.WorkflowStage</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wfl.StageApprover</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RoleId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sec.Role</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wfl.StageApprover</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UserId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wfl.StageApprover</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DepartmentId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org.Department</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wfl.StageApprover</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FallbackRoleId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sec.Role</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wfl.WorkflowTransition</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TemplateId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wfl.WorkflowTemplate</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wfl.WorkflowTransition</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FromStageId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wfl.WorkflowStage</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TemplateId</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wfl.WorkflowTransition</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ToStageId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wfl.WorkflowStage</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TemplateId</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wfl.WorkflowTransition</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ResumeStageId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wfl.WorkflowStage</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TemplateId</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wfl.WorkflowStageHook</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StageId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wfl.WorkflowStage</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bl>
    <w:p>
      <w:pPr>
        <w:pStyle w:val="Heading2"/>
        <w:bidi/>
      </w:pPr>
      <w:r>
        <w:rPr>
          <w:rFonts w:ascii="Arial" w:cs="Arial" w:eastAsia="Arial" w:hAnsi="Arial"/>
          <w:b/>
          <w:bCs/>
          <w:color w:val="2B5C8A"/>
          <w:sz w:val="26"/>
          <w:szCs w:val="26"/>
          <w:rtl/>
        </w:rPr>
        <w:t xml:space="preserve">3.44 م6 · قوالب دورات العمل (3/3)</w:t>
      </w:r>
    </w:p>
    <w:p>
      <w:pPr>
        <w:keepNext/>
        <w:bidi/>
        <w:spacing w:after="60" w:before="0"/>
      </w:pPr>
      <w:r>
        <w:rPr>
          <w:rFonts w:ascii="Arial" w:cs="Arial" w:eastAsia="Arial" w:hAnsi="Arial"/>
          <w:b w:val="false"/>
          <w:bCs w:val="false"/>
          <w:i w:val="false"/>
          <w:iCs w:val="false"/>
          <w:color w:val="5B6670"/>
          <w:sz w:val="16"/>
          <w:szCs w:val="16"/>
          <w:rtl/>
        </w:rPr>
        <w:t xml:space="preserve">Workflow templates</w:t>
      </w:r>
    </w:p>
    <w:p>
      <w:pPr>
        <w:keepNext/>
        <w:bidi/>
        <w:spacing w:after="60" w:before="60"/>
        <w:jc w:val="center"/>
      </w:pPr>
      <w:r>
        <w:drawing>
          <wp:inline distT="0" distB="0" distL="0" distR="0">
            <wp:extent cx="8505825" cy="1943100"/>
            <wp:effectExtent t="0" r="0" b="0" l="0"/>
            <wp:docPr id="1" name="diagrams/erd/m6_wf_templates_3.png" descr="الشكل 51: م6 · قوالب دورات العمل (3/3) (جدولان)" title="الشكل 51: م6 · قوالب دورات العمل (3/3) (جدولا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8505825" cy="1943100"/>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51: م6 · قوالب دورات العمل (3/3) (جدولان)</w:t>
      </w:r>
    </w:p>
    <w:p>
      <w:pPr>
        <w:pStyle w:val="Heading2"/>
        <w:bidi/>
      </w:pPr>
      <w:r>
        <w:rPr>
          <w:rFonts w:ascii="Arial" w:cs="Arial" w:eastAsia="Arial" w:hAnsi="Arial"/>
          <w:b/>
          <w:bCs/>
          <w:color w:val="2B5C8A"/>
          <w:sz w:val="26"/>
          <w:szCs w:val="26"/>
          <w:rtl/>
        </w:rPr>
        <w:t xml:space="preserve">الجداول</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4909"/>
        <w:gridCol w:w="1487"/>
        <w:gridCol w:w="9663"/>
        <w:gridCol w:w="3719"/>
        <w:gridCol w:w="1041"/>
        <w:gridCol w:w="1192"/>
      </w:tblGrid>
      <w:tr>
        <w:trPr>
          <w:cantSplit/>
          <w:tblHeader/>
        </w:trPr>
        <w:tc>
          <w:tcPr>
            <w:tcW w:type="dxa" w:w="49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48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966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371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104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119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wfl.TemplateField</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wfl</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حقل في نسخة قالب يولّد النموذج بلا كود واجهة (FR-REQ-002..005، BR-REQ-003/004)</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TemplateFieldId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r>
        <w:trPr>
          <w:cantSplit/>
        </w:trPr>
        <w:tc>
          <w:tcPr>
            <w:tcW w:type="dxa" w:w="49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wfl.TemplateAttachmentRule</w:t>
            </w:r>
          </w:p>
        </w:tc>
        <w:tc>
          <w:tcPr>
            <w:tcW w:type="dxa" w:w="148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wfl</w:t>
            </w:r>
          </w:p>
        </w:tc>
        <w:tc>
          <w:tcPr>
            <w:tcW w:type="dxa" w:w="966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قاعدة مرفق على نسخة قالب (FR-REQ-006، BR-REQ-005، FR-WFL-024/025)</w:t>
            </w:r>
          </w:p>
        </w:tc>
        <w:tc>
          <w:tcPr>
            <w:tcW w:type="dxa" w:w="37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TemplateAttachmentRuleId</w:t>
            </w:r>
          </w:p>
        </w:tc>
        <w:tc>
          <w:tcPr>
            <w:tcW w:type="dxa" w:w="104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c>
          <w:tcPr>
            <w:tcW w:type="dxa" w:w="11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bl>
    <w:p>
      <w:pPr>
        <w:pStyle w:val="Heading2"/>
        <w:bidi/>
      </w:pPr>
      <w:r>
        <w:rPr>
          <w:rFonts w:ascii="Arial" w:cs="Arial" w:eastAsia="Arial" w:hAnsi="Arial"/>
          <w:b/>
          <w:bCs/>
          <w:color w:val="2B5C8A"/>
          <w:sz w:val="26"/>
          <w:szCs w:val="26"/>
          <w:rtl/>
        </w:rPr>
        <w:t xml:space="preserve">العلاقات</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5009"/>
        <w:gridCol w:w="4098"/>
        <w:gridCol w:w="3946"/>
        <w:gridCol w:w="1518"/>
        <w:gridCol w:w="1821"/>
        <w:gridCol w:w="3036"/>
        <w:gridCol w:w="1366"/>
        <w:gridCol w:w="1217"/>
      </w:tblGrid>
      <w:tr>
        <w:trPr>
          <w:cantSplit/>
          <w:tblHeader/>
        </w:trPr>
        <w:tc>
          <w:tcPr>
            <w:tcW w:type="dxa" w:w="50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409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394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51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82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303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136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121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wfl.TemplateField</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TemplateId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wfl.WorkflowTemplate</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wfl.TemplateAttachmentRule</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TemplateId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wfl.WorkflowTemplate</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wfl.TemplateAttachmentRule</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DocumentTypeId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cat.DocumentType</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bl>
    <w:p>
      <w:pPr>
        <w:pStyle w:val="Heading2"/>
        <w:bidi/>
      </w:pPr>
      <w:r>
        <w:rPr>
          <w:rFonts w:ascii="Arial" w:cs="Arial" w:eastAsia="Arial" w:hAnsi="Arial"/>
          <w:b/>
          <w:bCs/>
          <w:color w:val="2B5C8A"/>
          <w:sz w:val="26"/>
          <w:szCs w:val="26"/>
          <w:rtl/>
        </w:rPr>
        <w:t xml:space="preserve">3.45 م6 · الطلبات وإجراءاتها (1/3)</w:t>
      </w:r>
    </w:p>
    <w:p>
      <w:pPr>
        <w:keepNext/>
        <w:bidi/>
        <w:spacing w:after="60" w:before="0"/>
      </w:pPr>
      <w:r>
        <w:rPr>
          <w:rFonts w:ascii="Arial" w:cs="Arial" w:eastAsia="Arial" w:hAnsi="Arial"/>
          <w:b w:val="false"/>
          <w:bCs w:val="false"/>
          <w:i w:val="false"/>
          <w:iCs w:val="false"/>
          <w:color w:val="5B6670"/>
          <w:sz w:val="16"/>
          <w:szCs w:val="16"/>
          <w:rtl/>
        </w:rPr>
        <w:t xml:space="preserve">Requests, approvals &amp; actions</w:t>
      </w:r>
    </w:p>
    <w:p>
      <w:pPr>
        <w:keepNext/>
        <w:bidi/>
        <w:spacing w:after="60" w:before="60"/>
        <w:jc w:val="center"/>
      </w:pPr>
      <w:r>
        <w:drawing>
          <wp:inline distT="0" distB="0" distL="0" distR="0">
            <wp:extent cx="7096125" cy="7620000"/>
            <wp:effectExtent t="0" r="0" b="0" l="0"/>
            <wp:docPr id="1" name="diagrams/erd/m6_requests_1.png" descr="الشكل 52: م6 · الطلبات وإجراءاتها (1/3) (4 جداول)" title="الشكل 52: م6 · الطلبات وإجراءاتها (1/3) (4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7096125" cy="7620000"/>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52: م6 · الطلبات وإجراءاتها (1/3) (4 جداول)</w:t>
      </w:r>
    </w:p>
    <w:p>
      <w:pPr>
        <w:pStyle w:val="Heading2"/>
        <w:bidi/>
      </w:pPr>
      <w:r>
        <w:rPr>
          <w:rFonts w:ascii="Arial" w:cs="Arial" w:eastAsia="Arial" w:hAnsi="Arial"/>
          <w:b/>
          <w:bCs/>
          <w:color w:val="2B5C8A"/>
          <w:sz w:val="26"/>
          <w:szCs w:val="26"/>
          <w:rtl/>
        </w:rPr>
        <w:t xml:space="preserve">الجداول</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4909"/>
        <w:gridCol w:w="1487"/>
        <w:gridCol w:w="9663"/>
        <w:gridCol w:w="3719"/>
        <w:gridCol w:w="1041"/>
        <w:gridCol w:w="1192"/>
      </w:tblGrid>
      <w:tr>
        <w:trPr>
          <w:cantSplit/>
          <w:tblHeader/>
        </w:trPr>
        <w:tc>
          <w:tcPr>
            <w:tcW w:type="dxa" w:w="49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48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966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371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104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119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wfl</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الطلب: أكثر الجداول ازدحامًا؛ الحالة الداخلية منفصلة عن المرحلة الظاهرة (FR-WFL-001، FR-REQ-009، D-6، BR-REQ-002/003)</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RequestId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22</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6</w:t>
            </w:r>
          </w:p>
        </w:tc>
      </w:tr>
      <w:tr>
        <w:trPr>
          <w:cantSplit/>
        </w:trPr>
        <w:tc>
          <w:tcPr>
            <w:tcW w:type="dxa" w:w="49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wfl.RequestComment</w:t>
            </w:r>
          </w:p>
        </w:tc>
        <w:tc>
          <w:tcPr>
            <w:tcW w:type="dxa" w:w="148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wfl</w:t>
            </w:r>
          </w:p>
        </w:tc>
        <w:tc>
          <w:tcPr>
            <w:tcW w:type="dxa" w:w="966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تعليق ظاهر للطالب أو داخلي؛ يمنع التطبيق تعديله، والسحب يترك الأصل (FR-REQ-017، BR-REQ-014)</w:t>
            </w:r>
          </w:p>
        </w:tc>
        <w:tc>
          <w:tcPr>
            <w:tcW w:type="dxa" w:w="37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RequestCommentId</w:t>
            </w:r>
          </w:p>
        </w:tc>
        <w:tc>
          <w:tcPr>
            <w:tcW w:type="dxa" w:w="104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5</w:t>
            </w:r>
          </w:p>
        </w:tc>
        <w:tc>
          <w:tcPr>
            <w:tcW w:type="dxa" w:w="11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wfl.RequestAttachment</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wfl</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ربط مستند بطلب ينشئ DocumentLink (EntityType=Request) (FR-REQ-006، BR-REQ-005)</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RequestAttachmentId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r>
        <w:trPr>
          <w:cantSplit/>
        </w:trPr>
        <w:tc>
          <w:tcPr>
            <w:tcW w:type="dxa" w:w="49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wfl.RequestExternalRef</w:t>
            </w:r>
          </w:p>
        </w:tc>
        <w:tc>
          <w:tcPr>
            <w:tcW w:type="dxa" w:w="148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wfl</w:t>
            </w:r>
          </w:p>
        </w:tc>
        <w:tc>
          <w:tcPr>
            <w:tcW w:type="dxa" w:w="966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مرجع خارجي بنص حر؛ تعديل بالإحلال ويبقى التاريخ؛ بلا تحقق خارجي (FR-REQ-010، X-DAT-7، BR-REQ-006)</w:t>
            </w:r>
          </w:p>
        </w:tc>
        <w:tc>
          <w:tcPr>
            <w:tcW w:type="dxa" w:w="37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RequestExternalRefId</w:t>
            </w:r>
          </w:p>
        </w:tc>
        <w:tc>
          <w:tcPr>
            <w:tcW w:type="dxa" w:w="104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c>
          <w:tcPr>
            <w:tcW w:type="dxa" w:w="11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bl>
    <w:p>
      <w:pPr>
        <w:pStyle w:val="Heading2"/>
        <w:bidi/>
      </w:pPr>
      <w:r>
        <w:rPr>
          <w:rFonts w:ascii="Arial" w:cs="Arial" w:eastAsia="Arial" w:hAnsi="Arial"/>
          <w:b/>
          <w:bCs/>
          <w:color w:val="2B5C8A"/>
          <w:sz w:val="26"/>
          <w:szCs w:val="26"/>
          <w:rtl/>
        </w:rPr>
        <w:t xml:space="preserve">العلاقات</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5009"/>
        <w:gridCol w:w="4098"/>
        <w:gridCol w:w="3946"/>
        <w:gridCol w:w="1518"/>
        <w:gridCol w:w="1821"/>
        <w:gridCol w:w="3036"/>
        <w:gridCol w:w="1366"/>
        <w:gridCol w:w="1217"/>
      </w:tblGrid>
      <w:tr>
        <w:trPr>
          <w:cantSplit/>
          <w:tblHeader/>
        </w:trPr>
        <w:tc>
          <w:tcPr>
            <w:tcW w:type="dxa" w:w="50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409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394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51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82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303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136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121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RequestTypeId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wfl.RequestType</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TemplateId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wfl.WorkflowTemplate</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RequestTypeId</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CompanyId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DepartmentId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org.Department</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RequesterUserId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CreatedByUserId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SubmittedByUserId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CurrentStageId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wfl.WorkflowStage</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TemplateId</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CurrentStageInstanceId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wfl.RequestStageInstance</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ExternalPhaseId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wfl.ExternalPhase</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AssigneeUserId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ClosedByUserId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CurrencyId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ref.Currency</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ProductId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cat.Product</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ParentRequestId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CopiedFromRequestId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lc.LetterOfCredit</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CompanyId</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FacilityId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fac.Facility</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LimitId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FacilityId</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LimitProductLineId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fac.LimitProductLine</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FacilityId, LimitId</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InstitutionId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ins.Institution</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ReservationId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fac.LimitReservation</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wfl.RequestComment</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RequestId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wfl.RequestComment</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StageInstanceId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wfl.RequestStageInstance</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RequestId</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wfl.RequestComment</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AuthorUserId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wfl.RequestComment</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ParentCommentId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wfl.RequestComment</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RequestId</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wfl.RequestComment</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RetractedBy</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wfl.RequestAttachment</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RequestId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wfl.RequestAttachment</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DocumentId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wfl.RequestAttachment</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StageInstanceId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wfl.RequestStageInstance</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RequestId</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wfl.RequestExternalRef</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RequestId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wfl.RequestExternalRef</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SupersededById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wfl.RequestExternalRef</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RequestId</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wfl.RequestExternalRef</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EnteredBy</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bl>
    <w:p>
      <w:pPr>
        <w:pStyle w:val="Heading2"/>
        <w:bidi/>
      </w:pPr>
      <w:r>
        <w:rPr>
          <w:rFonts w:ascii="Arial" w:cs="Arial" w:eastAsia="Arial" w:hAnsi="Arial"/>
          <w:b/>
          <w:bCs/>
          <w:color w:val="2B5C8A"/>
          <w:sz w:val="26"/>
          <w:szCs w:val="26"/>
          <w:rtl/>
        </w:rPr>
        <w:t xml:space="preserve">3.46 م6 · الطلبات وإجراءاتها (2/3)</w:t>
      </w:r>
    </w:p>
    <w:p>
      <w:pPr>
        <w:keepNext/>
        <w:bidi/>
        <w:spacing w:after="60" w:before="0"/>
      </w:pPr>
      <w:r>
        <w:rPr>
          <w:rFonts w:ascii="Arial" w:cs="Arial" w:eastAsia="Arial" w:hAnsi="Arial"/>
          <w:b w:val="false"/>
          <w:bCs w:val="false"/>
          <w:i w:val="false"/>
          <w:iCs w:val="false"/>
          <w:color w:val="5B6670"/>
          <w:sz w:val="16"/>
          <w:szCs w:val="16"/>
          <w:rtl/>
        </w:rPr>
        <w:t xml:space="preserve">Requests, approvals &amp; actions</w:t>
      </w:r>
    </w:p>
    <w:p>
      <w:pPr>
        <w:keepNext/>
        <w:bidi/>
        <w:spacing w:after="60" w:before="60"/>
        <w:jc w:val="center"/>
      </w:pPr>
      <w:r>
        <w:drawing>
          <wp:inline distT="0" distB="0" distL="0" distR="0">
            <wp:extent cx="12687300" cy="7620000"/>
            <wp:effectExtent t="0" r="0" b="0" l="0"/>
            <wp:docPr id="1" name="diagrams/erd/m6_requests_2.png" descr="الشكل 53: م6 · الطلبات وإجراءاتها (2/3) (4 جداول)" title="الشكل 53: م6 · الطلبات وإجراءاتها (2/3) (4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12687300" cy="7620000"/>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53: م6 · الطلبات وإجراءاتها (2/3) (4 جداول)</w:t>
      </w:r>
    </w:p>
    <w:p>
      <w:pPr>
        <w:pStyle w:val="Heading2"/>
        <w:bidi/>
      </w:pPr>
      <w:r>
        <w:rPr>
          <w:rFonts w:ascii="Arial" w:cs="Arial" w:eastAsia="Arial" w:hAnsi="Arial"/>
          <w:b/>
          <w:bCs/>
          <w:color w:val="2B5C8A"/>
          <w:sz w:val="26"/>
          <w:szCs w:val="26"/>
          <w:rtl/>
        </w:rPr>
        <w:t xml:space="preserve">الجداول</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4909"/>
        <w:gridCol w:w="1487"/>
        <w:gridCol w:w="9663"/>
        <w:gridCol w:w="3719"/>
        <w:gridCol w:w="1041"/>
        <w:gridCol w:w="1192"/>
      </w:tblGrid>
      <w:tr>
        <w:trPr>
          <w:cantSplit/>
          <w:tblHeader/>
        </w:trPr>
        <w:tc>
          <w:tcPr>
            <w:tcW w:type="dxa" w:w="49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48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966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371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104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119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wfl.RequestStageInstance</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wfl</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دخول طلب إلى مرحلة؛ مصدر مقاييس الأزمنة والسحب والـ SLA (BR-WFL-002/007/012، §8)</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RequestStageInstanceId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5</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r>
        <w:trPr>
          <w:cantSplit/>
        </w:trPr>
        <w:tc>
          <w:tcPr>
            <w:tcW w:type="dxa" w:w="49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wfl.RequestApproval</w:t>
            </w:r>
          </w:p>
        </w:tc>
        <w:tc>
          <w:tcPr>
            <w:tcW w:type="dxa" w:w="148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wfl</w:t>
            </w:r>
          </w:p>
        </w:tc>
        <w:tc>
          <w:tcPr>
            <w:tcW w:type="dxa" w:w="966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خانة موافقة تُنشأ لكل دخول ودورة؛ الدورة الجديدة بخانات جديدة (BR-WFL-003، FR-WFL-007/008/011)</w:t>
            </w:r>
          </w:p>
        </w:tc>
        <w:tc>
          <w:tcPr>
            <w:tcW w:type="dxa" w:w="37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RequestApprovalId</w:t>
            </w:r>
          </w:p>
        </w:tc>
        <w:tc>
          <w:tcPr>
            <w:tcW w:type="dxa" w:w="104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7</w:t>
            </w:r>
          </w:p>
        </w:tc>
        <w:tc>
          <w:tcPr>
            <w:tcW w:type="dxa" w:w="11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wfl.RequestAction</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wfl</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سجل إجراءات للإضافة فقط يغطي كل حدث؛ غير AuditLog الأمني (FR-WFL-033/034، §6.2)</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RequestActionId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4</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r>
        <w:trPr>
          <w:cantSplit/>
        </w:trPr>
        <w:tc>
          <w:tcPr>
            <w:tcW w:type="dxa" w:w="49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wfl.HookExecution</w:t>
            </w:r>
          </w:p>
        </w:tc>
        <w:tc>
          <w:tcPr>
            <w:tcW w:type="dxa" w:w="148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wfl</w:t>
            </w:r>
          </w:p>
        </w:tc>
        <w:tc>
          <w:tcPr>
            <w:tcW w:type="dxa" w:w="966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تنفيذ خطاف بمفتاح عدم تكرار يعيد النتيجة المخزَّنة (FR-WFL-021، BR-WFL-015)</w:t>
            </w:r>
          </w:p>
        </w:tc>
        <w:tc>
          <w:tcPr>
            <w:tcW w:type="dxa" w:w="37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HookExecutionId</w:t>
            </w:r>
          </w:p>
        </w:tc>
        <w:tc>
          <w:tcPr>
            <w:tcW w:type="dxa" w:w="104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c>
          <w:tcPr>
            <w:tcW w:type="dxa" w:w="11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bl>
    <w:p>
      <w:pPr>
        <w:pStyle w:val="Heading2"/>
        <w:bidi/>
      </w:pPr>
      <w:r>
        <w:rPr>
          <w:rFonts w:ascii="Arial" w:cs="Arial" w:eastAsia="Arial" w:hAnsi="Arial"/>
          <w:b/>
          <w:bCs/>
          <w:color w:val="2B5C8A"/>
          <w:sz w:val="26"/>
          <w:szCs w:val="26"/>
          <w:rtl/>
        </w:rPr>
        <w:t xml:space="preserve">العلاقات</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5009"/>
        <w:gridCol w:w="4098"/>
        <w:gridCol w:w="3946"/>
        <w:gridCol w:w="1518"/>
        <w:gridCol w:w="1821"/>
        <w:gridCol w:w="3036"/>
        <w:gridCol w:w="1366"/>
        <w:gridCol w:w="1217"/>
      </w:tblGrid>
      <w:tr>
        <w:trPr>
          <w:cantSplit/>
          <w:tblHeader/>
        </w:trPr>
        <w:tc>
          <w:tcPr>
            <w:tcW w:type="dxa" w:w="50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409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394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51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82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303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136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121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wfl.RequestStageInstance</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RequestId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wfl.RequestStageInstance</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TemplateId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wfl.WorkflowTemplate</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wfl.RequestStageInstance</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StageId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wfl.WorkflowStage</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TemplateId</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wfl.RequestStageInstance</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AssigneeUserId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wfl.RequestStageInstance</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ResumeStageId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wfl.WorkflowStage</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TemplateId</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wfl.RequestApproval</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RequestId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wfl.RequestApproval</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StageInstanceId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wfl.RequestStageInstance</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RequestId</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wfl.RequestApproval</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AssignedUserId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wfl.RequestApproval</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AssignedRoleId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sec.Role</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wfl.RequestApproval</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ActedByUserId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wfl.RequestApproval</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OnBehalfOfUserId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wfl.RequestApproval</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DelegationId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wfl.UserDelegation</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wfl.RequestAction</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RequestId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wfl.RequestAction</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StageInstanceId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wfl.RequestStageInstance</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RequestId</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wfl.RequestAction</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ActorUserId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wfl.RequestAction</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OnBehalfOfUserId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wfl.HookExecution</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RequestId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wfl.HookExecution</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StageInstanceId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wfl.RequestStageInstance</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RequestId</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bl>
    <w:p>
      <w:pPr>
        <w:pStyle w:val="Heading2"/>
        <w:bidi/>
      </w:pPr>
      <w:r>
        <w:rPr>
          <w:rFonts w:ascii="Arial" w:cs="Arial" w:eastAsia="Arial" w:hAnsi="Arial"/>
          <w:b/>
          <w:bCs/>
          <w:color w:val="2B5C8A"/>
          <w:sz w:val="26"/>
          <w:szCs w:val="26"/>
          <w:rtl/>
        </w:rPr>
        <w:t xml:space="preserve">3.47 م6 · الطلبات وإجراءاتها (3/3)</w:t>
      </w:r>
    </w:p>
    <w:p>
      <w:pPr>
        <w:keepNext/>
        <w:bidi/>
        <w:spacing w:after="60" w:before="0"/>
      </w:pPr>
      <w:r>
        <w:rPr>
          <w:rFonts w:ascii="Arial" w:cs="Arial" w:eastAsia="Arial" w:hAnsi="Arial"/>
          <w:b w:val="false"/>
          <w:bCs w:val="false"/>
          <w:i w:val="false"/>
          <w:iCs w:val="false"/>
          <w:color w:val="5B6670"/>
          <w:sz w:val="16"/>
          <w:szCs w:val="16"/>
          <w:rtl/>
        </w:rPr>
        <w:t xml:space="preserve">Requests, approvals &amp; actions</w:t>
      </w:r>
    </w:p>
    <w:p>
      <w:pPr>
        <w:keepNext/>
        <w:bidi/>
        <w:spacing w:after="60" w:before="60"/>
        <w:jc w:val="center"/>
      </w:pPr>
      <w:r>
        <w:drawing>
          <wp:inline distT="0" distB="0" distL="0" distR="0">
            <wp:extent cx="3429000" cy="2381250"/>
            <wp:effectExtent t="0" r="0" b="0" l="0"/>
            <wp:docPr id="1" name="diagrams/erd/m6_requests_3.png" descr="الشكل 54: م6 · الطلبات وإجراءاتها (3/3) (جدول واحد)" title="الشكل 54: م6 · الطلبات وإجراءاتها (3/3) (جدول واح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3429000" cy="2381250"/>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54: م6 · الطلبات وإجراءاتها (3/3) (جدول واحد)</w:t>
      </w:r>
    </w:p>
    <w:p>
      <w:pPr>
        <w:pStyle w:val="Heading2"/>
        <w:bidi/>
      </w:pPr>
      <w:r>
        <w:rPr>
          <w:rFonts w:ascii="Arial" w:cs="Arial" w:eastAsia="Arial" w:hAnsi="Arial"/>
          <w:b/>
          <w:bCs/>
          <w:color w:val="2B5C8A"/>
          <w:sz w:val="26"/>
          <w:szCs w:val="26"/>
          <w:rtl/>
        </w:rPr>
        <w:t xml:space="preserve">الجداول</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4909"/>
        <w:gridCol w:w="1487"/>
        <w:gridCol w:w="9663"/>
        <w:gridCol w:w="3719"/>
        <w:gridCol w:w="1041"/>
        <w:gridCol w:w="1192"/>
      </w:tblGrid>
      <w:tr>
        <w:trPr>
          <w:cantSplit/>
          <w:tblHeader/>
        </w:trPr>
        <w:tc>
          <w:tcPr>
            <w:tcW w:type="dxa" w:w="49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48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966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371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104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119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wfl.UserDelegation</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wfl</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تفويض مهام بفترة ونطاق؛ لا تفويض متسلسل (FR-WFL-020، BR-WFL-021، V-WFL-06)</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UserDelegationId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4</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bl>
    <w:p>
      <w:pPr>
        <w:pStyle w:val="Heading2"/>
        <w:bidi/>
      </w:pPr>
      <w:r>
        <w:rPr>
          <w:rFonts w:ascii="Arial" w:cs="Arial" w:eastAsia="Arial" w:hAnsi="Arial"/>
          <w:b/>
          <w:bCs/>
          <w:color w:val="2B5C8A"/>
          <w:sz w:val="26"/>
          <w:szCs w:val="26"/>
          <w:rtl/>
        </w:rPr>
        <w:t xml:space="preserve">العلاقات</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5009"/>
        <w:gridCol w:w="4098"/>
        <w:gridCol w:w="3946"/>
        <w:gridCol w:w="1518"/>
        <w:gridCol w:w="1821"/>
        <w:gridCol w:w="3036"/>
        <w:gridCol w:w="1366"/>
        <w:gridCol w:w="1217"/>
      </w:tblGrid>
      <w:tr>
        <w:trPr>
          <w:cantSplit/>
          <w:tblHeader/>
        </w:trPr>
        <w:tc>
          <w:tcPr>
            <w:tcW w:type="dxa" w:w="50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409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394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51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82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303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136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121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wfl.UserDelegation</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FromUserId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wfl.UserDelegation</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ToUserId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wfl.UserDelegation</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RequestTypeId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wfl.RequestType</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wfl.UserDelegation</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RevokedBy</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bl>
    <w:p>
      <w:pPr>
        <w:pStyle w:val="Heading2"/>
        <w:bidi/>
      </w:pPr>
      <w:r>
        <w:rPr>
          <w:rFonts w:ascii="Arial" w:cs="Arial" w:eastAsia="Arial" w:hAnsi="Arial"/>
          <w:b/>
          <w:bCs/>
          <w:color w:val="2B5C8A"/>
          <w:sz w:val="26"/>
          <w:szCs w:val="26"/>
          <w:rtl/>
        </w:rPr>
        <w:t xml:space="preserve">3.48 م6 · الإشعارات (1/2)</w:t>
      </w:r>
    </w:p>
    <w:p>
      <w:pPr>
        <w:keepNext/>
        <w:bidi/>
        <w:spacing w:after="60" w:before="0"/>
      </w:pPr>
      <w:r>
        <w:rPr>
          <w:rFonts w:ascii="Arial" w:cs="Arial" w:eastAsia="Arial" w:hAnsi="Arial"/>
          <w:b w:val="false"/>
          <w:bCs w:val="false"/>
          <w:i w:val="false"/>
          <w:iCs w:val="false"/>
          <w:color w:val="5B6670"/>
          <w:sz w:val="16"/>
          <w:szCs w:val="16"/>
          <w:rtl/>
        </w:rPr>
        <w:t xml:space="preserve">Notifications</w:t>
      </w:r>
    </w:p>
    <w:p>
      <w:pPr>
        <w:keepNext/>
        <w:bidi/>
        <w:spacing w:after="60" w:before="60"/>
        <w:jc w:val="center"/>
      </w:pPr>
      <w:r>
        <w:drawing>
          <wp:inline distT="0" distB="0" distL="0" distR="0">
            <wp:extent cx="7991475" cy="7419975"/>
            <wp:effectExtent t="0" r="0" b="0" l="0"/>
            <wp:docPr id="1" name="diagrams/erd/m6_notifications_1.png" descr="الشكل 55: م6 · الإشعارات (1/2) (4 جداول)" title="الشكل 55: م6 · الإشعارات (1/2) (4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7991475" cy="7419975"/>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55: م6 · الإشعارات (1/2) (4 جداول)</w:t>
      </w:r>
    </w:p>
    <w:p>
      <w:pPr>
        <w:pStyle w:val="Heading2"/>
        <w:bidi/>
      </w:pPr>
      <w:r>
        <w:rPr>
          <w:rFonts w:ascii="Arial" w:cs="Arial" w:eastAsia="Arial" w:hAnsi="Arial"/>
          <w:b/>
          <w:bCs/>
          <w:color w:val="2B5C8A"/>
          <w:sz w:val="26"/>
          <w:szCs w:val="26"/>
          <w:rtl/>
        </w:rPr>
        <w:t xml:space="preserve">الجداول</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4909"/>
        <w:gridCol w:w="1487"/>
        <w:gridCol w:w="9663"/>
        <w:gridCol w:w="3719"/>
        <w:gridCol w:w="1041"/>
        <w:gridCol w:w="1192"/>
      </w:tblGrid>
      <w:tr>
        <w:trPr>
          <w:cantSplit/>
          <w:tblHeader/>
        </w:trPr>
        <w:tc>
          <w:tcPr>
            <w:tcW w:type="dxa" w:w="49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48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966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371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104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119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ntf.DigestBatch</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ntf</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دفعة ملخص لمستخدم وقناة وفترة؛ لا يُرسل فارغًا (FR-NTF-014، BR-NTF-004، JOB-NTF-DIGEST)</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DigestBatchId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r>
        <w:trPr>
          <w:cantSplit/>
        </w:trPr>
        <w:tc>
          <w:tcPr>
            <w:tcW w:type="dxa" w:w="49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ntf.Notification</w:t>
            </w:r>
          </w:p>
        </w:tc>
        <w:tc>
          <w:tcPr>
            <w:tcW w:type="dxa" w:w="148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ntf</w:t>
            </w:r>
          </w:p>
        </w:tc>
        <w:tc>
          <w:tcPr>
            <w:tcW w:type="dxa" w:w="966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إشعار لمستخدم؛ المحتوى بلا قيم مقيّدة (FR-NTF-005/006/007/021، BR-NTF-001/002/007/008/011)</w:t>
            </w:r>
          </w:p>
        </w:tc>
        <w:tc>
          <w:tcPr>
            <w:tcW w:type="dxa" w:w="37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NotificationId</w:t>
            </w:r>
          </w:p>
        </w:tc>
        <w:tc>
          <w:tcPr>
            <w:tcW w:type="dxa" w:w="104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c>
          <w:tcPr>
            <w:tcW w:type="dxa" w:w="11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ntf.NotificationDelivery</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ntf</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تسليم الإشعار لكل قناة بحالاته وإعادة المحاولة (FR-NTF-019، BR-NTF-009، §8)</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NotificationDeliveryId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r>
        <w:trPr>
          <w:cantSplit/>
        </w:trPr>
        <w:tc>
          <w:tcPr>
            <w:tcW w:type="dxa" w:w="49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ntf.NotificationEventType</w:t>
            </w:r>
          </w:p>
        </w:tc>
        <w:tc>
          <w:tcPr>
            <w:tcW w:type="dxa" w:w="148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ntf</w:t>
            </w:r>
          </w:p>
        </w:tc>
        <w:tc>
          <w:tcPr>
            <w:tcW w:type="dxa" w:w="966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كتالوج الأحداث؛ تملكه 13 لكل الوحدات وتبذر فيه الوحدات أحداثها (FR-NTF-001، §9.2، §9.2-ب)</w:t>
            </w:r>
          </w:p>
        </w:tc>
        <w:tc>
          <w:tcPr>
            <w:tcW w:type="dxa" w:w="37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NotificationEventTypeId</w:t>
            </w:r>
          </w:p>
        </w:tc>
        <w:tc>
          <w:tcPr>
            <w:tcW w:type="dxa" w:w="104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c>
          <w:tcPr>
            <w:tcW w:type="dxa" w:w="11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bl>
    <w:p>
      <w:pPr>
        <w:pStyle w:val="Heading2"/>
        <w:bidi/>
      </w:pPr>
      <w:r>
        <w:rPr>
          <w:rFonts w:ascii="Arial" w:cs="Arial" w:eastAsia="Arial" w:hAnsi="Arial"/>
          <w:b/>
          <w:bCs/>
          <w:color w:val="2B5C8A"/>
          <w:sz w:val="26"/>
          <w:szCs w:val="26"/>
          <w:rtl/>
        </w:rPr>
        <w:t xml:space="preserve">العلاقات</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5009"/>
        <w:gridCol w:w="4098"/>
        <w:gridCol w:w="3946"/>
        <w:gridCol w:w="1518"/>
        <w:gridCol w:w="1821"/>
        <w:gridCol w:w="3036"/>
        <w:gridCol w:w="1366"/>
        <w:gridCol w:w="1217"/>
      </w:tblGrid>
      <w:tr>
        <w:trPr>
          <w:cantSplit/>
          <w:tblHeader/>
        </w:trPr>
        <w:tc>
          <w:tcPr>
            <w:tcW w:type="dxa" w:w="50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409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394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51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82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303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136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121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ntf.DigestBatch</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UserId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ntf.Notification</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UserId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ntf.Notification</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EventTypeId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ntf.NotificationEventType</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ntf.Notification</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CompanyId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ntf.NotificationDelivery</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NotificationId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ntf.Notification</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ntf.NotificationDelivery</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DigestBatchId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ntf.DigestBatch</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bl>
    <w:p>
      <w:pPr>
        <w:pStyle w:val="Heading2"/>
        <w:bidi/>
      </w:pPr>
      <w:r>
        <w:rPr>
          <w:rFonts w:ascii="Arial" w:cs="Arial" w:eastAsia="Arial" w:hAnsi="Arial"/>
          <w:b/>
          <w:bCs/>
          <w:color w:val="2B5C8A"/>
          <w:sz w:val="26"/>
          <w:szCs w:val="26"/>
          <w:rtl/>
        </w:rPr>
        <w:t xml:space="preserve">3.49 م6 · الإشعارات (2/2)</w:t>
      </w:r>
    </w:p>
    <w:p>
      <w:pPr>
        <w:keepNext/>
        <w:bidi/>
        <w:spacing w:after="60" w:before="0"/>
      </w:pPr>
      <w:r>
        <w:rPr>
          <w:rFonts w:ascii="Arial" w:cs="Arial" w:eastAsia="Arial" w:hAnsi="Arial"/>
          <w:b w:val="false"/>
          <w:bCs w:val="false"/>
          <w:i w:val="false"/>
          <w:iCs w:val="false"/>
          <w:color w:val="5B6670"/>
          <w:sz w:val="16"/>
          <w:szCs w:val="16"/>
          <w:rtl/>
        </w:rPr>
        <w:t xml:space="preserve">Notifications</w:t>
      </w:r>
    </w:p>
    <w:p>
      <w:pPr>
        <w:keepNext/>
        <w:bidi/>
        <w:spacing w:after="60" w:before="60"/>
        <w:jc w:val="center"/>
      </w:pPr>
      <w:r>
        <w:drawing>
          <wp:inline distT="0" distB="0" distL="0" distR="0">
            <wp:extent cx="13954125" cy="2781300"/>
            <wp:effectExtent t="0" r="0" b="0" l="0"/>
            <wp:docPr id="1" name="diagrams/erd/m6_notifications_2.png" descr="الشكل 56: م6 · الإشعارات (2/2) (3 جداول)" title="الشكل 56: م6 · الإشعارات (2/2) (3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13954125" cy="2781300"/>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56: م6 · الإشعارات (2/2) (3 جداول)</w:t>
      </w:r>
    </w:p>
    <w:p>
      <w:pPr>
        <w:pStyle w:val="Heading2"/>
        <w:bidi/>
      </w:pPr>
      <w:r>
        <w:rPr>
          <w:rFonts w:ascii="Arial" w:cs="Arial" w:eastAsia="Arial" w:hAnsi="Arial"/>
          <w:b/>
          <w:bCs/>
          <w:color w:val="2B5C8A"/>
          <w:sz w:val="26"/>
          <w:szCs w:val="26"/>
          <w:rtl/>
        </w:rPr>
        <w:t xml:space="preserve">الجداول</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4909"/>
        <w:gridCol w:w="1487"/>
        <w:gridCol w:w="9663"/>
        <w:gridCol w:w="3719"/>
        <w:gridCol w:w="1041"/>
        <w:gridCol w:w="1192"/>
      </w:tblGrid>
      <w:tr>
        <w:trPr>
          <w:cantSplit/>
          <w:tblHeader/>
        </w:trPr>
        <w:tc>
          <w:tcPr>
            <w:tcW w:type="dxa" w:w="49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48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966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371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104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119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ntf.NotificationPreference</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ntf</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تفضيل المستخدم لكل مجموعة أحداث وقناة (FR-NTF-010، BR-NTF-003/014)؛ الإلزامي لا يُوقَف في التطبيق</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NotificationPreferenceId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r>
        <w:trPr>
          <w:cantSplit/>
        </w:trPr>
        <w:tc>
          <w:tcPr>
            <w:tcW w:type="dxa" w:w="49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ntf.NotificationRule</w:t>
            </w:r>
          </w:p>
        </w:tc>
        <w:tc>
          <w:tcPr>
            <w:tcW w:type="dxa" w:w="148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ntf</w:t>
            </w:r>
          </w:p>
        </w:tc>
        <w:tc>
          <w:tcPr>
            <w:tcW w:type="dxa" w:w="966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قاعدة مستلمين لحدث؛ التعديل يسري على الأحداث التالية فقط (FR-NTF-003، BR-NTF-001، V-NTF-02)</w:t>
            </w:r>
          </w:p>
        </w:tc>
        <w:tc>
          <w:tcPr>
            <w:tcW w:type="dxa" w:w="37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NotificationRuleId</w:t>
            </w:r>
          </w:p>
        </w:tc>
        <w:tc>
          <w:tcPr>
            <w:tcW w:type="dxa" w:w="104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4</w:t>
            </w:r>
          </w:p>
        </w:tc>
        <w:tc>
          <w:tcPr>
            <w:tcW w:type="dxa" w:w="11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ntf.NotificationTemplate</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ntf</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قالب رسالة لكل (حدث، قناة، لغة)؛ الحذف = العودة إلى قالب البذرة (FR-NTF-012، FR-NTF-025)</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NotificationTemplateId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bl>
    <w:p>
      <w:pPr>
        <w:pStyle w:val="Heading2"/>
        <w:bidi/>
      </w:pPr>
      <w:r>
        <w:rPr>
          <w:rFonts w:ascii="Arial" w:cs="Arial" w:eastAsia="Arial" w:hAnsi="Arial"/>
          <w:b/>
          <w:bCs/>
          <w:color w:val="2B5C8A"/>
          <w:sz w:val="26"/>
          <w:szCs w:val="26"/>
          <w:rtl/>
        </w:rPr>
        <w:t xml:space="preserve">العلاقات</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5009"/>
        <w:gridCol w:w="4098"/>
        <w:gridCol w:w="3946"/>
        <w:gridCol w:w="1518"/>
        <w:gridCol w:w="1821"/>
        <w:gridCol w:w="3036"/>
        <w:gridCol w:w="1366"/>
        <w:gridCol w:w="1217"/>
      </w:tblGrid>
      <w:tr>
        <w:trPr>
          <w:cantSplit/>
          <w:tblHeader/>
        </w:trPr>
        <w:tc>
          <w:tcPr>
            <w:tcW w:type="dxa" w:w="50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409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394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51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82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303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136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121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ntf.NotificationPreference</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UserId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ntf.NotificationRule</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EventTypeId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ntf.NotificationEventType</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ntf.NotificationRule</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RoleId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sec.Role</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ntf.NotificationRule</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PermissionId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sec.Permission</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ntf.NotificationRule</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UserId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ntf.NotificationTemplate</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EventTypeId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ntf.NotificationEventType</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bl>
    <w:p>
      <w:pPr>
        <w:pStyle w:val="Heading2"/>
        <w:bidi/>
      </w:pPr>
      <w:r>
        <w:rPr>
          <w:rFonts w:ascii="Arial" w:cs="Arial" w:eastAsia="Arial" w:hAnsi="Arial"/>
          <w:b/>
          <w:bCs/>
          <w:color w:val="2B5C8A"/>
          <w:sz w:val="26"/>
          <w:szCs w:val="26"/>
          <w:rtl/>
        </w:rPr>
        <w:t xml:space="preserve">3.50 م7/م8 · شروط الاعتماد والنماذج (1/3)</w:t>
      </w:r>
    </w:p>
    <w:p>
      <w:pPr>
        <w:keepNext/>
        <w:bidi/>
        <w:spacing w:after="60" w:before="0"/>
      </w:pPr>
      <w:r>
        <w:rPr>
          <w:rFonts w:ascii="Arial" w:cs="Arial" w:eastAsia="Arial" w:hAnsi="Arial"/>
          <w:b w:val="false"/>
          <w:bCs w:val="false"/>
          <w:i w:val="false"/>
          <w:iCs w:val="false"/>
          <w:color w:val="5B6670"/>
          <w:sz w:val="16"/>
          <w:szCs w:val="16"/>
          <w:rtl/>
        </w:rPr>
        <w:t xml:space="preserve">LC terms, fields &amp; form maps</w:t>
      </w:r>
    </w:p>
    <w:p>
      <w:pPr>
        <w:keepNext/>
        <w:bidi/>
        <w:spacing w:after="60" w:before="60"/>
        <w:jc w:val="center"/>
      </w:pPr>
      <w:r>
        <w:drawing>
          <wp:inline distT="0" distB="0" distL="0" distR="0">
            <wp:extent cx="13458825" cy="6543675"/>
            <wp:effectExtent t="0" r="0" b="0" l="0"/>
            <wp:docPr id="1" name="diagrams/erd/m7_8_lc_terms_1.png" descr="الشكل 57: م7/م8 · شروط الاعتماد والنماذج (1/3) (4 جداول)" title="الشكل 57: م7/م8 · شروط الاعتماد والنماذج (1/3) (4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13458825" cy="6543675"/>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57: م7/م8 · شروط الاعتماد والنماذج (1/3) (4 جداول)</w:t>
      </w:r>
    </w:p>
    <w:p>
      <w:pPr>
        <w:pStyle w:val="Heading2"/>
        <w:bidi/>
      </w:pPr>
      <w:r>
        <w:rPr>
          <w:rFonts w:ascii="Arial" w:cs="Arial" w:eastAsia="Arial" w:hAnsi="Arial"/>
          <w:b/>
          <w:bCs/>
          <w:color w:val="2B5C8A"/>
          <w:sz w:val="26"/>
          <w:szCs w:val="26"/>
          <w:rtl/>
        </w:rPr>
        <w:t xml:space="preserve">الجداول</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4909"/>
        <w:gridCol w:w="1487"/>
        <w:gridCol w:w="9663"/>
        <w:gridCol w:w="3719"/>
        <w:gridCol w:w="1041"/>
        <w:gridCol w:w="1192"/>
      </w:tblGrid>
      <w:tr>
        <w:trPr>
          <w:cantSplit/>
          <w:tblHeader/>
        </w:trPr>
        <w:tc>
          <w:tcPr>
            <w:tcW w:type="dxa" w:w="49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48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966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371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104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119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lc.LcFieldDefinition</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تعريف حقل في شروط الاعتماد: بيانات تُبذر لكل مشترك (FR-LCT-004، BR-LCT-002)؛ مراجع UCP في lc.LcFieldUcpRef</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LcFieldDefinitionId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r>
        <w:trPr>
          <w:cantSplit/>
        </w:trPr>
        <w:tc>
          <w:tcPr>
            <w:tcW w:type="dxa" w:w="49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lc.LcFieldUcpRef</w:t>
            </w:r>
          </w:p>
        </w:tc>
        <w:tc>
          <w:tcPr>
            <w:tcW w:type="dxa" w:w="148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w:t>
            </w:r>
          </w:p>
        </w:tc>
        <w:tc>
          <w:tcPr>
            <w:tcW w:type="dxa" w:w="966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مرجع UCP لحقل: مادة + فقرة (UcpRefs في المواصفة)؛ يغذّي الشارة وR-LCT-01 وBR-LCT-018</w:t>
            </w:r>
          </w:p>
        </w:tc>
        <w:tc>
          <w:tcPr>
            <w:tcW w:type="dxa" w:w="37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LcFieldUcpRefId</w:t>
            </w:r>
          </w:p>
        </w:tc>
        <w:tc>
          <w:tcPr>
            <w:tcW w:type="dxa" w:w="104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c>
          <w:tcPr>
            <w:tcW w:type="dxa" w:w="11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lc.Counterparty</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الطرف المقابل: مورّد/عميل خفيف بلا هوية؛ يُرقّى إلى Party عند الحاجة (FR-LCT-036/037، BR-LCT-022، Q-PTY-03)</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CounterpartyId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r>
        <w:trPr>
          <w:cantSplit/>
        </w:trPr>
        <w:tc>
          <w:tcPr>
            <w:tcW w:type="dxa" w:w="49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lc.LcDocumentClause</w:t>
            </w:r>
          </w:p>
        </w:tc>
        <w:tc>
          <w:tcPr>
            <w:tcW w:type="dxa" w:w="148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w:t>
            </w:r>
          </w:p>
        </w:tc>
        <w:tc>
          <w:tcPr>
            <w:tcW w:type="dxa" w:w="966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مكتبة بنود المستندات بإصدارات: نص قالب بمعاملات (FR-LCT-017..019، BR-LCT-012)؛ مراجع UCP في lc.LcDocumentClauseUcpRef</w:t>
            </w:r>
          </w:p>
        </w:tc>
        <w:tc>
          <w:tcPr>
            <w:tcW w:type="dxa" w:w="37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LcDocumentClauseId</w:t>
            </w:r>
          </w:p>
        </w:tc>
        <w:tc>
          <w:tcPr>
            <w:tcW w:type="dxa" w:w="104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w:t>
            </w:r>
          </w:p>
        </w:tc>
        <w:tc>
          <w:tcPr>
            <w:tcW w:type="dxa" w:w="11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4</w:t>
            </w:r>
          </w:p>
        </w:tc>
      </w:tr>
    </w:tbl>
    <w:p>
      <w:pPr>
        <w:pStyle w:val="Heading2"/>
        <w:bidi/>
      </w:pPr>
      <w:r>
        <w:rPr>
          <w:rFonts w:ascii="Arial" w:cs="Arial" w:eastAsia="Arial" w:hAnsi="Arial"/>
          <w:b/>
          <w:bCs/>
          <w:color w:val="2B5C8A"/>
          <w:sz w:val="26"/>
          <w:szCs w:val="26"/>
          <w:rtl/>
        </w:rPr>
        <w:t xml:space="preserve">العلاقات</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5009"/>
        <w:gridCol w:w="4098"/>
        <w:gridCol w:w="3946"/>
        <w:gridCol w:w="1518"/>
        <w:gridCol w:w="1821"/>
        <w:gridCol w:w="3036"/>
        <w:gridCol w:w="1366"/>
        <w:gridCol w:w="1217"/>
      </w:tblGrid>
      <w:tr>
        <w:trPr>
          <w:cantSplit/>
          <w:tblHeader/>
        </w:trPr>
        <w:tc>
          <w:tcPr>
            <w:tcW w:type="dxa" w:w="50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409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394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51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82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303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136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121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lc.LcFieldUcpRef</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LcFieldDefinitionId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lc.LcFieldDefinition</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lc.LcFieldUcpRef</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UcpArticleId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ref.UcpArticle</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lc.Counterparty</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CountryId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ref.Country</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lc.Counterparty</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PartyId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pty.Party</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lc.Counterparty</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MergedIntoId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lc.Counterparty</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lc.LcDocumentClause</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InstitutionId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ins.Institution</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bl>
    <w:p>
      <w:pPr>
        <w:pStyle w:val="Heading2"/>
        <w:bidi/>
      </w:pPr>
      <w:r>
        <w:rPr>
          <w:rFonts w:ascii="Arial" w:cs="Arial" w:eastAsia="Arial" w:hAnsi="Arial"/>
          <w:b/>
          <w:bCs/>
          <w:color w:val="2B5C8A"/>
          <w:sz w:val="26"/>
          <w:szCs w:val="26"/>
          <w:rtl/>
        </w:rPr>
        <w:t xml:space="preserve">3.51 م7/م8 · شروط الاعتماد والنماذج (2/3)</w:t>
      </w:r>
    </w:p>
    <w:p>
      <w:pPr>
        <w:keepNext/>
        <w:bidi/>
        <w:spacing w:after="60" w:before="0"/>
      </w:pPr>
      <w:r>
        <w:rPr>
          <w:rFonts w:ascii="Arial" w:cs="Arial" w:eastAsia="Arial" w:hAnsi="Arial"/>
          <w:b w:val="false"/>
          <w:bCs w:val="false"/>
          <w:i w:val="false"/>
          <w:iCs w:val="false"/>
          <w:color w:val="5B6670"/>
          <w:sz w:val="16"/>
          <w:szCs w:val="16"/>
          <w:rtl/>
        </w:rPr>
        <w:t xml:space="preserve">LC terms, fields &amp; form maps</w:t>
      </w:r>
    </w:p>
    <w:p>
      <w:pPr>
        <w:keepNext/>
        <w:bidi/>
        <w:spacing w:after="60" w:before="60"/>
        <w:jc w:val="center"/>
      </w:pPr>
      <w:r>
        <w:drawing>
          <wp:inline distT="0" distB="0" distL="0" distR="0">
            <wp:extent cx="7172325" cy="7620000"/>
            <wp:effectExtent t="0" r="0" b="0" l="0"/>
            <wp:docPr id="1" name="diagrams/erd/m7_8_lc_terms_2.png" descr="الشكل 58: م7/م8 · شروط الاعتماد والنماذج (2/3) (4 جداول)" title="الشكل 58: م7/م8 · شروط الاعتماد والنماذج (2/3) (4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7172325" cy="7620000"/>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58: م7/م8 · شروط الاعتماد والنماذج (2/3) (4 جداول)</w:t>
      </w:r>
    </w:p>
    <w:p>
      <w:pPr>
        <w:pStyle w:val="Heading2"/>
        <w:bidi/>
      </w:pPr>
      <w:r>
        <w:rPr>
          <w:rFonts w:ascii="Arial" w:cs="Arial" w:eastAsia="Arial" w:hAnsi="Arial"/>
          <w:b/>
          <w:bCs/>
          <w:color w:val="2B5C8A"/>
          <w:sz w:val="26"/>
          <w:szCs w:val="26"/>
          <w:rtl/>
        </w:rPr>
        <w:t xml:space="preserve">الجداول</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4909"/>
        <w:gridCol w:w="1487"/>
        <w:gridCol w:w="9663"/>
        <w:gridCol w:w="3719"/>
        <w:gridCol w:w="1041"/>
        <w:gridCol w:w="1192"/>
      </w:tblGrid>
      <w:tr>
        <w:trPr>
          <w:cantSplit/>
          <w:tblHeader/>
        </w:trPr>
        <w:tc>
          <w:tcPr>
            <w:tcW w:type="dxa" w:w="49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48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966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371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104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119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lc.LcDocumentClauseUcpRef</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مرجع UCP لبند مستند: مادة + فقرة (UcpRefs في المواصفة)</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LcDocumentClauseUcpRefId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r>
        <w:trPr>
          <w:cantSplit/>
        </w:trPr>
        <w:tc>
          <w:tcPr>
            <w:tcW w:type="dxa" w:w="49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lc.LcTerms</w:t>
            </w:r>
          </w:p>
        </w:tc>
        <w:tc>
          <w:tcPr>
            <w:tcW w:type="dxa" w:w="148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w:t>
            </w:r>
          </w:p>
        </w:tc>
        <w:tc>
          <w:tcPr>
            <w:tcW w:type="dxa" w:w="966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إصدار شروط اعتماد: صف لكل إصدار بأعمدة قاموس §6.2؛ مشترك بين البروفورما والطلب والاعتماد والتعديل (FR-LCT-001..035)</w:t>
            </w:r>
          </w:p>
        </w:tc>
        <w:tc>
          <w:tcPr>
            <w:tcW w:type="dxa" w:w="37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LcTermsId</w:t>
            </w:r>
          </w:p>
        </w:tc>
        <w:tc>
          <w:tcPr>
            <w:tcW w:type="dxa" w:w="104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15</w:t>
            </w:r>
          </w:p>
        </w:tc>
        <w:tc>
          <w:tcPr>
            <w:tcW w:type="dxa" w:w="11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4</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lc.LcTermsDocument</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بند مستند مختار في الشروط ومعاملاته؛ النص المصيَّر يُجمَّد عند القفل (FR-LCT-018، BR-LCT-012)</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LcTermsDocumentId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r>
        <w:trPr>
          <w:cantSplit/>
        </w:trPr>
        <w:tc>
          <w:tcPr>
            <w:tcW w:type="dxa" w:w="49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lc.LcChargesMatrix</w:t>
            </w:r>
          </w:p>
        </w:tc>
        <w:tc>
          <w:tcPr>
            <w:tcW w:type="dxa" w:w="148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w:t>
            </w:r>
          </w:p>
        </w:tc>
        <w:tc>
          <w:tcPr>
            <w:tcW w:type="dxa" w:w="966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رسوم الشروط: صف لكل فئة (6 صفوف كاملة يتحقق منها التطبيق V-LCT-12) (FR-LCT-020، BR-LCT-014)</w:t>
            </w:r>
          </w:p>
        </w:tc>
        <w:tc>
          <w:tcPr>
            <w:tcW w:type="dxa" w:w="37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LcChargesMatrixId</w:t>
            </w:r>
          </w:p>
        </w:tc>
        <w:tc>
          <w:tcPr>
            <w:tcW w:type="dxa" w:w="104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w:t>
            </w:r>
          </w:p>
        </w:tc>
        <w:tc>
          <w:tcPr>
            <w:tcW w:type="dxa" w:w="11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bl>
    <w:p>
      <w:pPr>
        <w:pStyle w:val="Heading2"/>
        <w:bidi/>
      </w:pPr>
      <w:r>
        <w:rPr>
          <w:rFonts w:ascii="Arial" w:cs="Arial" w:eastAsia="Arial" w:hAnsi="Arial"/>
          <w:b/>
          <w:bCs/>
          <w:color w:val="2B5C8A"/>
          <w:sz w:val="26"/>
          <w:szCs w:val="26"/>
          <w:rtl/>
        </w:rPr>
        <w:t xml:space="preserve">العلاقات</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5009"/>
        <w:gridCol w:w="4098"/>
        <w:gridCol w:w="3946"/>
        <w:gridCol w:w="1518"/>
        <w:gridCol w:w="1821"/>
        <w:gridCol w:w="3036"/>
        <w:gridCol w:w="1366"/>
        <w:gridCol w:w="1217"/>
      </w:tblGrid>
      <w:tr>
        <w:trPr>
          <w:cantSplit/>
          <w:tblHeader/>
        </w:trPr>
        <w:tc>
          <w:tcPr>
            <w:tcW w:type="dxa" w:w="50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409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394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51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82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303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136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121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lc.LcDocumentClauseUcpRef</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LcDocumentClauseId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lc.LcDocumentClause</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lc.LcDocumentClauseUcpRef</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UcpArticleId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ref.UcpArticle</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lc.LcTerms</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ApplicantCompanyId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lc.LcTerms</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ApplicantCounterpartyId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lc.Counterparty</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lc.LcTerms</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BeneficiaryCompanyId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lc.LcTerms</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BeneficiaryCounterpartyId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lc.Counterparty</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lc.LcTerms</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EncKeyId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sec.TenantKey</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EncKeyPurpose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lc.LcTerms</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HashKeyId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sec.TenantKey</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HashKeyPurpose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lc.LcTerms</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CurrencyId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ref.Currency</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lc.LcTerms</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IncotermId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ref.Incoterm</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lc.LcTerms</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FacilityAccountId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acc.BankAccount</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lc.LcTerms</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MarginSettlementAccountId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acc.BankAccount</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lc.LcTerms</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ChargesAccountId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acc.BankAccount</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lc.LcTerms</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PrevLcCurrencyId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ref.Currency</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lc.LcTerms</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LockedBy</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lc.LcTerms</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SupersedesTermsId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lc.LcTerms</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lc.LcTerms</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CopiedFromTermsId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lc.LcTerms</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lc.LcTermsDocument</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LcTermsId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lc.LcTerms</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lc.LcTermsDocument</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ClauseId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lc.LcDocumentClause</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lc.LcChargesMatrix</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LcTermsId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lc.LcTerms</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bl>
    <w:p>
      <w:pPr>
        <w:pStyle w:val="Heading2"/>
        <w:bidi/>
      </w:pPr>
      <w:r>
        <w:rPr>
          <w:rFonts w:ascii="Arial" w:cs="Arial" w:eastAsia="Arial" w:hAnsi="Arial"/>
          <w:b/>
          <w:bCs/>
          <w:color w:val="2B5C8A"/>
          <w:sz w:val="26"/>
          <w:szCs w:val="26"/>
          <w:rtl/>
        </w:rPr>
        <w:t xml:space="preserve">3.52 م7/م8 · شروط الاعتماد والنماذج (3/3)</w:t>
      </w:r>
    </w:p>
    <w:p>
      <w:pPr>
        <w:keepNext/>
        <w:bidi/>
        <w:spacing w:after="60" w:before="0"/>
      </w:pPr>
      <w:r>
        <w:rPr>
          <w:rFonts w:ascii="Arial" w:cs="Arial" w:eastAsia="Arial" w:hAnsi="Arial"/>
          <w:b w:val="false"/>
          <w:bCs w:val="false"/>
          <w:i w:val="false"/>
          <w:iCs w:val="false"/>
          <w:color w:val="5B6670"/>
          <w:sz w:val="16"/>
          <w:szCs w:val="16"/>
          <w:rtl/>
        </w:rPr>
        <w:t xml:space="preserve">LC terms, fields &amp; form maps</w:t>
      </w:r>
    </w:p>
    <w:p>
      <w:pPr>
        <w:keepNext/>
        <w:bidi/>
        <w:spacing w:after="60" w:before="60"/>
        <w:jc w:val="center"/>
      </w:pPr>
      <w:r>
        <w:drawing>
          <wp:inline distT="0" distB="0" distL="0" distR="0">
            <wp:extent cx="3886200" cy="5772150"/>
            <wp:effectExtent t="0" r="0" b="0" l="0"/>
            <wp:docPr id="1" name="diagrams/erd/m7_8_lc_terms_3.png" descr="الشكل 59: م7/م8 · شروط الاعتماد والنماذج (3/3) (جدولان)" title="الشكل 59: م7/م8 · شروط الاعتماد والنماذج (3/3) (جدولا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3886200" cy="5772150"/>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59: م7/م8 · شروط الاعتماد والنماذج (3/3) (جدولان)</w:t>
      </w:r>
    </w:p>
    <w:p>
      <w:pPr>
        <w:pStyle w:val="Heading2"/>
        <w:bidi/>
      </w:pPr>
      <w:r>
        <w:rPr>
          <w:rFonts w:ascii="Arial" w:cs="Arial" w:eastAsia="Arial" w:hAnsi="Arial"/>
          <w:b/>
          <w:bCs/>
          <w:color w:val="2B5C8A"/>
          <w:sz w:val="26"/>
          <w:szCs w:val="26"/>
          <w:rtl/>
        </w:rPr>
        <w:t xml:space="preserve">الجداول</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4909"/>
        <w:gridCol w:w="1487"/>
        <w:gridCol w:w="9663"/>
        <w:gridCol w:w="3719"/>
        <w:gridCol w:w="1041"/>
        <w:gridCol w:w="1192"/>
      </w:tblGrid>
      <w:tr>
        <w:trPr>
          <w:cantSplit/>
          <w:tblHeader/>
        </w:trPr>
        <w:tc>
          <w:tcPr>
            <w:tcW w:type="dxa" w:w="49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48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966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371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104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119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lc.LcFormTemplate</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قالب نموذج بنك/منتج/نوع نموذج بإصدار وفترة نفاذ وملحق عقدي (FR-LCT-026، BR-LCT-017، 02 F-14)</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LcFormTemplateId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6</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4</w:t>
            </w:r>
          </w:p>
        </w:tc>
      </w:tr>
      <w:tr>
        <w:trPr>
          <w:cantSplit/>
        </w:trPr>
        <w:tc>
          <w:tcPr>
            <w:tcW w:type="dxa" w:w="49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lc.LcFormFieldMap</w:t>
            </w:r>
          </w:p>
        </w:tc>
        <w:tc>
          <w:tcPr>
            <w:tcW w:type="dxa" w:w="148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w:t>
            </w:r>
          </w:p>
        </w:tc>
        <w:tc>
          <w:tcPr>
            <w:tcW w:type="dxa" w:w="966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تعيين حقل نظام إلى حقل PDF أو بند في ورقة البوابة (FR-LCT-027، BR-LCT-020)</w:t>
            </w:r>
          </w:p>
        </w:tc>
        <w:tc>
          <w:tcPr>
            <w:tcW w:type="dxa" w:w="37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LcFormFieldMapId</w:t>
            </w:r>
          </w:p>
        </w:tc>
        <w:tc>
          <w:tcPr>
            <w:tcW w:type="dxa" w:w="104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w:t>
            </w:r>
          </w:p>
        </w:tc>
        <w:tc>
          <w:tcPr>
            <w:tcW w:type="dxa" w:w="11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bl>
    <w:p>
      <w:pPr>
        <w:pStyle w:val="Heading2"/>
        <w:bidi/>
      </w:pPr>
      <w:r>
        <w:rPr>
          <w:rFonts w:ascii="Arial" w:cs="Arial" w:eastAsia="Arial" w:hAnsi="Arial"/>
          <w:b/>
          <w:bCs/>
          <w:color w:val="2B5C8A"/>
          <w:sz w:val="26"/>
          <w:szCs w:val="26"/>
          <w:rtl/>
        </w:rPr>
        <w:t xml:space="preserve">العلاقات</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5009"/>
        <w:gridCol w:w="4098"/>
        <w:gridCol w:w="3946"/>
        <w:gridCol w:w="1518"/>
        <w:gridCol w:w="1821"/>
        <w:gridCol w:w="3036"/>
        <w:gridCol w:w="1366"/>
        <w:gridCol w:w="1217"/>
      </w:tblGrid>
      <w:tr>
        <w:trPr>
          <w:cantSplit/>
          <w:tblHeader/>
        </w:trPr>
        <w:tc>
          <w:tcPr>
            <w:tcW w:type="dxa" w:w="50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409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394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51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82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303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136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121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lc.LcFormTemplate</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InstitutionId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ins.Institution</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lc.LcFormTemplate</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ProductId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cat.Product</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lc.LcFormTemplate</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CompanyId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lc.LcFormTemplate</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SourceDocumentId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lc.LcFormTemplate</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AnnexDocumentId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lc.LcFormTemplate</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LetterheadDocumentId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lc.LcFormFieldMap</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TemplateId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lc.LcFormTemplate</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bl>
    <w:p>
      <w:pPr>
        <w:pStyle w:val="Heading2"/>
        <w:bidi/>
      </w:pPr>
      <w:r>
        <w:rPr>
          <w:rFonts w:ascii="Arial" w:cs="Arial" w:eastAsia="Arial" w:hAnsi="Arial"/>
          <w:b/>
          <w:bCs/>
          <w:color w:val="2B5C8A"/>
          <w:sz w:val="26"/>
          <w:szCs w:val="26"/>
          <w:rtl/>
        </w:rPr>
        <w:t xml:space="preserve">3.53 م7/م8 · الاعتمادات والبروفورما (1/3)</w:t>
      </w:r>
    </w:p>
    <w:p>
      <w:pPr>
        <w:keepNext/>
        <w:bidi/>
        <w:spacing w:after="60" w:before="0"/>
      </w:pPr>
      <w:r>
        <w:rPr>
          <w:rFonts w:ascii="Arial" w:cs="Arial" w:eastAsia="Arial" w:hAnsi="Arial"/>
          <w:b w:val="false"/>
          <w:bCs w:val="false"/>
          <w:i w:val="false"/>
          <w:iCs w:val="false"/>
          <w:color w:val="5B6670"/>
          <w:sz w:val="16"/>
          <w:szCs w:val="16"/>
          <w:rtl/>
        </w:rPr>
        <w:t xml:space="preserve">Letters of credit &amp; proforma</w:t>
      </w:r>
    </w:p>
    <w:p>
      <w:pPr>
        <w:keepNext/>
        <w:bidi/>
        <w:spacing w:after="60" w:before="60"/>
        <w:jc w:val="center"/>
      </w:pPr>
      <w:r>
        <w:drawing>
          <wp:inline distT="0" distB="0" distL="0" distR="0">
            <wp:extent cx="7496175" cy="7620000"/>
            <wp:effectExtent t="0" r="0" b="0" l="0"/>
            <wp:docPr id="1" name="diagrams/erd/m7_8_lc_ops_1.png" descr="الشكل 60: م7/م8 · الاعتمادات والبروفورما (1/3) (4 جداول)" title="الشكل 60: م7/م8 · الاعتمادات والبروفورما (1/3) (4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7496175" cy="7620000"/>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60: م7/م8 · الاعتمادات والبروفورما (1/3) (4 جداول)</w:t>
      </w:r>
    </w:p>
    <w:p>
      <w:pPr>
        <w:pStyle w:val="Heading2"/>
        <w:bidi/>
      </w:pPr>
      <w:r>
        <w:rPr>
          <w:rFonts w:ascii="Arial" w:cs="Arial" w:eastAsia="Arial" w:hAnsi="Arial"/>
          <w:b/>
          <w:bCs/>
          <w:color w:val="2B5C8A"/>
          <w:sz w:val="26"/>
          <w:szCs w:val="26"/>
          <w:rtl/>
        </w:rPr>
        <w:t xml:space="preserve">الجداول</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4909"/>
        <w:gridCol w:w="1487"/>
        <w:gridCol w:w="9663"/>
        <w:gridCol w:w="3719"/>
        <w:gridCol w:w="1041"/>
        <w:gridCol w:w="1192"/>
      </w:tblGrid>
      <w:tr>
        <w:trPr>
          <w:cantSplit/>
          <w:tblHeader/>
        </w:trPr>
        <w:tc>
          <w:tcPr>
            <w:tcW w:type="dxa" w:w="49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48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966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371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104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119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lc.LetterOfCredit</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سجل الاعتماد للجانبين: مشتريات (نحن الطالب) ومبيعات (نحن المستفيد) (FR-LCI-011..016، FR-LCE-009، BR-LCI-004/008/016، BR-LCE-007/009)</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LetterOfCreditId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13</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9</w:t>
            </w:r>
          </w:p>
        </w:tc>
      </w:tr>
      <w:tr>
        <w:trPr>
          <w:cantSplit/>
        </w:trPr>
        <w:tc>
          <w:tcPr>
            <w:tcW w:type="dxa" w:w="49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lc.LcExternalRef</w:t>
            </w:r>
          </w:p>
        </w:tc>
        <w:tc>
          <w:tcPr>
            <w:tcW w:type="dxa" w:w="148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w:t>
            </w:r>
          </w:p>
        </w:tc>
        <w:tc>
          <w:tcPr>
            <w:tcW w:type="dxa" w:w="966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مرجع خارجي للاعتماد (ERP...)؛ بلا فرادة؛ البحث بالمطبَّع (FR-LCI-013، BR-REQ-006)</w:t>
            </w:r>
          </w:p>
        </w:tc>
        <w:tc>
          <w:tcPr>
            <w:tcW w:type="dxa" w:w="37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LcExternalRefId</w:t>
            </w:r>
          </w:p>
        </w:tc>
        <w:tc>
          <w:tcPr>
            <w:tcW w:type="dxa" w:w="104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c>
          <w:tcPr>
            <w:tcW w:type="dxa" w:w="11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lc.LcAmendment</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تعديل اعتماد صادر أو مستلَم (FR-LCI-018/019، FR-LCE-020، BR-LCI-011/012، BR-LCE-014)؛ الحالات §8</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LcAmendmentId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6</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4</w:t>
            </w:r>
          </w:p>
        </w:tc>
      </w:tr>
      <w:tr>
        <w:trPr>
          <w:cantSplit/>
        </w:trPr>
        <w:tc>
          <w:tcPr>
            <w:tcW w:type="dxa" w:w="49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lc.LcDrawing</w:t>
            </w:r>
          </w:p>
        </w:tc>
        <w:tc>
          <w:tcPr>
            <w:tcW w:type="dxa" w:w="148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w:t>
            </w:r>
          </w:p>
        </w:tc>
        <w:tc>
          <w:tcPr>
            <w:tcW w:type="dxa" w:w="966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سحب/تقديم مستندات تحت اعتماد؛ في التصدير يشمل تحويل التخصيص (FR-LCI-023، BR-LCI-013، BR-LCE-011)؛ الحالات §8</w:t>
            </w:r>
          </w:p>
        </w:tc>
        <w:tc>
          <w:tcPr>
            <w:tcW w:type="dxa" w:w="37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LcDrawingId</w:t>
            </w:r>
          </w:p>
        </w:tc>
        <w:tc>
          <w:tcPr>
            <w:tcW w:type="dxa" w:w="104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5</w:t>
            </w:r>
          </w:p>
        </w:tc>
        <w:tc>
          <w:tcPr>
            <w:tcW w:type="dxa" w:w="11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5</w:t>
            </w:r>
          </w:p>
        </w:tc>
      </w:tr>
    </w:tbl>
    <w:p>
      <w:pPr>
        <w:pStyle w:val="Heading2"/>
        <w:bidi/>
      </w:pPr>
      <w:r>
        <w:rPr>
          <w:rFonts w:ascii="Arial" w:cs="Arial" w:eastAsia="Arial" w:hAnsi="Arial"/>
          <w:b/>
          <w:bCs/>
          <w:color w:val="2B5C8A"/>
          <w:sz w:val="26"/>
          <w:szCs w:val="26"/>
          <w:rtl/>
        </w:rPr>
        <w:t xml:space="preserve">العلاقات</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5009"/>
        <w:gridCol w:w="4098"/>
        <w:gridCol w:w="3946"/>
        <w:gridCol w:w="1518"/>
        <w:gridCol w:w="1821"/>
        <w:gridCol w:w="3036"/>
        <w:gridCol w:w="1366"/>
        <w:gridCol w:w="1217"/>
      </w:tblGrid>
      <w:tr>
        <w:trPr>
          <w:cantSplit/>
          <w:tblHeader/>
        </w:trPr>
        <w:tc>
          <w:tcPr>
            <w:tcW w:type="dxa" w:w="50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409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394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51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82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303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136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121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lc.LetterOfCredit</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CompanyId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lc.LetterOfCredit</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CounterpartyId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lc.Counterparty</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lc.LetterOfCredit</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InstitutionId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ins.Institution</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lc.LetterOfCredit</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RelationshipId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ins.Relationship</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CompanyId, InstitutionId</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lc.LetterOfCredit</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ProductId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cat.Product</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lc.LetterOfCredit</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FacilityId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fac.Facility</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lc.LetterOfCredit</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LimitId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FacilityId</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lc.LetterOfCredit</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LimitProductLineId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fac.LimitProductLine</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FacilityId, LimitId</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lc.LetterOfCredit</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UtilizationId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fac.Utilization</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FacilityId</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lc.LetterOfCredit</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RequestId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CompanyId</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lc.LetterOfCredit</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ProformaId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lc.ProformaInvoice</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CompanyId</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lc.LetterOfCredit</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CurrentTermsId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lc.LcTerms</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lc.LetterOfCredit</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CurrencyId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ref.Currency</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lc.LcExternalRef</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lc.LetterOfCredit</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lc.LcExternalRef</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SupersededById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lc.LcExternalRef</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LcId</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lc.LcAmendment</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CompanyId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lc.LcAmendment</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lc.LetterOfCredit</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CurrencyId</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lc.LcAmendment</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RequestId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CompanyId</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lc.LcAmendment</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TermsId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lc.LcTerms</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lc.LcAmendment</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CurrencyId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ref.Currency</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lc.LcAmendment</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AppliedBy</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lc.LcDrawing</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CompanyId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lc.LcDrawing</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lc.LetterOfCredit</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CurrencyId</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lc.LcDrawing</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CurrencyId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ref.Currency</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lc.LcDrawing</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SettlementAccountId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acc.BankAccount</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lc.LcDrawing</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RequestId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CompanyId</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bl>
    <w:p>
      <w:pPr>
        <w:pStyle w:val="Heading2"/>
        <w:bidi/>
      </w:pPr>
      <w:r>
        <w:rPr>
          <w:rFonts w:ascii="Arial" w:cs="Arial" w:eastAsia="Arial" w:hAnsi="Arial"/>
          <w:b/>
          <w:bCs/>
          <w:color w:val="2B5C8A"/>
          <w:sz w:val="26"/>
          <w:szCs w:val="26"/>
          <w:rtl/>
        </w:rPr>
        <w:t xml:space="preserve">3.54 م7/م8 · الاعتمادات والبروفورما (2/3)</w:t>
      </w:r>
    </w:p>
    <w:p>
      <w:pPr>
        <w:keepNext/>
        <w:bidi/>
        <w:spacing w:after="60" w:before="0"/>
      </w:pPr>
      <w:r>
        <w:rPr>
          <w:rFonts w:ascii="Arial" w:cs="Arial" w:eastAsia="Arial" w:hAnsi="Arial"/>
          <w:b w:val="false"/>
          <w:bCs w:val="false"/>
          <w:i w:val="false"/>
          <w:iCs w:val="false"/>
          <w:color w:val="5B6670"/>
          <w:sz w:val="16"/>
          <w:szCs w:val="16"/>
          <w:rtl/>
        </w:rPr>
        <w:t xml:space="preserve">Letters of credit &amp; proforma</w:t>
      </w:r>
    </w:p>
    <w:p>
      <w:pPr>
        <w:keepNext/>
        <w:bidi/>
        <w:spacing w:after="60" w:before="60"/>
        <w:jc w:val="center"/>
      </w:pPr>
      <w:r>
        <w:drawing>
          <wp:inline distT="0" distB="0" distL="0" distR="0">
            <wp:extent cx="10696575" cy="7620000"/>
            <wp:effectExtent t="0" r="0" b="0" l="0"/>
            <wp:docPr id="1" name="diagrams/erd/m7_8_lc_ops_2.png" descr="الشكل 61: م7/م8 · الاعتمادات والبروفورما (2/3) (4 جداول)" title="الشكل 61: م7/م8 · الاعتمادات والبروفورما (2/3) (4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10696575" cy="7620000"/>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61: م7/م8 · الاعتمادات والبروفورما (2/3) (4 جداول)</w:t>
      </w:r>
    </w:p>
    <w:p>
      <w:pPr>
        <w:pStyle w:val="Heading2"/>
        <w:bidi/>
      </w:pPr>
      <w:r>
        <w:rPr>
          <w:rFonts w:ascii="Arial" w:cs="Arial" w:eastAsia="Arial" w:hAnsi="Arial"/>
          <w:b/>
          <w:bCs/>
          <w:color w:val="2B5C8A"/>
          <w:sz w:val="26"/>
          <w:szCs w:val="26"/>
          <w:rtl/>
        </w:rPr>
        <w:t xml:space="preserve">الجداول</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4909"/>
        <w:gridCol w:w="1487"/>
        <w:gridCol w:w="9663"/>
        <w:gridCol w:w="3719"/>
        <w:gridCol w:w="1041"/>
        <w:gridCol w:w="1192"/>
      </w:tblGrid>
      <w:tr>
        <w:trPr>
          <w:cantSplit/>
          <w:tblHeader/>
        </w:trPr>
        <w:tc>
          <w:tcPr>
            <w:tcW w:type="dxa" w:w="49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48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966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371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104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119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lc.LcSalesOrder</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تخصيص أمر بيع على اعتماد مستلَم؛ لا يقابله حد ائتماني (FR-LCE-013..015، BR-LCE-009..013)؛ الحالات §8</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LcSalesOrderId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4</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r>
        <w:trPr>
          <w:cantSplit/>
        </w:trPr>
        <w:tc>
          <w:tcPr>
            <w:tcW w:type="dxa" w:w="49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lc.LcDrawingAllocation</w:t>
            </w:r>
          </w:p>
        </w:tc>
        <w:tc>
          <w:tcPr>
            <w:tcW w:type="dxa" w:w="148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w:t>
            </w:r>
          </w:p>
        </w:tc>
        <w:tc>
          <w:tcPr>
            <w:tcW w:type="dxa" w:w="966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توزيع سحب تصدير على أوامر بيع (FR-LCE-016/017، BR-LCE-011/013)</w:t>
            </w:r>
          </w:p>
        </w:tc>
        <w:tc>
          <w:tcPr>
            <w:tcW w:type="dxa" w:w="37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LcDrawingAllocationId</w:t>
            </w:r>
          </w:p>
        </w:tc>
        <w:tc>
          <w:tcPr>
            <w:tcW w:type="dxa" w:w="104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4</w:t>
            </w:r>
          </w:p>
        </w:tc>
        <w:tc>
          <w:tcPr>
            <w:tcW w:type="dxa" w:w="11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lc.LcDiscrepancy</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مخالفة على مستندات سحب أو اعتماد؛ القرار يتطلب lc.discrepancy.decide (FR-LCI-024، FR-LCE-021، §8)</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LcDiscrepancyId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w:t>
            </w:r>
          </w:p>
        </w:tc>
      </w:tr>
      <w:tr>
        <w:trPr>
          <w:cantSplit/>
        </w:trPr>
        <w:tc>
          <w:tcPr>
            <w:tcW w:type="dxa" w:w="49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lc.ProformaInvoice</w:t>
            </w:r>
          </w:p>
        </w:tc>
        <w:tc>
          <w:tcPr>
            <w:tcW w:type="dxa" w:w="148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w:t>
            </w:r>
          </w:p>
        </w:tc>
        <w:tc>
          <w:tcPr>
            <w:tcW w:type="dxa" w:w="966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البروفورما الصادرة؛ يمنع التطبيق تعديلها بعد الإصدار؛ الرقم {seq:000}-{erp}-{yy} (FR-LCE-005..008، BR-LCE-001..006)</w:t>
            </w:r>
          </w:p>
        </w:tc>
        <w:tc>
          <w:tcPr>
            <w:tcW w:type="dxa" w:w="37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ProformaInvoiceId</w:t>
            </w:r>
          </w:p>
        </w:tc>
        <w:tc>
          <w:tcPr>
            <w:tcW w:type="dxa" w:w="104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8</w:t>
            </w:r>
          </w:p>
        </w:tc>
        <w:tc>
          <w:tcPr>
            <w:tcW w:type="dxa" w:w="11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9</w:t>
            </w:r>
          </w:p>
        </w:tc>
      </w:tr>
    </w:tbl>
    <w:p>
      <w:pPr>
        <w:pStyle w:val="Heading2"/>
        <w:bidi/>
      </w:pPr>
      <w:r>
        <w:rPr>
          <w:rFonts w:ascii="Arial" w:cs="Arial" w:eastAsia="Arial" w:hAnsi="Arial"/>
          <w:b/>
          <w:bCs/>
          <w:color w:val="2B5C8A"/>
          <w:sz w:val="26"/>
          <w:szCs w:val="26"/>
          <w:rtl/>
        </w:rPr>
        <w:t xml:space="preserve">العلاقات</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5009"/>
        <w:gridCol w:w="4098"/>
        <w:gridCol w:w="3946"/>
        <w:gridCol w:w="1518"/>
        <w:gridCol w:w="1821"/>
        <w:gridCol w:w="3036"/>
        <w:gridCol w:w="1366"/>
        <w:gridCol w:w="1217"/>
      </w:tblGrid>
      <w:tr>
        <w:trPr>
          <w:cantSplit/>
          <w:tblHeader/>
        </w:trPr>
        <w:tc>
          <w:tcPr>
            <w:tcW w:type="dxa" w:w="50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409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394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51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82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303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136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121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lc.LcSalesOrder</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CompanyId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lc.LcSalesOrder</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lc.LetterOfCredit</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CurrencyId</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lc.LcSalesOrder</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RequestId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CompanyId</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lc.LcSalesOrder</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CurrencyId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ref.Currency</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lc.LcDrawingAllocation</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lc.LetterOfCredit</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CurrencyId</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lc.LcDrawingAllocation</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DrawingId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lc.LcDrawing</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LcId, CurrencyId</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lc.LcDrawingAllocation</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SalesOrderId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lc.LcSalesOrder</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LcId, CurrencyId</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lc.LcDrawingAllocation</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CurrencyId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ref.Currency</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lc.LcDiscrepancy</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lc.LetterOfCredit</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lc.LcDiscrepancy</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DrawingId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lc.LcDrawing</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LcId</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lc.LcDiscrepancy</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DecidedBy</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lc.ProformaInvoice</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CompanyId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lc.ProformaInvoice</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RequestId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CompanyId</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lc.ProformaInvoice</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CustomerId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lc.Counterparty</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lc.ProformaInvoice</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CurrencyId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ref.Currency</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lc.ProformaInvoice</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TermsId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lc.LcTerms</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lc.ProformaInvoice</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ProceedsAccountId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acc.BankAccount</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CompanyId</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lc.ProformaInvoice</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DocumentId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lc.ProformaInvoice</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SupersededById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lc.ProformaInvoice</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CompanyId</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bl>
    <w:p>
      <w:pPr>
        <w:pStyle w:val="Heading2"/>
        <w:bidi/>
      </w:pPr>
      <w:r>
        <w:rPr>
          <w:rFonts w:ascii="Arial" w:cs="Arial" w:eastAsia="Arial" w:hAnsi="Arial"/>
          <w:b/>
          <w:bCs/>
          <w:color w:val="2B5C8A"/>
          <w:sz w:val="26"/>
          <w:szCs w:val="26"/>
          <w:rtl/>
        </w:rPr>
        <w:t xml:space="preserve">3.55 م7/م8 · الاعتمادات والبروفورما (3/3)</w:t>
      </w:r>
    </w:p>
    <w:p>
      <w:pPr>
        <w:keepNext/>
        <w:bidi/>
        <w:spacing w:after="60" w:before="0"/>
      </w:pPr>
      <w:r>
        <w:rPr>
          <w:rFonts w:ascii="Arial" w:cs="Arial" w:eastAsia="Arial" w:hAnsi="Arial"/>
          <w:b w:val="false"/>
          <w:bCs w:val="false"/>
          <w:i w:val="false"/>
          <w:iCs w:val="false"/>
          <w:color w:val="5B6670"/>
          <w:sz w:val="16"/>
          <w:szCs w:val="16"/>
          <w:rtl/>
        </w:rPr>
        <w:t xml:space="preserve">Letters of credit &amp; proforma</w:t>
      </w:r>
    </w:p>
    <w:p>
      <w:pPr>
        <w:keepNext/>
        <w:bidi/>
        <w:spacing w:after="60" w:before="60"/>
        <w:jc w:val="center"/>
      </w:pPr>
      <w:r>
        <w:drawing>
          <wp:inline distT="0" distB="0" distL="0" distR="0">
            <wp:extent cx="8772525" cy="4905375"/>
            <wp:effectExtent t="0" r="0" b="0" l="0"/>
            <wp:docPr id="1" name="diagrams/erd/m7_8_lc_ops_3.png" descr="الشكل 62: م7/م8 · الاعتمادات والبروفورما (3/3) (3 جداول)" title="الشكل 62: م7/م8 · الاعتمادات والبروفورما (3/3) (3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8772525" cy="4905375"/>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62: م7/م8 · الاعتمادات والبروفورما (3/3) (3 جداول)</w:t>
      </w:r>
    </w:p>
    <w:p>
      <w:pPr>
        <w:pStyle w:val="Heading2"/>
        <w:bidi/>
      </w:pPr>
      <w:r>
        <w:rPr>
          <w:rFonts w:ascii="Arial" w:cs="Arial" w:eastAsia="Arial" w:hAnsi="Arial"/>
          <w:b/>
          <w:bCs/>
          <w:color w:val="2B5C8A"/>
          <w:sz w:val="26"/>
          <w:szCs w:val="26"/>
          <w:rtl/>
        </w:rPr>
        <w:t xml:space="preserve">الجداول</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4909"/>
        <w:gridCol w:w="1487"/>
        <w:gridCol w:w="9663"/>
        <w:gridCol w:w="3719"/>
        <w:gridCol w:w="1041"/>
        <w:gridCol w:w="1192"/>
      </w:tblGrid>
      <w:tr>
        <w:trPr>
          <w:cantSplit/>
          <w:tblHeader/>
        </w:trPr>
        <w:tc>
          <w:tcPr>
            <w:tcW w:type="dxa" w:w="49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48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966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371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104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119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lc.ProformaLine</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بند في البروفورما (FR-LCE-003، BR-LCE-001)؛ يُثبَّت بعد الإصدار</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ProformaLineId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r>
        <w:trPr>
          <w:cantSplit/>
        </w:trPr>
        <w:tc>
          <w:tcPr>
            <w:tcW w:type="dxa" w:w="49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lc.LcTermsComparison</w:t>
            </w:r>
          </w:p>
        </w:tc>
        <w:tc>
          <w:tcPr>
            <w:tcW w:type="dxa" w:w="148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w:t>
            </w:r>
          </w:p>
        </w:tc>
        <w:tc>
          <w:tcPr>
            <w:tcW w:type="dxa" w:w="966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نتيجة مقارنة شروط الاعتماد المستلَم بالبروفورما (FR-LCT-031، FR-LCE-023، BR-LCT-021)</w:t>
            </w:r>
          </w:p>
        </w:tc>
        <w:tc>
          <w:tcPr>
            <w:tcW w:type="dxa" w:w="37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LcTermsComparisonId</w:t>
            </w:r>
          </w:p>
        </w:tc>
        <w:tc>
          <w:tcPr>
            <w:tcW w:type="dxa" w:w="104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c>
          <w:tcPr>
            <w:tcW w:type="dxa" w:w="11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r>
        <w:trPr>
          <w:cantSplit/>
        </w:trPr>
        <w:tc>
          <w:tcPr>
            <w:tcW w:type="dxa" w:w="49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lc.LcTermsComparisonLine</w:t>
            </w:r>
          </w:p>
        </w:tc>
        <w:tc>
          <w:tcPr>
            <w:tcW w:type="dxa" w:w="148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w:t>
            </w:r>
          </w:p>
        </w:tc>
        <w:tc>
          <w:tcPr>
            <w:tcW w:type="dxa" w:w="966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فرق حقل واحد وحكمه وقرار الخزينة (FR-LCT-031، BR-LCT-021)</w:t>
            </w:r>
          </w:p>
        </w:tc>
        <w:tc>
          <w:tcPr>
            <w:tcW w:type="dxa" w:w="37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LcTermsComparisonLineId</w:t>
            </w:r>
          </w:p>
        </w:tc>
        <w:tc>
          <w:tcPr>
            <w:tcW w:type="dxa" w:w="104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w:t>
            </w:r>
          </w:p>
        </w:tc>
        <w:tc>
          <w:tcPr>
            <w:tcW w:type="dxa" w:w="11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bl>
    <w:p>
      <w:pPr>
        <w:pStyle w:val="Heading2"/>
        <w:bidi/>
      </w:pPr>
      <w:r>
        <w:rPr>
          <w:rFonts w:ascii="Arial" w:cs="Arial" w:eastAsia="Arial" w:hAnsi="Arial"/>
          <w:b/>
          <w:bCs/>
          <w:color w:val="2B5C8A"/>
          <w:sz w:val="26"/>
          <w:szCs w:val="26"/>
          <w:rtl/>
        </w:rPr>
        <w:t xml:space="preserve">العلاقات</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5009"/>
        <w:gridCol w:w="4098"/>
        <w:gridCol w:w="3946"/>
        <w:gridCol w:w="1518"/>
        <w:gridCol w:w="1821"/>
        <w:gridCol w:w="3036"/>
        <w:gridCol w:w="1366"/>
        <w:gridCol w:w="1217"/>
      </w:tblGrid>
      <w:tr>
        <w:trPr>
          <w:cantSplit/>
          <w:tblHeader/>
        </w:trPr>
        <w:tc>
          <w:tcPr>
            <w:tcW w:type="dxa" w:w="500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409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394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51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82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303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136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121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lc.ProformaLine</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ProformaId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lc.ProformaInvoice</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CurrencyId</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lc.ProformaLine</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CurrencyId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ref.Currency</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lc.LcTermsComparison</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BaselineTermsId</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lc.LcTerms</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lc.LcTermsComparison</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ReceivedTermsId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lc.LcTerms</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lc.LcTermsComparison</w:t>
            </w:r>
          </w:p>
        </w:tc>
        <w:tc>
          <w:tcPr>
            <w:tcW w:type="dxa" w:w="409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RunBy</w:t>
            </w:r>
          </w:p>
        </w:tc>
        <w:tc>
          <w:tcPr>
            <w:tcW w:type="dxa" w:w="394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51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82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lc.LcTermsComparisonLine</w:t>
            </w:r>
          </w:p>
        </w:tc>
        <w:tc>
          <w:tcPr>
            <w:tcW w:type="dxa" w:w="409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ComparisonId</w:t>
            </w:r>
          </w:p>
        </w:tc>
        <w:tc>
          <w:tcPr>
            <w:tcW w:type="dxa" w:w="394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lc.LcTermsComparison</w:t>
            </w:r>
          </w:p>
        </w:tc>
        <w:tc>
          <w:tcPr>
            <w:tcW w:type="dxa" w:w="151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82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303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136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121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bl>
    <w:p>
      <w:pPr>
        <w:pStyle w:val="Heading1"/>
        <w:pageBreakBefore/>
        <w:bidi/>
      </w:pPr>
      <w:r>
        <w:rPr>
          <w:rFonts w:ascii="Arial" w:cs="Arial" w:eastAsia="Arial" w:hAnsi="Arial"/>
          <w:b/>
          <w:bCs/>
          <w:color w:val="1F3A5F"/>
          <w:sz w:val="32"/>
          <w:szCs w:val="32"/>
          <w:rtl/>
        </w:rPr>
        <w:t xml:space="preserve">الملحق أ. فهرس الجداول</w:t>
      </w:r>
    </w:p>
    <w:p>
      <w:pPr>
        <w:keepNext w:val="false"/>
        <w:bidi/>
        <w:spacing w:after="120" w:before="0" w:line="300"/>
      </w:pPr>
      <w:r>
        <w:rPr>
          <w:rFonts w:ascii="Arial" w:cs="Arial" w:eastAsia="Arial" w:hAnsi="Arial"/>
          <w:b w:val="false"/>
          <w:bCs w:val="false"/>
          <w:i w:val="false"/>
          <w:iCs w:val="false"/>
          <w:sz w:val="20"/>
          <w:szCs w:val="20"/>
          <w:rtl/>
        </w:rPr>
        <w:t xml:space="preserve">194 جدولًا مرتبة بالمخطط ثم الاسم. عمود «المجموعة» يحدد مجموعة الرسم التي ترسم الجدول.</w:t>
      </w:r>
    </w:p>
    <w:tbl>
      <w:tblPr>
        <w:bidiVisual/>
        <w:tblW w:type="dxa" w:w="22011"/>
        <w:tblBorders>
          <w:top w:val="single" w:color="auto" w:sz="4"/>
          <w:left w:val="single" w:color="auto" w:sz="4"/>
          <w:bottom w:val="single" w:color="auto" w:sz="4"/>
          <w:right w:val="single" w:color="auto" w:sz="4"/>
          <w:insideH w:val="single" w:color="auto" w:sz="4"/>
          <w:insideV w:val="single" w:color="auto" w:sz="4"/>
        </w:tblBorders>
      </w:tblPr>
      <w:tblGrid>
        <w:gridCol w:w="4462"/>
        <w:gridCol w:w="1785"/>
        <w:gridCol w:w="7140"/>
        <w:gridCol w:w="8624"/>
      </w:tblGrid>
      <w:tr>
        <w:trPr>
          <w:cantSplit/>
          <w:tblHeader/>
        </w:trPr>
        <w:tc>
          <w:tcPr>
            <w:tcW w:type="dxa" w:w="446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785"/>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714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المجموعة</w:t>
            </w:r>
          </w:p>
        </w:tc>
        <w:tc>
          <w:tcPr>
            <w:tcW w:type="dxa" w:w="862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r>
      <w:tr>
        <w:trPr>
          <w:cantSplit/>
        </w:trPr>
        <w:tc>
          <w:tcPr>
            <w:tcW w:type="dxa" w:w="446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acc.AuthorityConflict</w:t>
            </w:r>
          </w:p>
        </w:tc>
        <w:tc>
          <w:tcPr>
            <w:tcW w:type="dxa" w:w="178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acc</w:t>
            </w:r>
          </w:p>
        </w:tc>
        <w:tc>
          <w:tcPr>
            <w:tcW w:type="dxa" w:w="71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م2–م3 · الجهات المالية والحسابات والمفوّضون (2/3)</w:t>
            </w:r>
          </w:p>
        </w:tc>
        <w:tc>
          <w:tcPr>
            <w:tcW w:type="dxa" w:w="862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نتيجة مقارنة صلاحية المفوّض بالحوكمة وقرار المراجع (S1-ب) (FR-ACC-018، BR-ACC-015)</w:t>
            </w:r>
          </w:p>
        </w:tc>
      </w:tr>
      <w:tr>
        <w:trPr>
          <w:cantSplit/>
        </w:trPr>
        <w:tc>
          <w:tcPr>
            <w:tcW w:type="dxa" w:w="446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acc.BankAccount</w:t>
            </w:r>
          </w:p>
        </w:tc>
        <w:tc>
          <w:tcPr>
            <w:tcW w:type="dxa" w:w="178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acc</w:t>
            </w:r>
          </w:p>
        </w:tc>
        <w:tc>
          <w:tcPr>
            <w:tcW w:type="dxa" w:w="71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م2–م3 · الجهات المالية والحسابات والمفوّضون (2/3)</w:t>
            </w:r>
          </w:p>
        </w:tc>
        <w:tc>
          <w:tcPr>
            <w:tcW w:type="dxa" w:w="862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حساب شركة لدى منشأة (FR-ACC-001..009، BR-ACC-001..006، BR-ACC-016)؛ الرقم وIBAN مشفّران بفهرس أعمى للفرادة</w:t>
            </w:r>
          </w:p>
        </w:tc>
      </w:tr>
      <w:tr>
        <w:trPr>
          <w:cantSplit/>
        </w:trPr>
        <w:tc>
          <w:tcPr>
            <w:tcW w:type="dxa" w:w="446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acc.FacilityAccount</w:t>
            </w:r>
          </w:p>
        </w:tc>
        <w:tc>
          <w:tcPr>
            <w:tcW w:type="dxa" w:w="178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acc</w:t>
            </w:r>
          </w:p>
        </w:tc>
        <w:tc>
          <w:tcPr>
            <w:tcW w:type="dxa" w:w="71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م2–م3 · الجهات المالية والحسابات والمفوّضون (3/3)</w:t>
            </w:r>
          </w:p>
        </w:tc>
        <w:tc>
          <w:tcPr>
            <w:tcW w:type="dxa" w:w="862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ربط حساب بتسهيل بغرض (S2) (FR-ACC-010، BR-ACC-007)؛ يُملأ من شاشة التسهيل</w:t>
            </w:r>
          </w:p>
        </w:tc>
      </w:tr>
      <w:tr>
        <w:trPr>
          <w:cantSplit/>
        </w:trPr>
        <w:tc>
          <w:tcPr>
            <w:tcW w:type="dxa" w:w="446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acc.Signatory</w:t>
            </w:r>
          </w:p>
        </w:tc>
        <w:tc>
          <w:tcPr>
            <w:tcW w:type="dxa" w:w="178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acc</w:t>
            </w:r>
          </w:p>
        </w:tc>
        <w:tc>
          <w:tcPr>
            <w:tcW w:type="dxa" w:w="71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م2–م3 · الجهات المالية والحسابات والمفوّضون (3/3)</w:t>
            </w:r>
          </w:p>
        </w:tc>
        <w:tc>
          <w:tcPr>
            <w:tcW w:type="dxa" w:w="862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تفويض شخص لدى علاقة (S1-ب) (FR-ACC-012، FR-ACC-023، BR-ACC-008/009) + إضافات docs/05 G-10</w:t>
            </w:r>
          </w:p>
        </w:tc>
      </w:tr>
      <w:tr>
        <w:trPr>
          <w:cantSplit/>
        </w:trPr>
        <w:tc>
          <w:tcPr>
            <w:tcW w:type="dxa" w:w="446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acc.SignatoryAuthority</w:t>
            </w:r>
          </w:p>
        </w:tc>
        <w:tc>
          <w:tcPr>
            <w:tcW w:type="dxa" w:w="178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acc</w:t>
            </w:r>
          </w:p>
        </w:tc>
        <w:tc>
          <w:tcPr>
            <w:tcW w:type="dxa" w:w="71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م2–م3 · الجهات المالية والحسابات والمفوّضون (3/3)</w:t>
            </w:r>
          </w:p>
        </w:tc>
        <w:tc>
          <w:tcPr>
            <w:tcW w:type="dxa" w:w="862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صلاحية المفوّض لعملية على حساب أو على البنك (S1-ب) (FR-ACC-013/014/017، BR-ACC-010/011)؛ لا تعديل في مكانه: الإغلاق والفتح؛ حالتها مشتقة فلا تُخزَّن</w:t>
            </w:r>
          </w:p>
        </w:tc>
      </w:tr>
      <w:tr>
        <w:trPr>
          <w:cantSplit/>
        </w:trPr>
        <w:tc>
          <w:tcPr>
            <w:tcW w:type="dxa" w:w="446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acc.SignatoryAuthorityJointClass</w:t>
            </w:r>
          </w:p>
        </w:tc>
        <w:tc>
          <w:tcPr>
            <w:tcW w:type="dxa" w:w="178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acc</w:t>
            </w:r>
          </w:p>
        </w:tc>
        <w:tc>
          <w:tcPr>
            <w:tcW w:type="dxa" w:w="71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م2–م3 · الجهات المالية والحسابات والمفوّضون (3/3)</w:t>
            </w:r>
          </w:p>
        </w:tc>
        <w:tc>
          <w:tcPr>
            <w:tcW w:type="dxa" w:w="862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فئات التوقيع المطلوبة للتوقيع المشترك (JointClassIds) (BR-ACC-013)</w:t>
            </w:r>
          </w:p>
        </w:tc>
      </w:tr>
      <w:tr>
        <w:trPr>
          <w:cantSplit/>
        </w:trPr>
        <w:tc>
          <w:tcPr>
            <w:tcW w:type="dxa" w:w="446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aud.AuditLog</w:t>
            </w:r>
          </w:p>
        </w:tc>
        <w:tc>
          <w:tcPr>
            <w:tcW w:type="dxa" w:w="178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aud</w:t>
            </w:r>
          </w:p>
        </w:tc>
        <w:tc>
          <w:tcPr>
            <w:tcW w:type="dxa" w:w="71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م0 · التدقيق والمستندات (1/2)</w:t>
            </w:r>
          </w:p>
        </w:tc>
        <w:tc>
          <w:tcPr>
            <w:tcW w:type="dxa" w:w="862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للإدراج فقط؛ TenantId الفارغ = حدث منصة لا يراه أي مشترك؛ سياسة RLS خاصة (BR-PLT-001/009)</w:t>
            </w:r>
          </w:p>
        </w:tc>
      </w:tr>
      <w:tr>
        <w:trPr>
          <w:cantSplit/>
        </w:trPr>
        <w:tc>
          <w:tcPr>
            <w:tcW w:type="dxa" w:w="446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aud.SensitiveAccessLog</w:t>
            </w:r>
          </w:p>
        </w:tc>
        <w:tc>
          <w:tcPr>
            <w:tcW w:type="dxa" w:w="178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aud</w:t>
            </w:r>
          </w:p>
        </w:tc>
        <w:tc>
          <w:tcPr>
            <w:tcW w:type="dxa" w:w="71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م0 · التدقيق والمستندات (1/2)</w:t>
            </w:r>
          </w:p>
        </w:tc>
        <w:tc>
          <w:tcPr>
            <w:tcW w:type="dxa" w:w="862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كشف الهويات والصور والتصدير والتنزيل المقيّد؛ لكشف الشذوذ &gt;20/ساعة وR-PLT-3 (BR-PTY-009)</w:t>
            </w:r>
          </w:p>
        </w:tc>
      </w:tr>
      <w:tr>
        <w:trPr>
          <w:cantSplit/>
        </w:trPr>
        <w:tc>
          <w:tcPr>
            <w:tcW w:type="dxa" w:w="446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cat.AccountType</w:t>
            </w:r>
          </w:p>
        </w:tc>
        <w:tc>
          <w:tcPr>
            <w:tcW w:type="dxa" w:w="178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cat</w:t>
            </w:r>
          </w:p>
        </w:tc>
        <w:tc>
          <w:tcPr>
            <w:tcW w:type="dxa" w:w="71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م4 · الكتالوجات المرجعية (1/2)</w:t>
            </w:r>
          </w:p>
        </w:tc>
        <w:tc>
          <w:tcPr>
            <w:tcW w:type="dxa" w:w="862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نوع الحساب (FR-ACC-001)</w:t>
            </w:r>
          </w:p>
        </w:tc>
      </w:tr>
      <w:tr>
        <w:trPr>
          <w:cantSplit/>
        </w:trPr>
        <w:tc>
          <w:tcPr>
            <w:tcW w:type="dxa" w:w="446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cat.BaseRate</w:t>
            </w:r>
          </w:p>
        </w:tc>
        <w:tc>
          <w:tcPr>
            <w:tcW w:type="dxa" w:w="178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cat</w:t>
            </w:r>
          </w:p>
        </w:tc>
        <w:tc>
          <w:tcPr>
            <w:tcW w:type="dxa" w:w="71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م4 · الأسعار المرجعية والقوائم (1/2)</w:t>
            </w:r>
          </w:p>
        </w:tc>
        <w:tc>
          <w:tcPr>
            <w:tcW w:type="dxa" w:w="862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سعر الأساس: سوق (InstitutionId فارغ) أو داخلي لبنك (FR-CAT-015، BR-CAT-011)؛ الأسماء البديلة في BaseRateAlias</w:t>
            </w:r>
          </w:p>
        </w:tc>
      </w:tr>
      <w:tr>
        <w:trPr>
          <w:cantSplit/>
        </w:trPr>
        <w:tc>
          <w:tcPr>
            <w:tcW w:type="dxa" w:w="446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cat.BaseRateAlias</w:t>
            </w:r>
          </w:p>
        </w:tc>
        <w:tc>
          <w:tcPr>
            <w:tcW w:type="dxa" w:w="178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cat</w:t>
            </w:r>
          </w:p>
        </w:tc>
        <w:tc>
          <w:tcPr>
            <w:tcW w:type="dxa" w:w="71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م4 · الأسعار المرجعية والقوائم (1/2)</w:t>
            </w:r>
          </w:p>
        </w:tc>
        <w:tc>
          <w:tcPr>
            <w:tcW w:type="dxa" w:w="862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اسم بديل لسعر أساس (SIBOR ≡ SAIBOR) بحث بلا حساسية حالة وفريد ضمن النطاق (BR-CAT-011، FR-CAT-015)</w:t>
            </w:r>
          </w:p>
        </w:tc>
      </w:tr>
      <w:tr>
        <w:trPr>
          <w:cantSplit/>
        </w:trPr>
        <w:tc>
          <w:tcPr>
            <w:tcW w:type="dxa" w:w="446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cat.BaseRateValue</w:t>
            </w:r>
          </w:p>
        </w:tc>
        <w:tc>
          <w:tcPr>
            <w:tcW w:type="dxa" w:w="178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cat</w:t>
            </w:r>
          </w:p>
        </w:tc>
        <w:tc>
          <w:tcPr>
            <w:tcW w:type="dxa" w:w="71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م4 · الأسعار المرجعية والقوائم (2/2)</w:t>
            </w:r>
          </w:p>
        </w:tc>
        <w:tc>
          <w:tcPr>
            <w:tcW w:type="dxa" w:w="862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قيمة سعر الأساس بتاريخ سريان؛ لا حذف: التصحيح صف جديد والقديم SUPERSEDED (FR-CAT-016، BR-CAT-012/013)</w:t>
            </w:r>
          </w:p>
        </w:tc>
      </w:tr>
      <w:tr>
        <w:trPr>
          <w:cantSplit/>
        </w:trPr>
        <w:tc>
          <w:tcPr>
            <w:tcW w:type="dxa" w:w="446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cat.CollateralType</w:t>
            </w:r>
          </w:p>
        </w:tc>
        <w:tc>
          <w:tcPr>
            <w:tcW w:type="dxa" w:w="178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cat</w:t>
            </w:r>
          </w:p>
        </w:tc>
        <w:tc>
          <w:tcPr>
            <w:tcW w:type="dxa" w:w="71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م4 · المنتجات والرسوم والتمويل والضمانات (3/3)</w:t>
            </w:r>
          </w:p>
        </w:tc>
        <w:tc>
          <w:tcPr>
            <w:tcW w:type="dxa" w:w="862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نوع الضمان بنوع بنية وقالب سمات (FR-CAT-013)</w:t>
            </w:r>
          </w:p>
        </w:tc>
      </w:tr>
      <w:tr>
        <w:trPr>
          <w:cantSplit/>
        </w:trPr>
        <w:tc>
          <w:tcPr>
            <w:tcW w:type="dxa" w:w="446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cat.CollateralTypeAttribute</w:t>
            </w:r>
          </w:p>
        </w:tc>
        <w:tc>
          <w:tcPr>
            <w:tcW w:type="dxa" w:w="178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cat</w:t>
            </w:r>
          </w:p>
        </w:tc>
        <w:tc>
          <w:tcPr>
            <w:tcW w:type="dxa" w:w="71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م4 · المنتجات والرسوم والتمويل والضمانات (3/3)</w:t>
            </w:r>
          </w:p>
        </w:tc>
        <w:tc>
          <w:tcPr>
            <w:tcW w:type="dxa" w:w="862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سمة في قالب نوع الضمان؛ لا تُحذف بل تُرمَّز Retired (BR-CAT-009)</w:t>
            </w:r>
          </w:p>
        </w:tc>
      </w:tr>
      <w:tr>
        <w:trPr>
          <w:cantSplit/>
        </w:trPr>
        <w:tc>
          <w:tcPr>
            <w:tcW w:type="dxa" w:w="446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cat.DocumentType</w:t>
            </w:r>
          </w:p>
        </w:tc>
        <w:tc>
          <w:tcPr>
            <w:tcW w:type="dxa" w:w="178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cat</w:t>
            </w:r>
          </w:p>
        </w:tc>
        <w:tc>
          <w:tcPr>
            <w:tcW w:type="dxa" w:w="71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م4 · الكتالوجات المرجعية (2/2)</w:t>
            </w:r>
          </w:p>
        </w:tc>
        <w:tc>
          <w:tcPr>
            <w:tcW w:type="dxa" w:w="862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نوع الوثيقة؛ يطبّق 10 أعلامه عند الرفع (FR-CAT-018، BR-CAT-016، FR-PLT-028)</w:t>
            </w:r>
          </w:p>
        </w:tc>
      </w:tr>
      <w:tr>
        <w:trPr>
          <w:cantSplit/>
        </w:trPr>
        <w:tc>
          <w:tcPr>
            <w:tcW w:type="dxa" w:w="446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cat.FacilityType</w:t>
            </w:r>
          </w:p>
        </w:tc>
        <w:tc>
          <w:tcPr>
            <w:tcW w:type="dxa" w:w="178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cat</w:t>
            </w:r>
          </w:p>
        </w:tc>
        <w:tc>
          <w:tcPr>
            <w:tcW w:type="dxa" w:w="71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م4 · المنتجات والرسوم والتمويل والضمانات (2/3)</w:t>
            </w:r>
          </w:p>
        </w:tc>
        <w:tc>
          <w:tcPr>
            <w:tcW w:type="dxa" w:w="862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نوع التسهيل (FR-CAT-011)</w:t>
            </w:r>
          </w:p>
        </w:tc>
      </w:tr>
      <w:tr>
        <w:trPr>
          <w:cantSplit/>
        </w:trPr>
        <w:tc>
          <w:tcPr>
            <w:tcW w:type="dxa" w:w="446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cat.FeeType</w:t>
            </w:r>
          </w:p>
        </w:tc>
        <w:tc>
          <w:tcPr>
            <w:tcW w:type="dxa" w:w="178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cat</w:t>
            </w:r>
          </w:p>
        </w:tc>
        <w:tc>
          <w:tcPr>
            <w:tcW w:type="dxa" w:w="71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م4 · المنتجات والرسوم والتمويل والضمانات (1/3)</w:t>
            </w:r>
          </w:p>
        </w:tc>
        <w:tc>
          <w:tcPr>
            <w:tcW w:type="dxa" w:w="862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نوع المصروف: فئة عريضة لا بند تعرفة (FR-CAT-008، BR-CAT-005، Q-CAT-10)</w:t>
            </w:r>
          </w:p>
        </w:tc>
      </w:tr>
      <w:tr>
        <w:trPr>
          <w:cantSplit/>
        </w:trPr>
        <w:tc>
          <w:tcPr>
            <w:tcW w:type="dxa" w:w="446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cat.FinancingType</w:t>
            </w:r>
          </w:p>
        </w:tc>
        <w:tc>
          <w:tcPr>
            <w:tcW w:type="dxa" w:w="178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cat</w:t>
            </w:r>
          </w:p>
        </w:tc>
        <w:tc>
          <w:tcPr>
            <w:tcW w:type="dxa" w:w="71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م4 · المنتجات والرسوم والتمويل والضمانات (1/3)</w:t>
            </w:r>
          </w:p>
        </w:tc>
        <w:tc>
          <w:tcPr>
            <w:tcW w:type="dxa" w:w="862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نوع التمويل (FR-CAT-009، BR-CAT-006)</w:t>
            </w:r>
          </w:p>
        </w:tc>
      </w:tr>
      <w:tr>
        <w:trPr>
          <w:cantSplit/>
        </w:trPr>
        <w:tc>
          <w:tcPr>
            <w:tcW w:type="dxa" w:w="446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cat.InstitutionType</w:t>
            </w:r>
          </w:p>
        </w:tc>
        <w:tc>
          <w:tcPr>
            <w:tcW w:type="dxa" w:w="178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cat</w:t>
            </w:r>
          </w:p>
        </w:tc>
        <w:tc>
          <w:tcPr>
            <w:tcW w:type="dxa" w:w="71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م4 · الكتالوجات المرجعية (1/2)</w:t>
            </w:r>
          </w:p>
        </w:tc>
        <w:tc>
          <w:tcPr>
            <w:tcW w:type="dxa" w:w="862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نوع المنشأة المالية: بنك، شركة تمويل، استثمارية، مالية، فرد (FR-INS-001)</w:t>
            </w:r>
          </w:p>
        </w:tc>
      </w:tr>
      <w:tr>
        <w:trPr>
          <w:cantSplit/>
        </w:trPr>
        <w:tc>
          <w:tcPr>
            <w:tcW w:type="dxa" w:w="446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cat.LegalEntityType</w:t>
            </w:r>
          </w:p>
        </w:tc>
        <w:tc>
          <w:tcPr>
            <w:tcW w:type="dxa" w:w="178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cat</w:t>
            </w:r>
          </w:p>
        </w:tc>
        <w:tc>
          <w:tcPr>
            <w:tcW w:type="dxa" w:w="71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م4 · الكتالوجات المرجعية (1/2)</w:t>
            </w:r>
          </w:p>
        </w:tc>
        <w:tc>
          <w:tcPr>
            <w:tcW w:type="dxa" w:w="862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الشكل القانوني: الكيان وسماته يعرّفها 10 (FR-ORG-002، BR-CAT-017) وتبذره هذه الوحدة؛ أعمدة الكتالوج مكتوبة يدويًا لأن فرادة الرمز بالدولة (10 §6.2) لا فرادته وحده</w:t>
            </w:r>
          </w:p>
        </w:tc>
      </w:tr>
      <w:tr>
        <w:trPr>
          <w:cantSplit/>
        </w:trPr>
        <w:tc>
          <w:tcPr>
            <w:tcW w:type="dxa" w:w="446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cat.LimitType</w:t>
            </w:r>
          </w:p>
        </w:tc>
        <w:tc>
          <w:tcPr>
            <w:tcW w:type="dxa" w:w="178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cat</w:t>
            </w:r>
          </w:p>
        </w:tc>
        <w:tc>
          <w:tcPr>
            <w:tcW w:type="dxa" w:w="71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م4 · المنتجات والرسوم والتمويل والضمانات (2/3)</w:t>
            </w:r>
          </w:p>
        </w:tc>
        <w:tc>
          <w:tcPr>
            <w:tcW w:type="dxa" w:w="862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نوع الحد: رئيسي/جزئي (FR-CAT-012، BR-CAT-008)</w:t>
            </w:r>
          </w:p>
        </w:tc>
      </w:tr>
      <w:tr>
        <w:trPr>
          <w:cantSplit/>
        </w:trPr>
        <w:tc>
          <w:tcPr>
            <w:tcW w:type="dxa" w:w="446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cat.LimitTypeProduct</w:t>
            </w:r>
          </w:p>
        </w:tc>
        <w:tc>
          <w:tcPr>
            <w:tcW w:type="dxa" w:w="178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cat</w:t>
            </w:r>
          </w:p>
        </w:tc>
        <w:tc>
          <w:tcPr>
            <w:tcW w:type="dxa" w:w="71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م4 · المنتجات والرسوم والتمويل والضمانات (3/3)</w:t>
            </w:r>
          </w:p>
        </w:tc>
        <w:tc>
          <w:tcPr>
            <w:tcW w:type="dxa" w:w="862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المنتجات المسموحة لنوع الحد؛ غياب الصفوف = أي منتج بعلامة ظاهرة (BR-CAT-008)</w:t>
            </w:r>
          </w:p>
        </w:tc>
      </w:tr>
      <w:tr>
        <w:trPr>
          <w:cantSplit/>
        </w:trPr>
        <w:tc>
          <w:tcPr>
            <w:tcW w:type="dxa" w:w="446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cat.LookupItem</w:t>
            </w:r>
          </w:p>
        </w:tc>
        <w:tc>
          <w:tcPr>
            <w:tcW w:type="dxa" w:w="178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cat</w:t>
            </w:r>
          </w:p>
        </w:tc>
        <w:tc>
          <w:tcPr>
            <w:tcW w:type="dxa" w:w="71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م4 · الأسعار المرجعية والقوائم (2/2)</w:t>
            </w:r>
          </w:p>
        </w:tc>
        <w:tc>
          <w:tcPr>
            <w:tcW w:type="dxa" w:w="862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بند في قائمة قيم مملوك للمشترك (FR-CAT-020)</w:t>
            </w:r>
          </w:p>
        </w:tc>
      </w:tr>
      <w:tr>
        <w:trPr>
          <w:cantSplit/>
        </w:trPr>
        <w:tc>
          <w:tcPr>
            <w:tcW w:type="dxa" w:w="446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cat.LookupList</w:t>
            </w:r>
          </w:p>
        </w:tc>
        <w:tc>
          <w:tcPr>
            <w:tcW w:type="dxa" w:w="178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cat</w:t>
            </w:r>
          </w:p>
        </w:tc>
        <w:tc>
          <w:tcPr>
            <w:tcW w:type="dxa" w:w="71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م4 · الأسعار المرجعية والقوائم (2/2)</w:t>
            </w:r>
          </w:p>
        </w:tc>
        <w:tc>
          <w:tcPr>
            <w:tcW w:type="dxa" w:w="862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قائمة قيم مملوكة للمشترك (FR-CAT-020، BR-CAT-015)</w:t>
            </w:r>
          </w:p>
        </w:tc>
      </w:tr>
      <w:tr>
        <w:trPr>
          <w:cantSplit/>
        </w:trPr>
        <w:tc>
          <w:tcPr>
            <w:tcW w:type="dxa" w:w="446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cat.ObligationType</w:t>
            </w:r>
          </w:p>
        </w:tc>
        <w:tc>
          <w:tcPr>
            <w:tcW w:type="dxa" w:w="178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cat</w:t>
            </w:r>
          </w:p>
        </w:tc>
        <w:tc>
          <w:tcPr>
            <w:tcW w:type="dxa" w:w="71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م4 · المنتجات والرسوم والتمويل والضمانات (3/3)</w:t>
            </w:r>
          </w:p>
        </w:tc>
        <w:tc>
          <w:tcPr>
            <w:tcW w:type="dxa" w:w="862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نوع الالتزام بأربع عائلات (FR-CAT-014، BR-CAT-010)</w:t>
            </w:r>
          </w:p>
        </w:tc>
      </w:tr>
      <w:tr>
        <w:trPr>
          <w:cantSplit/>
        </w:trPr>
        <w:tc>
          <w:tcPr>
            <w:tcW w:type="dxa" w:w="446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cat.OperationType</w:t>
            </w:r>
          </w:p>
        </w:tc>
        <w:tc>
          <w:tcPr>
            <w:tcW w:type="dxa" w:w="178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cat</w:t>
            </w:r>
          </w:p>
        </w:tc>
        <w:tc>
          <w:tcPr>
            <w:tcW w:type="dxa" w:w="71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م4 · الأسعار المرجعية والقوائم (1/2)</w:t>
            </w:r>
          </w:p>
        </w:tc>
        <w:tc>
          <w:tcPr>
            <w:tcW w:type="dxa" w:w="862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نوع العملية البنكية المفوَّض بها (FR-ACC-013، BR-CAT-014)</w:t>
            </w:r>
          </w:p>
        </w:tc>
      </w:tr>
      <w:tr>
        <w:trPr>
          <w:cantSplit/>
        </w:trPr>
        <w:tc>
          <w:tcPr>
            <w:tcW w:type="dxa" w:w="446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cat.OperationTypePowerType</w:t>
            </w:r>
          </w:p>
        </w:tc>
        <w:tc>
          <w:tcPr>
            <w:tcW w:type="dxa" w:w="178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cat</w:t>
            </w:r>
          </w:p>
        </w:tc>
        <w:tc>
          <w:tcPr>
            <w:tcW w:type="dxa" w:w="71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م4 · الأسعار المرجعية والقوائم (1/2)</w:t>
            </w:r>
          </w:p>
        </w:tc>
        <w:tc>
          <w:tcPr>
            <w:tcW w:type="dxa" w:w="862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ربط عملية بنوع/أنواع صلاحية حوكمة؛ «أي واحد يكفي» (BR-CAT-014، FR-CAT-019، Q-ACC-05)</w:t>
            </w:r>
          </w:p>
        </w:tc>
      </w:tr>
      <w:tr>
        <w:trPr>
          <w:cantSplit/>
        </w:trPr>
        <w:tc>
          <w:tcPr>
            <w:tcW w:type="dxa" w:w="446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cat.Position</w:t>
            </w:r>
          </w:p>
        </w:tc>
        <w:tc>
          <w:tcPr>
            <w:tcW w:type="dxa" w:w="178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cat</w:t>
            </w:r>
          </w:p>
        </w:tc>
        <w:tc>
          <w:tcPr>
            <w:tcW w:type="dxa" w:w="71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م4 · الكتالوجات المرجعية (2/2)</w:t>
            </w:r>
          </w:p>
        </w:tc>
        <w:tc>
          <w:tcPr>
            <w:tcW w:type="dxa" w:w="862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المنصب: السمات يعرّفها 10 §6.2 وحده وتبذر هذه الوحدة صفوفه (FR-CAT-019، BR-CAT-017)؛ SortOrder من أساس الكتالوج</w:t>
            </w:r>
          </w:p>
        </w:tc>
      </w:tr>
      <w:tr>
        <w:trPr>
          <w:cantSplit/>
        </w:trPr>
        <w:tc>
          <w:tcPr>
            <w:tcW w:type="dxa" w:w="446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cat.PowerType</w:t>
            </w:r>
          </w:p>
        </w:tc>
        <w:tc>
          <w:tcPr>
            <w:tcW w:type="dxa" w:w="178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cat</w:t>
            </w:r>
          </w:p>
        </w:tc>
        <w:tc>
          <w:tcPr>
            <w:tcW w:type="dxa" w:w="71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م4 · الكتالوجات المرجعية (2/2)</w:t>
            </w:r>
          </w:p>
        </w:tc>
        <w:tc>
          <w:tcPr>
            <w:tcW w:type="dxa" w:w="862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نوع الصلاحية: السمات يعرّفها 10 §6.2 وحده وتبذر هذه الوحدة صفوفه (FR-CAT-019، FR-ORG-024)</w:t>
            </w:r>
          </w:p>
        </w:tc>
      </w:tr>
      <w:tr>
        <w:trPr>
          <w:cantSplit/>
        </w:trPr>
        <w:tc>
          <w:tcPr>
            <w:tcW w:type="dxa" w:w="446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cat.Product</w:t>
            </w:r>
          </w:p>
        </w:tc>
        <w:tc>
          <w:tcPr>
            <w:tcW w:type="dxa" w:w="178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cat</w:t>
            </w:r>
          </w:p>
        </w:tc>
        <w:tc>
          <w:tcPr>
            <w:tcW w:type="dxa" w:w="71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م4 · المنتجات والرسوم والتمويل والضمانات (1/3)</w:t>
            </w:r>
          </w:p>
        </w:tc>
        <w:tc>
          <w:tcPr>
            <w:tcW w:type="dxa" w:w="862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المنتج البنكي بأعلامه (FR-CAT-007، BR-CAT-004)</w:t>
            </w:r>
          </w:p>
        </w:tc>
      </w:tr>
      <w:tr>
        <w:trPr>
          <w:cantSplit/>
        </w:trPr>
        <w:tc>
          <w:tcPr>
            <w:tcW w:type="dxa" w:w="446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cat.ProductCategory</w:t>
            </w:r>
          </w:p>
        </w:tc>
        <w:tc>
          <w:tcPr>
            <w:tcW w:type="dxa" w:w="178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cat</w:t>
            </w:r>
          </w:p>
        </w:tc>
        <w:tc>
          <w:tcPr>
            <w:tcW w:type="dxa" w:w="71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م4 · المنتجات والرسوم والتمويل والضمانات (1/3)</w:t>
            </w:r>
          </w:p>
        </w:tc>
        <w:tc>
          <w:tcPr>
            <w:tcW w:type="dxa" w:w="862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تصنيف المنتجات: مسطّح (FR-CAT-007)</w:t>
            </w:r>
          </w:p>
        </w:tc>
      </w:tr>
      <w:tr>
        <w:trPr>
          <w:cantSplit/>
        </w:trPr>
        <w:tc>
          <w:tcPr>
            <w:tcW w:type="dxa" w:w="446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cat.ProductFeeType</w:t>
            </w:r>
          </w:p>
        </w:tc>
        <w:tc>
          <w:tcPr>
            <w:tcW w:type="dxa" w:w="178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cat</w:t>
            </w:r>
          </w:p>
        </w:tc>
        <w:tc>
          <w:tcPr>
            <w:tcW w:type="dxa" w:w="71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م4 · المنتجات والرسوم والتمويل والضمانات (2/3)</w:t>
            </w:r>
          </w:p>
        </w:tc>
        <w:tc>
          <w:tcPr>
            <w:tcW w:type="dxa" w:w="862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المصاريف المسموحة للمنتج؛ تعطيل الربط = حذفه ولا يمس قواعد تسعير قائمة (FR-CAT-010، BR-CAT-007)</w:t>
            </w:r>
          </w:p>
        </w:tc>
      </w:tr>
      <w:tr>
        <w:trPr>
          <w:cantSplit/>
        </w:trPr>
        <w:tc>
          <w:tcPr>
            <w:tcW w:type="dxa" w:w="446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cat.ProductFinancingType</w:t>
            </w:r>
          </w:p>
        </w:tc>
        <w:tc>
          <w:tcPr>
            <w:tcW w:type="dxa" w:w="178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cat</w:t>
            </w:r>
          </w:p>
        </w:tc>
        <w:tc>
          <w:tcPr>
            <w:tcW w:type="dxa" w:w="71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م4 · المنتجات والرسوم والتمويل والضمانات (2/3)</w:t>
            </w:r>
          </w:p>
        </w:tc>
        <w:tc>
          <w:tcPr>
            <w:tcW w:type="dxa" w:w="862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أنواع التمويل المسموحة للمنتج (FR-CAT-010، BR-CAT-007)</w:t>
            </w:r>
          </w:p>
        </w:tc>
      </w:tr>
      <w:tr>
        <w:trPr>
          <w:cantSplit/>
        </w:trPr>
        <w:tc>
          <w:tcPr>
            <w:tcW w:type="dxa" w:w="446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cat.TenantCurrency</w:t>
            </w:r>
          </w:p>
        </w:tc>
        <w:tc>
          <w:tcPr>
            <w:tcW w:type="dxa" w:w="178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cat</w:t>
            </w:r>
          </w:p>
        </w:tc>
        <w:tc>
          <w:tcPr>
            <w:tcW w:type="dxa" w:w="71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م4 · الكتالوجات المرجعية (1/2)</w:t>
            </w:r>
          </w:p>
        </w:tc>
        <w:tc>
          <w:tcPr>
            <w:tcW w:type="dxa" w:w="862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العملات المفعّلة للمشترك: تفعيل مجموعة جزئية من المرجع العالمي (FR-CAT-023، Q-CAT-08)</w:t>
            </w:r>
          </w:p>
        </w:tc>
      </w:tr>
      <w:tr>
        <w:trPr>
          <w:cantSplit/>
        </w:trPr>
        <w:tc>
          <w:tcPr>
            <w:tcW w:type="dxa" w:w="446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cfg.DataExportJob</w:t>
            </w:r>
          </w:p>
        </w:tc>
        <w:tc>
          <w:tcPr>
            <w:tcW w:type="dxa" w:w="178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cfg</w:t>
            </w:r>
          </w:p>
        </w:tc>
        <w:tc>
          <w:tcPr>
            <w:tcW w:type="dxa" w:w="71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م0 · الإعدادات والمهام الخلفية (1/3)</w:t>
            </w:r>
          </w:p>
        </w:tc>
        <w:tc>
          <w:tcPr>
            <w:tcW w:type="dxa" w:w="862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طلب تصدير بيانات المشترك (FR-PLT-039، BR-PLT-016)</w:t>
            </w:r>
          </w:p>
        </w:tc>
      </w:tr>
      <w:tr>
        <w:trPr>
          <w:cantSplit/>
        </w:trPr>
        <w:tc>
          <w:tcPr>
            <w:tcW w:type="dxa" w:w="446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cfg.ExpiryAlertLog</w:t>
            </w:r>
          </w:p>
        </w:tc>
        <w:tc>
          <w:tcPr>
            <w:tcW w:type="dxa" w:w="178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cfg</w:t>
            </w:r>
          </w:p>
        </w:tc>
        <w:tc>
          <w:tcPr>
            <w:tcW w:type="dxa" w:w="71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م0 · الإعدادات والمهام الخلفية (1/3)</w:t>
            </w:r>
          </w:p>
        </w:tc>
        <w:tc>
          <w:tcPr>
            <w:tcW w:type="dxa" w:w="862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سجل التنبيهات المرسَلة: حدث واحد لكل (عنصر، عتبة) ولا تكرار في اليوم نفسه (FR-PLT-038)</w:t>
            </w:r>
          </w:p>
        </w:tc>
      </w:tr>
      <w:tr>
        <w:trPr>
          <w:cantSplit/>
        </w:trPr>
        <w:tc>
          <w:tcPr>
            <w:tcW w:type="dxa" w:w="446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cfg.ExpiryAlertRule</w:t>
            </w:r>
          </w:p>
        </w:tc>
        <w:tc>
          <w:tcPr>
            <w:tcW w:type="dxa" w:w="178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cfg</w:t>
            </w:r>
          </w:p>
        </w:tc>
        <w:tc>
          <w:tcPr>
            <w:tcW w:type="dxa" w:w="71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م0 · الإعدادات والمهام الخلفية (1/3)</w:t>
            </w:r>
          </w:p>
        </w:tc>
        <w:tc>
          <w:tcPr>
            <w:tcW w:type="dxa" w:w="862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قاعدة تنبيه انتهاء لكل نوع عنصر (FR-PLT-038، BR-PLT-013)</w:t>
            </w:r>
          </w:p>
        </w:tc>
      </w:tr>
      <w:tr>
        <w:trPr>
          <w:cantSplit/>
        </w:trPr>
        <w:tc>
          <w:tcPr>
            <w:tcW w:type="dxa" w:w="446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cfg.JobRun</w:t>
            </w:r>
          </w:p>
        </w:tc>
        <w:tc>
          <w:tcPr>
            <w:tcW w:type="dxa" w:w="178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cfg</w:t>
            </w:r>
          </w:p>
        </w:tc>
        <w:tc>
          <w:tcPr>
            <w:tcW w:type="dxa" w:w="71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م0 · الإعدادات والمهام الخلفية (1/3)</w:t>
            </w:r>
          </w:p>
        </w:tc>
        <w:tc>
          <w:tcPr>
            <w:tcW w:type="dxa" w:w="862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سجل تشغيل المهام الخلفية: آخر تشغيل ومدته ونتيجته ظاهر لمدير الحساب (FR-PLT-044)</w:t>
            </w:r>
          </w:p>
        </w:tc>
      </w:tr>
      <w:tr>
        <w:trPr>
          <w:cantSplit/>
        </w:trPr>
        <w:tc>
          <w:tcPr>
            <w:tcW w:type="dxa" w:w="446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cfg.NonWorkingDay</w:t>
            </w:r>
          </w:p>
        </w:tc>
        <w:tc>
          <w:tcPr>
            <w:tcW w:type="dxa" w:w="178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cfg</w:t>
            </w:r>
          </w:p>
        </w:tc>
        <w:tc>
          <w:tcPr>
            <w:tcW w:type="dxa" w:w="71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م0 · الإعدادات والمهام الخلفية (2/3)</w:t>
            </w:r>
          </w:p>
        </w:tc>
        <w:tc>
          <w:tcPr>
            <w:tcW w:type="dxa" w:w="862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يوم غير عمل؛ TenantId الفارغ = عطلة المنصة للقراءة فقط (FR-PLT-035، BR-PLT-014)</w:t>
            </w:r>
          </w:p>
        </w:tc>
      </w:tr>
      <w:tr>
        <w:trPr>
          <w:cantSplit/>
        </w:trPr>
        <w:tc>
          <w:tcPr>
            <w:tcW w:type="dxa" w:w="446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cfg.NumberIssue</w:t>
            </w:r>
          </w:p>
        </w:tc>
        <w:tc>
          <w:tcPr>
            <w:tcW w:type="dxa" w:w="178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cfg</w:t>
            </w:r>
          </w:p>
        </w:tc>
        <w:tc>
          <w:tcPr>
            <w:tcW w:type="dxa" w:w="71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م0 · الإعدادات والمهام الخلفية (2/3)</w:t>
            </w:r>
          </w:p>
        </w:tc>
        <w:tc>
          <w:tcPr>
            <w:tcW w:type="dxa" w:w="862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الأرقام الصادرة؛ الملغى لا يُعاد استعماله (FR-PLT-026، BR-PLT-010)</w:t>
            </w:r>
          </w:p>
        </w:tc>
      </w:tr>
      <w:tr>
        <w:trPr>
          <w:cantSplit/>
        </w:trPr>
        <w:tc>
          <w:tcPr>
            <w:tcW w:type="dxa" w:w="446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cfg.NumberSequence</w:t>
            </w:r>
          </w:p>
        </w:tc>
        <w:tc>
          <w:tcPr>
            <w:tcW w:type="dxa" w:w="178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cfg</w:t>
            </w:r>
          </w:p>
        </w:tc>
        <w:tc>
          <w:tcPr>
            <w:tcW w:type="dxa" w:w="71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م0 · الإعدادات والمهام الخلفية (2/3)</w:t>
            </w:r>
          </w:p>
        </w:tc>
        <w:tc>
          <w:tcPr>
            <w:tcW w:type="dxa" w:w="862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عدّاد لكل (تعريف، شركة اختيارية، فترة)؛ يُقفل صفه عند التخصيص داخل معاملة المستدعي (BR-PLT-010)</w:t>
            </w:r>
          </w:p>
        </w:tc>
      </w:tr>
      <w:tr>
        <w:trPr>
          <w:cantSplit/>
        </w:trPr>
        <w:tc>
          <w:tcPr>
            <w:tcW w:type="dxa" w:w="446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cfg.NumberSequenceDefinition</w:t>
            </w:r>
          </w:p>
        </w:tc>
        <w:tc>
          <w:tcPr>
            <w:tcW w:type="dxa" w:w="178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cfg</w:t>
            </w:r>
          </w:p>
        </w:tc>
        <w:tc>
          <w:tcPr>
            <w:tcW w:type="dxa" w:w="71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م0 · الإعدادات والمهام الخلفية (2/3)</w:t>
            </w:r>
          </w:p>
        </w:tc>
        <w:tc>
          <w:tcPr>
            <w:tcW w:type="dxa" w:w="862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تعريف نوع الترقيم بصيغة بوسوم مثل {seq:000}-{erp}-{yy} (FR-PLT-026)</w:t>
            </w:r>
          </w:p>
        </w:tc>
      </w:tr>
      <w:tr>
        <w:trPr>
          <w:cantSplit/>
        </w:trPr>
        <w:tc>
          <w:tcPr>
            <w:tcW w:type="dxa" w:w="446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cfg.OutboxEvent</w:t>
            </w:r>
          </w:p>
        </w:tc>
        <w:tc>
          <w:tcPr>
            <w:tcW w:type="dxa" w:w="178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cfg</w:t>
            </w:r>
          </w:p>
        </w:tc>
        <w:tc>
          <w:tcPr>
            <w:tcW w:type="dxa" w:w="71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م0 · الإعدادات والمهام الخلفية (3/3)</w:t>
            </w:r>
          </w:p>
        </w:tc>
        <w:tc>
          <w:tcPr>
            <w:tcW w:type="dxa" w:w="862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طابور الإرسال: تسليم مرة واحدة على الأقل؛ الحمولة معرّفات بلا بيانات مقيّدة (FR-PLT-042)</w:t>
            </w:r>
          </w:p>
        </w:tc>
      </w:tr>
      <w:tr>
        <w:trPr>
          <w:cantSplit/>
        </w:trPr>
        <w:tc>
          <w:tcPr>
            <w:tcW w:type="dxa" w:w="446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cfg.SeedRun</w:t>
            </w:r>
          </w:p>
        </w:tc>
        <w:tc>
          <w:tcPr>
            <w:tcW w:type="dxa" w:w="178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cfg</w:t>
            </w:r>
          </w:p>
        </w:tc>
        <w:tc>
          <w:tcPr>
            <w:tcW w:type="dxa" w:w="71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م0 · الإعدادات والمهام الخلفية (3/3)</w:t>
            </w:r>
          </w:p>
        </w:tc>
        <w:tc>
          <w:tcPr>
            <w:tcW w:type="dxa" w:w="862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سجل تشغيل البذر المُرقَّم لكل حزمة؛ تكرار التشغيل لا يكرر شيئًا (FR-PLT-008)</w:t>
            </w:r>
          </w:p>
        </w:tc>
      </w:tr>
      <w:tr>
        <w:trPr>
          <w:cantSplit/>
        </w:trPr>
        <w:tc>
          <w:tcPr>
            <w:tcW w:type="dxa" w:w="446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cfg.SettingDefinition</w:t>
            </w:r>
          </w:p>
        </w:tc>
        <w:tc>
          <w:tcPr>
            <w:tcW w:type="dxa" w:w="178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cfg</w:t>
            </w:r>
          </w:p>
        </w:tc>
        <w:tc>
          <w:tcPr>
            <w:tcW w:type="dxa" w:w="71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م0 · الإعدادات والمهام الخلفية (3/3)</w:t>
            </w:r>
          </w:p>
        </w:tc>
        <w:tc>
          <w:tcPr>
            <w:tcW w:type="dxa" w:w="862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تعريف مفتاح إعداد بحدود المنصة الدنيا والقصوى (BR-PLT-018، FR-PLT-043)</w:t>
            </w:r>
          </w:p>
        </w:tc>
      </w:tr>
      <w:tr>
        <w:trPr>
          <w:cantSplit/>
        </w:trPr>
        <w:tc>
          <w:tcPr>
            <w:tcW w:type="dxa" w:w="446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cfg.TenantSetting</w:t>
            </w:r>
          </w:p>
        </w:tc>
        <w:tc>
          <w:tcPr>
            <w:tcW w:type="dxa" w:w="178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cfg</w:t>
            </w:r>
          </w:p>
        </w:tc>
        <w:tc>
          <w:tcPr>
            <w:tcW w:type="dxa" w:w="71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م0 · الإعدادات والمهام الخلفية (3/3)</w:t>
            </w:r>
          </w:p>
        </w:tc>
        <w:tc>
          <w:tcPr>
            <w:tcW w:type="dxa" w:w="862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إعدادات المشترك: سياسات الأمان والمهل والعتبات وwork.start/work.end (FR-PLT-043)</w:t>
            </w:r>
          </w:p>
        </w:tc>
      </w:tr>
      <w:tr>
        <w:trPr>
          <w:cantSplit/>
        </w:trPr>
        <w:tc>
          <w:tcPr>
            <w:tcW w:type="dxa" w:w="446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cmp.TermType</w:t>
            </w:r>
          </w:p>
        </w:tc>
        <w:tc>
          <w:tcPr>
            <w:tcW w:type="dxa" w:w="178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cmp</w:t>
            </w:r>
          </w:p>
        </w:tc>
        <w:tc>
          <w:tcPr>
            <w:tcW w:type="dxa" w:w="71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م5 · التسعير وشروط المقارنة (2/2)</w:t>
            </w:r>
          </w:p>
        </w:tc>
        <w:tc>
          <w:tcPr>
            <w:tcW w:type="dxa" w:w="862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مفتاح شرط قابل للمقارنة (FR-CMP-001)؛ الرمز بنمط PRC.MARGIN_PCT؛ النظامي لا يُحذف ولا تتغير وحدته (IsSystem)</w:t>
            </w:r>
          </w:p>
        </w:tc>
      </w:tr>
      <w:tr>
        <w:trPr>
          <w:cantSplit/>
        </w:trPr>
        <w:tc>
          <w:tcPr>
            <w:tcW w:type="dxa" w:w="446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cmp.TermValue</w:t>
            </w:r>
          </w:p>
        </w:tc>
        <w:tc>
          <w:tcPr>
            <w:tcW w:type="dxa" w:w="178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cmp</w:t>
            </w:r>
          </w:p>
        </w:tc>
        <w:tc>
          <w:tcPr>
            <w:tcW w:type="dxa" w:w="71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م5 · التسعير وشروط المقارنة (2/2)</w:t>
            </w:r>
          </w:p>
        </w:tc>
        <w:tc>
          <w:tcPr>
            <w:tcW w:type="dxa" w:w="862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قيمة شرط في تسهيل بنطاقها ومصدرها (FR-CMP-002..006، BR-CMP-001..006، V-CMP-01)</w:t>
            </w:r>
          </w:p>
        </w:tc>
      </w:tr>
      <w:tr>
        <w:trPr>
          <w:cantSplit/>
        </w:trPr>
        <w:tc>
          <w:tcPr>
            <w:tcW w:type="dxa" w:w="446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col.Collateral</w:t>
            </w:r>
          </w:p>
        </w:tc>
        <w:tc>
          <w:tcPr>
            <w:tcW w:type="dxa" w:w="178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col</w:t>
            </w:r>
          </w:p>
        </w:tc>
        <w:tc>
          <w:tcPr>
            <w:tcW w:type="dxa" w:w="71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م5 · الضمانات (1/2)</w:t>
            </w:r>
          </w:p>
        </w:tc>
        <w:tc>
          <w:tcPr>
            <w:tcW w:type="dxa" w:w="862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سجل ضمان؛ اعتماد مستقل عن مراجعة التسهيل، والتعديل يُنشئ إصدارًا جديدًا (FR-COL-001/014، V-COL-01، §8)</w:t>
            </w:r>
          </w:p>
        </w:tc>
      </w:tr>
      <w:tr>
        <w:trPr>
          <w:cantSplit/>
        </w:trPr>
        <w:tc>
          <w:tcPr>
            <w:tcW w:type="dxa" w:w="446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col.CollateralLink</w:t>
            </w:r>
          </w:p>
        </w:tc>
        <w:tc>
          <w:tcPr>
            <w:tcW w:type="dxa" w:w="178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col</w:t>
            </w:r>
          </w:p>
        </w:tc>
        <w:tc>
          <w:tcPr>
            <w:tcW w:type="dxa" w:w="71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م5 · الضمانات (1/2)</w:t>
            </w:r>
          </w:p>
        </w:tc>
        <w:tc>
          <w:tcPr>
            <w:tcW w:type="dxa" w:w="862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ربط ضمان بتسهيل أو حد؛ ضمان واحد لعدة تسهيلات (FR-COL-002، BR-COL-005)</w:t>
            </w:r>
          </w:p>
        </w:tc>
      </w:tr>
      <w:tr>
        <w:trPr>
          <w:cantSplit/>
        </w:trPr>
        <w:tc>
          <w:tcPr>
            <w:tcW w:type="dxa" w:w="446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col.Guarantee</w:t>
            </w:r>
          </w:p>
        </w:tc>
        <w:tc>
          <w:tcPr>
            <w:tcW w:type="dxa" w:w="178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col</w:t>
            </w:r>
          </w:p>
        </w:tc>
        <w:tc>
          <w:tcPr>
            <w:tcW w:type="dxa" w:w="71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م5 · الضمانات (1/2)</w:t>
            </w:r>
          </w:p>
        </w:tc>
        <w:tc>
          <w:tcPr>
            <w:tcW w:type="dxa" w:w="862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كفالة 1:1 مع Collateral؛ الكفيل Party دائمًا ولا أرقام هوية هنا (FR-COL-003/004، BR-COL-001)</w:t>
            </w:r>
          </w:p>
        </w:tc>
      </w:tr>
      <w:tr>
        <w:trPr>
          <w:cantSplit/>
        </w:trPr>
        <w:tc>
          <w:tcPr>
            <w:tcW w:type="dxa" w:w="446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col.InsurancePolicyAssignment</w:t>
            </w:r>
          </w:p>
        </w:tc>
        <w:tc>
          <w:tcPr>
            <w:tcW w:type="dxa" w:w="178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col</w:t>
            </w:r>
          </w:p>
        </w:tc>
        <w:tc>
          <w:tcPr>
            <w:tcW w:type="dxa" w:w="71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م5 · الضمانات (1/2)</w:t>
            </w:r>
          </w:p>
        </w:tc>
        <w:tc>
          <w:tcPr>
            <w:tcW w:type="dxa" w:w="862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تجيير وثيقة تأمين؛ مفتاح الفرادة (CollateralId,PolicyNo) يسمح بتجديد الوثيقة (FR-COL-006، BR-COL-003)</w:t>
            </w:r>
          </w:p>
        </w:tc>
      </w:tr>
      <w:tr>
        <w:trPr>
          <w:cantSplit/>
        </w:trPr>
        <w:tc>
          <w:tcPr>
            <w:tcW w:type="dxa" w:w="446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col.PromissoryNote</w:t>
            </w:r>
          </w:p>
        </w:tc>
        <w:tc>
          <w:tcPr>
            <w:tcW w:type="dxa" w:w="178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col</w:t>
            </w:r>
          </w:p>
        </w:tc>
        <w:tc>
          <w:tcPr>
            <w:tcW w:type="dxa" w:w="71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م5 · الضمانات (2/2)</w:t>
            </w:r>
          </w:p>
        </w:tc>
        <w:tc>
          <w:tcPr>
            <w:tcW w:type="dxa" w:w="862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سند لأمر 1:1؛ مبلغ مستقل قد يفوق الحد (FR-COL-005، BR-COL-002)؛ NextRenewalDue وPNRatio مشتقان</w:t>
            </w:r>
          </w:p>
        </w:tc>
      </w:tr>
      <w:tr>
        <w:trPr>
          <w:cantSplit/>
        </w:trPr>
        <w:tc>
          <w:tcPr>
            <w:tcW w:type="dxa" w:w="446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col.PromissoryNoteSigner</w:t>
            </w:r>
          </w:p>
        </w:tc>
        <w:tc>
          <w:tcPr>
            <w:tcW w:type="dxa" w:w="178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col</w:t>
            </w:r>
          </w:p>
        </w:tc>
        <w:tc>
          <w:tcPr>
            <w:tcW w:type="dxa" w:w="71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م5 · الضمانات (2/2)</w:t>
            </w:r>
          </w:p>
        </w:tc>
        <w:tc>
          <w:tcPr>
            <w:tcW w:type="dxa" w:w="862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موقّعو السند (SignerPartyIds)</w:t>
            </w:r>
          </w:p>
        </w:tc>
      </w:tr>
      <w:tr>
        <w:trPr>
          <w:cantSplit/>
        </w:trPr>
        <w:tc>
          <w:tcPr>
            <w:tcW w:type="dxa" w:w="446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col.ValuationSchedule</w:t>
            </w:r>
          </w:p>
        </w:tc>
        <w:tc>
          <w:tcPr>
            <w:tcW w:type="dxa" w:w="178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col</w:t>
            </w:r>
          </w:p>
        </w:tc>
        <w:tc>
          <w:tcPr>
            <w:tcW w:type="dxa" w:w="71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م5 · الضمانات (2/2)</w:t>
            </w:r>
          </w:p>
        </w:tc>
        <w:tc>
          <w:tcPr>
            <w:tcW w:type="dxa" w:w="862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مراحل تقييم عقار (FR-COL-008، BR-COL-004)؛ مثل 3 مقيّمين في السنة الأولى ثم مقيّم سنويًا</w:t>
            </w:r>
          </w:p>
        </w:tc>
      </w:tr>
      <w:tr>
        <w:trPr>
          <w:cantSplit/>
        </w:trPr>
        <w:tc>
          <w:tcPr>
            <w:tcW w:type="dxa" w:w="446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w:t>
            </w:r>
          </w:p>
        </w:tc>
        <w:tc>
          <w:tcPr>
            <w:tcW w:type="dxa" w:w="178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doc</w:t>
            </w:r>
          </w:p>
        </w:tc>
        <w:tc>
          <w:tcPr>
            <w:tcW w:type="dxa" w:w="71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م0 · التدقيق والمستندات (1/2)</w:t>
            </w:r>
          </w:p>
        </w:tc>
        <w:tc>
          <w:tcPr>
            <w:tcW w:type="dxa" w:w="862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المستند المنطقي: بيانات المستند وحالته؛ الملف في doc.DocumentVersion (FR-PLT-027/028، BR-PLT-011)</w:t>
            </w:r>
          </w:p>
        </w:tc>
      </w:tr>
      <w:tr>
        <w:trPr>
          <w:cantSplit/>
        </w:trPr>
        <w:tc>
          <w:tcPr>
            <w:tcW w:type="dxa" w:w="446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doc.DocumentLink</w:t>
            </w:r>
          </w:p>
        </w:tc>
        <w:tc>
          <w:tcPr>
            <w:tcW w:type="dxa" w:w="178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doc</w:t>
            </w:r>
          </w:p>
        </w:tc>
        <w:tc>
          <w:tcPr>
            <w:tcW w:type="dxa" w:w="71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م0 · التدقيق والمستندات (1/2)</w:t>
            </w:r>
          </w:p>
        </w:tc>
        <w:tc>
          <w:tcPr>
            <w:tcW w:type="dxa" w:w="862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ربط مستند بأي كيان بدور وصفحة مرجعية؛ إلغاء الربط منطقي (FR-PLT-028)</w:t>
            </w:r>
          </w:p>
        </w:tc>
      </w:tr>
      <w:tr>
        <w:trPr>
          <w:cantSplit/>
        </w:trPr>
        <w:tc>
          <w:tcPr>
            <w:tcW w:type="dxa" w:w="446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doc.DocumentVersion</w:t>
            </w:r>
          </w:p>
        </w:tc>
        <w:tc>
          <w:tcPr>
            <w:tcW w:type="dxa" w:w="178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doc</w:t>
            </w:r>
          </w:p>
        </w:tc>
        <w:tc>
          <w:tcPr>
            <w:tcW w:type="dxa" w:w="71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م0 · التدقيق والمستندات (2/2)</w:t>
            </w:r>
          </w:p>
        </w:tc>
        <w:tc>
          <w:tcPr>
            <w:tcW w:type="dxa" w:w="862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إصدار ثابت من الملف؛ التغيير يُنشئ إصدارًا جديدًا يفرضه التطبيق (FR-PLT-027، BR-PLT-011)</w:t>
            </w:r>
          </w:p>
        </w:tc>
      </w:tr>
      <w:tr>
        <w:trPr>
          <w:cantSplit/>
        </w:trPr>
        <w:tc>
          <w:tcPr>
            <w:tcW w:type="dxa" w:w="446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fac.Facility</w:t>
            </w:r>
          </w:p>
        </w:tc>
        <w:tc>
          <w:tcPr>
            <w:tcW w:type="dxa" w:w="178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w:t>
            </w:r>
          </w:p>
        </w:tc>
        <w:tc>
          <w:tcPr>
            <w:tcW w:type="dxa" w:w="71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م5 · التسهيلات والمراجعات (1/2)</w:t>
            </w:r>
          </w:p>
        </w:tc>
        <w:tc>
          <w:tcPr>
            <w:tcW w:type="dxa" w:w="862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حزمة الاتفاقية الائتمانية: جذر التجميعة (FR-FAC-001..008، BR-FAC-001/005/006)</w:t>
            </w:r>
          </w:p>
        </w:tc>
      </w:tr>
      <w:tr>
        <w:trPr>
          <w:cantSplit/>
        </w:trPr>
        <w:tc>
          <w:tcPr>
            <w:tcW w:type="dxa" w:w="446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fac.FacilityDocument</w:t>
            </w:r>
          </w:p>
        </w:tc>
        <w:tc>
          <w:tcPr>
            <w:tcW w:type="dxa" w:w="178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w:t>
            </w:r>
          </w:p>
        </w:tc>
        <w:tc>
          <w:tcPr>
            <w:tcW w:type="dxa" w:w="71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م5 · التسهيلات والمراجعات (1/2)</w:t>
            </w:r>
          </w:p>
        </w:tc>
        <w:tc>
          <w:tcPr>
            <w:tcW w:type="dxa" w:w="862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وثيقة ضمن الحزمة بأسبقية (FR-FAC-004، BR-FAC-008، V-FAC-03)؛ نوعها من doc.Document.DocumentTypeId</w:t>
            </w:r>
          </w:p>
        </w:tc>
      </w:tr>
      <w:tr>
        <w:trPr>
          <w:cantSplit/>
        </w:trPr>
        <w:tc>
          <w:tcPr>
            <w:tcW w:type="dxa" w:w="446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fac.FacilityLender</w:t>
            </w:r>
          </w:p>
        </w:tc>
        <w:tc>
          <w:tcPr>
            <w:tcW w:type="dxa" w:w="178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w:t>
            </w:r>
          </w:p>
        </w:tc>
        <w:tc>
          <w:tcPr>
            <w:tcW w:type="dxa" w:w="71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م5 · التسهيلات والمراجعات (1/2)</w:t>
            </w:r>
          </w:p>
        </w:tc>
        <w:tc>
          <w:tcPr>
            <w:tcW w:type="dxa" w:w="862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مقرض وحصته (FR-FAC-003، BR-FAC-007، V-FAC-02)؛ مجموع الحصص 100 ووكيل واحد يتحقق منهما التطبيق</w:t>
            </w:r>
          </w:p>
        </w:tc>
      </w:tr>
      <w:tr>
        <w:trPr>
          <w:cantSplit/>
        </w:trPr>
        <w:tc>
          <w:tcPr>
            <w:tcW w:type="dxa" w:w="446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fac.FacilityRevision</w:t>
            </w:r>
          </w:p>
        </w:tc>
        <w:tc>
          <w:tcPr>
            <w:tcW w:type="dxa" w:w="178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w:t>
            </w:r>
          </w:p>
        </w:tc>
        <w:tc>
          <w:tcPr>
            <w:tcW w:type="dxa" w:w="71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م5 · التسهيلات والمراجعات (1/2)</w:t>
            </w:r>
          </w:p>
        </w:tc>
        <w:tc>
          <w:tcPr>
            <w:tcW w:type="dxa" w:w="862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مراجعة معدّ/معتمِد لشروط التسهيل (FR-FAC-024، BR-FAC-003/004، §8)</w:t>
            </w:r>
          </w:p>
        </w:tc>
      </w:tr>
      <w:tr>
        <w:trPr>
          <w:cantSplit/>
        </w:trPr>
        <w:tc>
          <w:tcPr>
            <w:tcW w:type="dxa" w:w="446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w:t>
            </w:r>
          </w:p>
        </w:tc>
        <w:tc>
          <w:tcPr>
            <w:tcW w:type="dxa" w:w="178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w:t>
            </w:r>
          </w:p>
        </w:tc>
        <w:tc>
          <w:tcPr>
            <w:tcW w:type="dxa" w:w="71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م5 · الحدود والاستخدام والحجوزات (1/2)</w:t>
            </w:r>
          </w:p>
        </w:tc>
        <w:tc>
          <w:tcPr>
            <w:tcW w:type="dxa" w:w="862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عقدة شجرة الحدود (FR-FAC-010/011، BR-FAC-009/010، V-FAC-04..07)</w:t>
            </w:r>
          </w:p>
        </w:tc>
      </w:tr>
      <w:tr>
        <w:trPr>
          <w:cantSplit/>
        </w:trPr>
        <w:tc>
          <w:tcPr>
            <w:tcW w:type="dxa" w:w="446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fac.LimitCompanyRule</w:t>
            </w:r>
          </w:p>
        </w:tc>
        <w:tc>
          <w:tcPr>
            <w:tcW w:type="dxa" w:w="178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w:t>
            </w:r>
          </w:p>
        </w:tc>
        <w:tc>
          <w:tcPr>
            <w:tcW w:type="dxa" w:w="71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م5 · الحدود والاستخدام والحجوزات (1/2)</w:t>
            </w:r>
          </w:p>
        </w:tc>
        <w:tc>
          <w:tcPr>
            <w:tcW w:type="dxa" w:w="862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قيد شركة على حد: مسموح/مستثنى/تخصيص (FR-FAC-013، BR-FAC-012، V-FAC-09)</w:t>
            </w:r>
          </w:p>
        </w:tc>
      </w:tr>
      <w:tr>
        <w:trPr>
          <w:cantSplit/>
        </w:trPr>
        <w:tc>
          <w:tcPr>
            <w:tcW w:type="dxa" w:w="446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fac.LimitMovement</w:t>
            </w:r>
          </w:p>
        </w:tc>
        <w:tc>
          <w:tcPr>
            <w:tcW w:type="dxa" w:w="178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w:t>
            </w:r>
          </w:p>
        </w:tc>
        <w:tc>
          <w:tcPr>
            <w:tcW w:type="dxa" w:w="71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م5 · الحدود والاستخدام والحجوزات (2/2)</w:t>
            </w:r>
          </w:p>
        </w:tc>
        <w:tc>
          <w:tcPr>
            <w:tcW w:type="dxa" w:w="862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سجل حركة على حجز أو استخدام؛ لا تعديل ولا حذف؛ مفتاح عدم التكرار (BR-FAC-015/020)</w:t>
            </w:r>
          </w:p>
        </w:tc>
      </w:tr>
      <w:tr>
        <w:trPr>
          <w:cantSplit/>
        </w:trPr>
        <w:tc>
          <w:tcPr>
            <w:tcW w:type="dxa" w:w="446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fac.LimitProductLine</w:t>
            </w:r>
          </w:p>
        </w:tc>
        <w:tc>
          <w:tcPr>
            <w:tcW w:type="dxa" w:w="178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w:t>
            </w:r>
          </w:p>
        </w:tc>
        <w:tc>
          <w:tcPr>
            <w:tcW w:type="dxa" w:w="71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م5 · الحدود والاستخدام والحجوزات (1/2)</w:t>
            </w:r>
          </w:p>
        </w:tc>
        <w:tc>
          <w:tcPr>
            <w:tcW w:type="dxa" w:w="862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خط منتج داخل حد: سقف اختياري SHARED_CAP دائمًا (FR-FAC-012، V-FAC-08)</w:t>
            </w:r>
          </w:p>
        </w:tc>
      </w:tr>
      <w:tr>
        <w:trPr>
          <w:cantSplit/>
        </w:trPr>
        <w:tc>
          <w:tcPr>
            <w:tcW w:type="dxa" w:w="446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fac.LimitReservation</w:t>
            </w:r>
          </w:p>
        </w:tc>
        <w:tc>
          <w:tcPr>
            <w:tcW w:type="dxa" w:w="178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w:t>
            </w:r>
          </w:p>
        </w:tc>
        <w:tc>
          <w:tcPr>
            <w:tcW w:type="dxa" w:w="71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م5 · الحدود والاستخدام والحجوزات (2/2)</w:t>
            </w:r>
          </w:p>
        </w:tc>
        <w:tc>
          <w:tcPr>
            <w:tcW w:type="dxa" w:w="862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حجز مبلغ لطلب = ExposureAmount (FR-FAC-017/018/020، BR-FAC-015)</w:t>
            </w:r>
          </w:p>
        </w:tc>
      </w:tr>
      <w:tr>
        <w:trPr>
          <w:cantSplit/>
        </w:trPr>
        <w:tc>
          <w:tcPr>
            <w:tcW w:type="dxa" w:w="446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fac.OutstandingSnapshot</w:t>
            </w:r>
          </w:p>
        </w:tc>
        <w:tc>
          <w:tcPr>
            <w:tcW w:type="dxa" w:w="178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w:t>
            </w:r>
          </w:p>
        </w:tc>
        <w:tc>
          <w:tcPr>
            <w:tcW w:type="dxa" w:w="71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م5 · التسهيلات والمراجعات (2/2)</w:t>
            </w:r>
          </w:p>
        </w:tc>
        <w:tc>
          <w:tcPr>
            <w:tcW w:type="dxa" w:w="862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لقطة الرصيد المعترف به (FR-FAC-009، BR-FAC-017)؛ PctOfLimit مشتق لا يُخزَّن</w:t>
            </w:r>
          </w:p>
        </w:tc>
      </w:tr>
      <w:tr>
        <w:trPr>
          <w:cantSplit/>
        </w:trPr>
        <w:tc>
          <w:tcPr>
            <w:tcW w:type="dxa" w:w="446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fac.ProductLineTerm</w:t>
            </w:r>
          </w:p>
        </w:tc>
        <w:tc>
          <w:tcPr>
            <w:tcW w:type="dxa" w:w="178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w:t>
            </w:r>
          </w:p>
        </w:tc>
        <w:tc>
          <w:tcPr>
            <w:tcW w:type="dxa" w:w="71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م5 · الحدود والاستخدام والحجوزات (1/2)</w:t>
            </w:r>
          </w:p>
        </w:tc>
        <w:tc>
          <w:tcPr>
            <w:tcW w:type="dxa" w:w="862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شروط العملية لخط المنتج بتواريخ سريان؛ الفارغ = «غير محدد» لا صفر (FR-FAC-014، BR-FAC-016)</w:t>
            </w:r>
          </w:p>
        </w:tc>
      </w:tr>
      <w:tr>
        <w:trPr>
          <w:cantSplit/>
        </w:trPr>
        <w:tc>
          <w:tcPr>
            <w:tcW w:type="dxa" w:w="446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fac.Utilization</w:t>
            </w:r>
          </w:p>
        </w:tc>
        <w:tc>
          <w:tcPr>
            <w:tcW w:type="dxa" w:w="178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w:t>
            </w:r>
          </w:p>
        </w:tc>
        <w:tc>
          <w:tcPr>
            <w:tcW w:type="dxa" w:w="71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م5 · الحدود والاستخدام والحجوزات (2/2)</w:t>
            </w:r>
          </w:p>
        </w:tc>
        <w:tc>
          <w:tcPr>
            <w:tcW w:type="dxa" w:w="862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بند استخدام فعّال: يدوي أو مرتبط باعتماد مستندي؛ لا حذف (FR-FAC-016/030، BR-FAC-013/020)</w:t>
            </w:r>
          </w:p>
        </w:tc>
      </w:tr>
      <w:tr>
        <w:trPr>
          <w:cantSplit/>
        </w:trPr>
        <w:tc>
          <w:tcPr>
            <w:tcW w:type="dxa" w:w="446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fac.ValueConflict</w:t>
            </w:r>
          </w:p>
        </w:tc>
        <w:tc>
          <w:tcPr>
            <w:tcW w:type="dxa" w:w="178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w:t>
            </w:r>
          </w:p>
        </w:tc>
        <w:tc>
          <w:tcPr>
            <w:tcW w:type="dxa" w:w="71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م5 · التسهيلات والمراجعات (2/2)</w:t>
            </w:r>
          </w:p>
        </w:tc>
        <w:tc>
          <w:tcPr>
            <w:tcW w:type="dxa" w:w="862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تعارض قيمتين لحقل واحد وحسمه (FR-FAC-026، BR-FAC-019، BR-FAC-008)</w:t>
            </w:r>
          </w:p>
        </w:tc>
      </w:tr>
      <w:tr>
        <w:trPr>
          <w:cantSplit/>
        </w:trPr>
        <w:tc>
          <w:tcPr>
            <w:tcW w:type="dxa" w:w="446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fin.AccountMonthlyStat</w:t>
            </w:r>
          </w:p>
        </w:tc>
        <w:tc>
          <w:tcPr>
            <w:tcW w:type="dxa" w:w="178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fin</w:t>
            </w:r>
          </w:p>
        </w:tc>
        <w:tc>
          <w:tcPr>
            <w:tcW w:type="dxa" w:w="71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م5 · البيانات المالية والأرصدة (1/2)</w:t>
            </w:r>
          </w:p>
        </w:tc>
        <w:tc>
          <w:tcPr>
            <w:tcW w:type="dxa" w:w="862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رصيد شهري لحساب بعملة الحساب (FR-FIN-008، BR-FIN-005/006، V-FIN-02)</w:t>
            </w:r>
          </w:p>
        </w:tc>
      </w:tr>
      <w:tr>
        <w:trPr>
          <w:cantSplit/>
        </w:trPr>
        <w:tc>
          <w:tcPr>
            <w:tcW w:type="dxa" w:w="446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fin.BankFlowEntry</w:t>
            </w:r>
          </w:p>
        </w:tc>
        <w:tc>
          <w:tcPr>
            <w:tcW w:type="dxa" w:w="178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fin</w:t>
            </w:r>
          </w:p>
        </w:tc>
        <w:tc>
          <w:tcPr>
            <w:tcW w:type="dxa" w:w="71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م5 · البيانات المالية والأرصدة (1/2)</w:t>
            </w:r>
          </w:p>
        </w:tc>
        <w:tc>
          <w:tcPr>
            <w:tcW w:type="dxa" w:w="862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مبلغ محوَّل للبنك في شهر؛ تجميع سنوي آلي (FR-FIN-009/010، BR-FIN-007/008)</w:t>
            </w:r>
          </w:p>
        </w:tc>
      </w:tr>
      <w:tr>
        <w:trPr>
          <w:cantSplit/>
        </w:trPr>
        <w:tc>
          <w:tcPr>
            <w:tcW w:type="dxa" w:w="446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fin.FinancialStatement</w:t>
            </w:r>
          </w:p>
        </w:tc>
        <w:tc>
          <w:tcPr>
            <w:tcW w:type="dxa" w:w="178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fin</w:t>
            </w:r>
          </w:p>
        </w:tc>
        <w:tc>
          <w:tcPr>
            <w:tcW w:type="dxa" w:w="71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م5 · البيانات المالية والأرصدة (1/2)</w:t>
            </w:r>
          </w:p>
        </w:tc>
        <w:tc>
          <w:tcPr>
            <w:tcW w:type="dxa" w:w="862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رأس قائمة مالية؛ سري جدًا (FR-FIN-002/005/006، BR-FIN-001..004، §8)</w:t>
            </w:r>
          </w:p>
        </w:tc>
      </w:tr>
      <w:tr>
        <w:trPr>
          <w:cantSplit/>
        </w:trPr>
        <w:tc>
          <w:tcPr>
            <w:tcW w:type="dxa" w:w="446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fin.LineCatalogItem</w:t>
            </w:r>
          </w:p>
        </w:tc>
        <w:tc>
          <w:tcPr>
            <w:tcW w:type="dxa" w:w="178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fin</w:t>
            </w:r>
          </w:p>
        </w:tc>
        <w:tc>
          <w:tcPr>
            <w:tcW w:type="dxa" w:w="71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م5 · البيانات المالية والأرصدة (1/2)</w:t>
            </w:r>
          </w:p>
        </w:tc>
        <w:tc>
          <w:tcPr>
            <w:tcW w:type="dxa" w:w="862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بند معياري للقوائم؛ 39 بندًا مبذورًا؛ النظامي في الصيغ لا يُحذف (FR-FIN-001، CatalogBase)</w:t>
            </w:r>
          </w:p>
        </w:tc>
      </w:tr>
      <w:tr>
        <w:trPr>
          <w:cantSplit/>
        </w:trPr>
        <w:tc>
          <w:tcPr>
            <w:tcW w:type="dxa" w:w="446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fin.LineCatalogItemAlias</w:t>
            </w:r>
          </w:p>
        </w:tc>
        <w:tc>
          <w:tcPr>
            <w:tcW w:type="dxa" w:w="178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fin</w:t>
            </w:r>
          </w:p>
        </w:tc>
        <w:tc>
          <w:tcPr>
            <w:tcW w:type="dxa" w:w="71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م5 · البيانات المالية والأرصدة (2/2)</w:t>
            </w:r>
          </w:p>
        </w:tc>
        <w:tc>
          <w:tcPr>
            <w:tcW w:type="dxa" w:w="862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الأسماء البديلة للبند (Aliases) للصق والمطابقة</w:t>
            </w:r>
          </w:p>
        </w:tc>
      </w:tr>
      <w:tr>
        <w:trPr>
          <w:cantSplit/>
        </w:trPr>
        <w:tc>
          <w:tcPr>
            <w:tcW w:type="dxa" w:w="446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fin.MeasureFormula</w:t>
            </w:r>
          </w:p>
        </w:tc>
        <w:tc>
          <w:tcPr>
            <w:tcW w:type="dxa" w:w="178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fin</w:t>
            </w:r>
          </w:p>
        </w:tc>
        <w:tc>
          <w:tcPr>
            <w:tcW w:type="dxa" w:w="71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م5 · البيانات المالية والأرصدة (2/2)</w:t>
            </w:r>
          </w:p>
        </w:tc>
        <w:tc>
          <w:tcPr>
            <w:tcW w:type="dxa" w:w="862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صيغة مقياس: قالب أو نسخة اتفاقية بإصدارات؛ لا تُنفَّذ نصًا (FR-FIN-011، BR-FIN-009، §12)</w:t>
            </w:r>
          </w:p>
        </w:tc>
      </w:tr>
      <w:tr>
        <w:trPr>
          <w:cantSplit/>
        </w:trPr>
        <w:tc>
          <w:tcPr>
            <w:tcW w:type="dxa" w:w="446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fin.StatementLine</w:t>
            </w:r>
          </w:p>
        </w:tc>
        <w:tc>
          <w:tcPr>
            <w:tcW w:type="dxa" w:w="178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fin</w:t>
            </w:r>
          </w:p>
        </w:tc>
        <w:tc>
          <w:tcPr>
            <w:tcW w:type="dxa" w:w="71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م5 · البيانات المالية والأرصدة (2/2)</w:t>
            </w:r>
          </w:p>
        </w:tc>
        <w:tc>
          <w:tcPr>
            <w:tcW w:type="dxa" w:w="862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سطر قائمة؛ بعملة الرأس والمخزَّن = المُدخل x UnitScale؛ Variance مشتق؛ سري جدًا (BR-FIN-001/002)</w:t>
            </w:r>
          </w:p>
        </w:tc>
      </w:tr>
      <w:tr>
        <w:trPr>
          <w:cantSplit/>
        </w:trPr>
        <w:tc>
          <w:tcPr>
            <w:tcW w:type="dxa" w:w="446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ins.Contact</w:t>
            </w:r>
          </w:p>
        </w:tc>
        <w:tc>
          <w:tcPr>
            <w:tcW w:type="dxa" w:w="178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ins</w:t>
            </w:r>
          </w:p>
        </w:tc>
        <w:tc>
          <w:tcPr>
            <w:tcW w:type="dxa" w:w="71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م2–م3 · الجهات المالية والحسابات والمفوّضون (1/3)</w:t>
            </w:r>
          </w:p>
        </w:tc>
        <w:tc>
          <w:tcPr>
            <w:tcW w:type="dxa" w:w="862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جهة اتصال لدى البنك: سجل خفيف بلا هوية، PartyId اختياري للترقية (FR-INS-007/008، BR-INS-005/006/014)</w:t>
            </w:r>
          </w:p>
        </w:tc>
      </w:tr>
      <w:tr>
        <w:trPr>
          <w:cantSplit/>
        </w:trPr>
        <w:tc>
          <w:tcPr>
            <w:tcW w:type="dxa" w:w="446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ins.Institution</w:t>
            </w:r>
          </w:p>
        </w:tc>
        <w:tc>
          <w:tcPr>
            <w:tcW w:type="dxa" w:w="178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ins</w:t>
            </w:r>
          </w:p>
        </w:tc>
        <w:tc>
          <w:tcPr>
            <w:tcW w:type="dxa" w:w="71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م2–م3 · الجهات المالية والحسابات والمفوّضون (1/3)</w:t>
            </w:r>
          </w:p>
        </w:tc>
        <w:tc>
          <w:tcPr>
            <w:tcW w:type="dxa" w:w="862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المنشأة المالية (FR-INS-001..004، BR-INS-001..003، BR-INS-012)؛ Locality محلي/أجنبي مشتقة (BR-INS-002) فلا تُخزَّن</w:t>
            </w:r>
          </w:p>
        </w:tc>
      </w:tr>
      <w:tr>
        <w:trPr>
          <w:cantSplit/>
        </w:trPr>
        <w:tc>
          <w:tcPr>
            <w:tcW w:type="dxa" w:w="446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ins.InstitutionUnit</w:t>
            </w:r>
          </w:p>
        </w:tc>
        <w:tc>
          <w:tcPr>
            <w:tcW w:type="dxa" w:w="178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ins</w:t>
            </w:r>
          </w:p>
        </w:tc>
        <w:tc>
          <w:tcPr>
            <w:tcW w:type="dxa" w:w="71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م2–م3 · الجهات المالية والحسابات والمفوّضون (1/3)</w:t>
            </w:r>
          </w:p>
        </w:tc>
        <w:tc>
          <w:tcPr>
            <w:tcW w:type="dxa" w:w="862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وحدة في هيكل المنشأة: إدارة/قسم/فرع، شجرة ذاتية حتى 4 مستويات (FR-INS-005/006، BR-INS-004)</w:t>
            </w:r>
          </w:p>
        </w:tc>
      </w:tr>
      <w:tr>
        <w:trPr>
          <w:cantSplit/>
        </w:trPr>
        <w:tc>
          <w:tcPr>
            <w:tcW w:type="dxa" w:w="446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ins.Relationship</w:t>
            </w:r>
          </w:p>
        </w:tc>
        <w:tc>
          <w:tcPr>
            <w:tcW w:type="dxa" w:w="178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ins</w:t>
            </w:r>
          </w:p>
        </w:tc>
        <w:tc>
          <w:tcPr>
            <w:tcW w:type="dxa" w:w="71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م2–م3 · الجهات المالية والحسابات والمفوّضون (1/3)</w:t>
            </w:r>
          </w:p>
        </w:tc>
        <w:tc>
          <w:tcPr>
            <w:tcW w:type="dxa" w:w="862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علاقة شركة–منشأة (D-4)؛ فريدة مهما كانت حالتها (FR-INS-009، BR-INS-007/011)</w:t>
            </w:r>
          </w:p>
        </w:tc>
      </w:tr>
      <w:tr>
        <w:trPr>
          <w:cantSplit/>
        </w:trPr>
        <w:tc>
          <w:tcPr>
            <w:tcW w:type="dxa" w:w="446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ins.RelationshipContact</w:t>
            </w:r>
          </w:p>
        </w:tc>
        <w:tc>
          <w:tcPr>
            <w:tcW w:type="dxa" w:w="178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ins</w:t>
            </w:r>
          </w:p>
        </w:tc>
        <w:tc>
          <w:tcPr>
            <w:tcW w:type="dxa" w:w="71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م2–م3 · الجهات المالية والحسابات والمفوّضون (2/3)</w:t>
            </w:r>
          </w:p>
        </w:tc>
        <w:tc>
          <w:tcPr>
            <w:tcW w:type="dxa" w:w="862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تغطية العلاقة (الطبقة الأولى): جهة اتصال بدور ورتبة وفترة (FR-INS-010، BR-INS-008/009)</w:t>
            </w:r>
          </w:p>
        </w:tc>
      </w:tr>
      <w:tr>
        <w:trPr>
          <w:cantSplit/>
        </w:trPr>
        <w:tc>
          <w:tcPr>
            <w:tcW w:type="dxa" w:w="446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ins.RelationshipProduct</w:t>
            </w:r>
          </w:p>
        </w:tc>
        <w:tc>
          <w:tcPr>
            <w:tcW w:type="dxa" w:w="178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ins</w:t>
            </w:r>
          </w:p>
        </w:tc>
        <w:tc>
          <w:tcPr>
            <w:tcW w:type="dxa" w:w="71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م2–م3 · الجهات المالية والحسابات والمفوّضون (2/3)</w:t>
            </w:r>
          </w:p>
        </w:tc>
        <w:tc>
          <w:tcPr>
            <w:tcW w:type="dxa" w:w="862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منتج يُتعامل به ضمن علاقة مع جهة افتراضية وقناة (FR-INS-011..013، BR-INS-010)</w:t>
            </w:r>
          </w:p>
        </w:tc>
      </w:tr>
      <w:tr>
        <w:trPr>
          <w:cantSplit/>
        </w:trPr>
        <w:tc>
          <w:tcPr>
            <w:tcW w:type="dxa" w:w="446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lc.Counterparty</w:t>
            </w:r>
          </w:p>
        </w:tc>
        <w:tc>
          <w:tcPr>
            <w:tcW w:type="dxa" w:w="178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w:t>
            </w:r>
          </w:p>
        </w:tc>
        <w:tc>
          <w:tcPr>
            <w:tcW w:type="dxa" w:w="71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م7/م8 · شروط الاعتماد والنماذج (1/3)</w:t>
            </w:r>
          </w:p>
        </w:tc>
        <w:tc>
          <w:tcPr>
            <w:tcW w:type="dxa" w:w="862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الطرف المقابل: مورّد/عميل خفيف بلا هوية؛ يُرقّى إلى Party عند الحاجة (FR-LCT-036/037، BR-LCT-022، Q-PTY-03)</w:t>
            </w:r>
          </w:p>
        </w:tc>
      </w:tr>
      <w:tr>
        <w:trPr>
          <w:cantSplit/>
        </w:trPr>
        <w:tc>
          <w:tcPr>
            <w:tcW w:type="dxa" w:w="446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lc.LcAmendment</w:t>
            </w:r>
          </w:p>
        </w:tc>
        <w:tc>
          <w:tcPr>
            <w:tcW w:type="dxa" w:w="178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w:t>
            </w:r>
          </w:p>
        </w:tc>
        <w:tc>
          <w:tcPr>
            <w:tcW w:type="dxa" w:w="71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م7/م8 · الاعتمادات والبروفورما (1/3)</w:t>
            </w:r>
          </w:p>
        </w:tc>
        <w:tc>
          <w:tcPr>
            <w:tcW w:type="dxa" w:w="862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تعديل اعتماد صادر أو مستلَم (FR-LCI-018/019، FR-LCE-020، BR-LCI-011/012، BR-LCE-014)؛ الحالات §8</w:t>
            </w:r>
          </w:p>
        </w:tc>
      </w:tr>
      <w:tr>
        <w:trPr>
          <w:cantSplit/>
        </w:trPr>
        <w:tc>
          <w:tcPr>
            <w:tcW w:type="dxa" w:w="446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lc.LcChargesMatrix</w:t>
            </w:r>
          </w:p>
        </w:tc>
        <w:tc>
          <w:tcPr>
            <w:tcW w:type="dxa" w:w="178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w:t>
            </w:r>
          </w:p>
        </w:tc>
        <w:tc>
          <w:tcPr>
            <w:tcW w:type="dxa" w:w="71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م7/م8 · شروط الاعتماد والنماذج (2/3)</w:t>
            </w:r>
          </w:p>
        </w:tc>
        <w:tc>
          <w:tcPr>
            <w:tcW w:type="dxa" w:w="862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رسوم الشروط: صف لكل فئة (6 صفوف كاملة يتحقق منها التطبيق V-LCT-12) (FR-LCT-020، BR-LCT-014)</w:t>
            </w:r>
          </w:p>
        </w:tc>
      </w:tr>
      <w:tr>
        <w:trPr>
          <w:cantSplit/>
        </w:trPr>
        <w:tc>
          <w:tcPr>
            <w:tcW w:type="dxa" w:w="446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lc.LcDiscrepancy</w:t>
            </w:r>
          </w:p>
        </w:tc>
        <w:tc>
          <w:tcPr>
            <w:tcW w:type="dxa" w:w="178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w:t>
            </w:r>
          </w:p>
        </w:tc>
        <w:tc>
          <w:tcPr>
            <w:tcW w:type="dxa" w:w="71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م7/م8 · الاعتمادات والبروفورما (2/3)</w:t>
            </w:r>
          </w:p>
        </w:tc>
        <w:tc>
          <w:tcPr>
            <w:tcW w:type="dxa" w:w="862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مخالفة على مستندات سحب أو اعتماد؛ القرار يتطلب lc.discrepancy.decide (FR-LCI-024، FR-LCE-021، §8)</w:t>
            </w:r>
          </w:p>
        </w:tc>
      </w:tr>
      <w:tr>
        <w:trPr>
          <w:cantSplit/>
        </w:trPr>
        <w:tc>
          <w:tcPr>
            <w:tcW w:type="dxa" w:w="446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lc.LcDocumentClause</w:t>
            </w:r>
          </w:p>
        </w:tc>
        <w:tc>
          <w:tcPr>
            <w:tcW w:type="dxa" w:w="178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w:t>
            </w:r>
          </w:p>
        </w:tc>
        <w:tc>
          <w:tcPr>
            <w:tcW w:type="dxa" w:w="71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م7/م8 · شروط الاعتماد والنماذج (1/3)</w:t>
            </w:r>
          </w:p>
        </w:tc>
        <w:tc>
          <w:tcPr>
            <w:tcW w:type="dxa" w:w="862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مكتبة بنود المستندات بإصدارات: نص قالب بمعاملات (FR-LCT-017..019، BR-LCT-012)؛ مراجع UCP في lc.LcDocumentClauseUcpRef</w:t>
            </w:r>
          </w:p>
        </w:tc>
      </w:tr>
      <w:tr>
        <w:trPr>
          <w:cantSplit/>
        </w:trPr>
        <w:tc>
          <w:tcPr>
            <w:tcW w:type="dxa" w:w="446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lc.LcDocumentClauseUcpRef</w:t>
            </w:r>
          </w:p>
        </w:tc>
        <w:tc>
          <w:tcPr>
            <w:tcW w:type="dxa" w:w="178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w:t>
            </w:r>
          </w:p>
        </w:tc>
        <w:tc>
          <w:tcPr>
            <w:tcW w:type="dxa" w:w="71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م7/م8 · شروط الاعتماد والنماذج (2/3)</w:t>
            </w:r>
          </w:p>
        </w:tc>
        <w:tc>
          <w:tcPr>
            <w:tcW w:type="dxa" w:w="862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مرجع UCP لبند مستند: مادة + فقرة (UcpRefs في المواصفة)</w:t>
            </w:r>
          </w:p>
        </w:tc>
      </w:tr>
      <w:tr>
        <w:trPr>
          <w:cantSplit/>
        </w:trPr>
        <w:tc>
          <w:tcPr>
            <w:tcW w:type="dxa" w:w="446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lc.LcDrawing</w:t>
            </w:r>
          </w:p>
        </w:tc>
        <w:tc>
          <w:tcPr>
            <w:tcW w:type="dxa" w:w="178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w:t>
            </w:r>
          </w:p>
        </w:tc>
        <w:tc>
          <w:tcPr>
            <w:tcW w:type="dxa" w:w="71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م7/م8 · الاعتمادات والبروفورما (1/3)</w:t>
            </w:r>
          </w:p>
        </w:tc>
        <w:tc>
          <w:tcPr>
            <w:tcW w:type="dxa" w:w="862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سحب/تقديم مستندات تحت اعتماد؛ في التصدير يشمل تحويل التخصيص (FR-LCI-023، BR-LCI-013، BR-LCE-011)؛ الحالات §8</w:t>
            </w:r>
          </w:p>
        </w:tc>
      </w:tr>
      <w:tr>
        <w:trPr>
          <w:cantSplit/>
        </w:trPr>
        <w:tc>
          <w:tcPr>
            <w:tcW w:type="dxa" w:w="446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lc.LcDrawingAllocation</w:t>
            </w:r>
          </w:p>
        </w:tc>
        <w:tc>
          <w:tcPr>
            <w:tcW w:type="dxa" w:w="178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w:t>
            </w:r>
          </w:p>
        </w:tc>
        <w:tc>
          <w:tcPr>
            <w:tcW w:type="dxa" w:w="71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م7/م8 · الاعتمادات والبروفورما (2/3)</w:t>
            </w:r>
          </w:p>
        </w:tc>
        <w:tc>
          <w:tcPr>
            <w:tcW w:type="dxa" w:w="862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توزيع سحب تصدير على أوامر بيع (FR-LCE-016/017، BR-LCE-011/013)</w:t>
            </w:r>
          </w:p>
        </w:tc>
      </w:tr>
      <w:tr>
        <w:trPr>
          <w:cantSplit/>
        </w:trPr>
        <w:tc>
          <w:tcPr>
            <w:tcW w:type="dxa" w:w="446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lc.LcExternalRef</w:t>
            </w:r>
          </w:p>
        </w:tc>
        <w:tc>
          <w:tcPr>
            <w:tcW w:type="dxa" w:w="178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w:t>
            </w:r>
          </w:p>
        </w:tc>
        <w:tc>
          <w:tcPr>
            <w:tcW w:type="dxa" w:w="71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م7/م8 · الاعتمادات والبروفورما (1/3)</w:t>
            </w:r>
          </w:p>
        </w:tc>
        <w:tc>
          <w:tcPr>
            <w:tcW w:type="dxa" w:w="862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مرجع خارجي للاعتماد (ERP...)؛ بلا فرادة؛ البحث بالمطبَّع (FR-LCI-013، BR-REQ-006)</w:t>
            </w:r>
          </w:p>
        </w:tc>
      </w:tr>
      <w:tr>
        <w:trPr>
          <w:cantSplit/>
        </w:trPr>
        <w:tc>
          <w:tcPr>
            <w:tcW w:type="dxa" w:w="446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lc.LcFieldDefinition</w:t>
            </w:r>
          </w:p>
        </w:tc>
        <w:tc>
          <w:tcPr>
            <w:tcW w:type="dxa" w:w="178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w:t>
            </w:r>
          </w:p>
        </w:tc>
        <w:tc>
          <w:tcPr>
            <w:tcW w:type="dxa" w:w="71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م7/م8 · شروط الاعتماد والنماذج (1/3)</w:t>
            </w:r>
          </w:p>
        </w:tc>
        <w:tc>
          <w:tcPr>
            <w:tcW w:type="dxa" w:w="862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تعريف حقل في شروط الاعتماد: بيانات تُبذر لكل مشترك (FR-LCT-004، BR-LCT-002)؛ مراجع UCP في lc.LcFieldUcpRef</w:t>
            </w:r>
          </w:p>
        </w:tc>
      </w:tr>
      <w:tr>
        <w:trPr>
          <w:cantSplit/>
        </w:trPr>
        <w:tc>
          <w:tcPr>
            <w:tcW w:type="dxa" w:w="446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lc.LcFieldUcpRef</w:t>
            </w:r>
          </w:p>
        </w:tc>
        <w:tc>
          <w:tcPr>
            <w:tcW w:type="dxa" w:w="178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w:t>
            </w:r>
          </w:p>
        </w:tc>
        <w:tc>
          <w:tcPr>
            <w:tcW w:type="dxa" w:w="71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م7/م8 · شروط الاعتماد والنماذج (1/3)</w:t>
            </w:r>
          </w:p>
        </w:tc>
        <w:tc>
          <w:tcPr>
            <w:tcW w:type="dxa" w:w="862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مرجع UCP لحقل: مادة + فقرة (UcpRefs في المواصفة)؛ يغذّي الشارة وR-LCT-01 وBR-LCT-018</w:t>
            </w:r>
          </w:p>
        </w:tc>
      </w:tr>
      <w:tr>
        <w:trPr>
          <w:cantSplit/>
        </w:trPr>
        <w:tc>
          <w:tcPr>
            <w:tcW w:type="dxa" w:w="446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lc.LcFormFieldMap</w:t>
            </w:r>
          </w:p>
        </w:tc>
        <w:tc>
          <w:tcPr>
            <w:tcW w:type="dxa" w:w="178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w:t>
            </w:r>
          </w:p>
        </w:tc>
        <w:tc>
          <w:tcPr>
            <w:tcW w:type="dxa" w:w="71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م7/م8 · شروط الاعتماد والنماذج (3/3)</w:t>
            </w:r>
          </w:p>
        </w:tc>
        <w:tc>
          <w:tcPr>
            <w:tcW w:type="dxa" w:w="862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تعيين حقل نظام إلى حقل PDF أو بند في ورقة البوابة (FR-LCT-027، BR-LCT-020)</w:t>
            </w:r>
          </w:p>
        </w:tc>
      </w:tr>
      <w:tr>
        <w:trPr>
          <w:cantSplit/>
        </w:trPr>
        <w:tc>
          <w:tcPr>
            <w:tcW w:type="dxa" w:w="446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lc.LcFormTemplate</w:t>
            </w:r>
          </w:p>
        </w:tc>
        <w:tc>
          <w:tcPr>
            <w:tcW w:type="dxa" w:w="178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w:t>
            </w:r>
          </w:p>
        </w:tc>
        <w:tc>
          <w:tcPr>
            <w:tcW w:type="dxa" w:w="71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م7/م8 · شروط الاعتماد والنماذج (3/3)</w:t>
            </w:r>
          </w:p>
        </w:tc>
        <w:tc>
          <w:tcPr>
            <w:tcW w:type="dxa" w:w="862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قالب نموذج بنك/منتج/نوع نموذج بإصدار وفترة نفاذ وملحق عقدي (FR-LCT-026، BR-LCT-017، 02 F-14)</w:t>
            </w:r>
          </w:p>
        </w:tc>
      </w:tr>
      <w:tr>
        <w:trPr>
          <w:cantSplit/>
        </w:trPr>
        <w:tc>
          <w:tcPr>
            <w:tcW w:type="dxa" w:w="446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lc.LcSalesOrder</w:t>
            </w:r>
          </w:p>
        </w:tc>
        <w:tc>
          <w:tcPr>
            <w:tcW w:type="dxa" w:w="178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w:t>
            </w:r>
          </w:p>
        </w:tc>
        <w:tc>
          <w:tcPr>
            <w:tcW w:type="dxa" w:w="71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م7/م8 · الاعتمادات والبروفورما (2/3)</w:t>
            </w:r>
          </w:p>
        </w:tc>
        <w:tc>
          <w:tcPr>
            <w:tcW w:type="dxa" w:w="862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تخصيص أمر بيع على اعتماد مستلَم؛ لا يقابله حد ائتماني (FR-LCE-013..015، BR-LCE-009..013)؛ الحالات §8</w:t>
            </w:r>
          </w:p>
        </w:tc>
      </w:tr>
      <w:tr>
        <w:trPr>
          <w:cantSplit/>
        </w:trPr>
        <w:tc>
          <w:tcPr>
            <w:tcW w:type="dxa" w:w="446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lc.LcTerms</w:t>
            </w:r>
          </w:p>
        </w:tc>
        <w:tc>
          <w:tcPr>
            <w:tcW w:type="dxa" w:w="178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w:t>
            </w:r>
          </w:p>
        </w:tc>
        <w:tc>
          <w:tcPr>
            <w:tcW w:type="dxa" w:w="71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م7/م8 · شروط الاعتماد والنماذج (2/3)</w:t>
            </w:r>
          </w:p>
        </w:tc>
        <w:tc>
          <w:tcPr>
            <w:tcW w:type="dxa" w:w="862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إصدار شروط اعتماد: صف لكل إصدار بأعمدة قاموس §6.2؛ مشترك بين البروفورما والطلب والاعتماد والتعديل (FR-LCT-001..035)</w:t>
            </w:r>
          </w:p>
        </w:tc>
      </w:tr>
      <w:tr>
        <w:trPr>
          <w:cantSplit/>
        </w:trPr>
        <w:tc>
          <w:tcPr>
            <w:tcW w:type="dxa" w:w="446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lc.LcTermsComparison</w:t>
            </w:r>
          </w:p>
        </w:tc>
        <w:tc>
          <w:tcPr>
            <w:tcW w:type="dxa" w:w="178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w:t>
            </w:r>
          </w:p>
        </w:tc>
        <w:tc>
          <w:tcPr>
            <w:tcW w:type="dxa" w:w="71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م7/م8 · الاعتمادات والبروفورما (3/3)</w:t>
            </w:r>
          </w:p>
        </w:tc>
        <w:tc>
          <w:tcPr>
            <w:tcW w:type="dxa" w:w="862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نتيجة مقارنة شروط الاعتماد المستلَم بالبروفورما (FR-LCT-031، FR-LCE-023، BR-LCT-021)</w:t>
            </w:r>
          </w:p>
        </w:tc>
      </w:tr>
      <w:tr>
        <w:trPr>
          <w:cantSplit/>
        </w:trPr>
        <w:tc>
          <w:tcPr>
            <w:tcW w:type="dxa" w:w="446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lc.LcTermsComparisonLine</w:t>
            </w:r>
          </w:p>
        </w:tc>
        <w:tc>
          <w:tcPr>
            <w:tcW w:type="dxa" w:w="178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w:t>
            </w:r>
          </w:p>
        </w:tc>
        <w:tc>
          <w:tcPr>
            <w:tcW w:type="dxa" w:w="71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م7/م8 · الاعتمادات والبروفورما (3/3)</w:t>
            </w:r>
          </w:p>
        </w:tc>
        <w:tc>
          <w:tcPr>
            <w:tcW w:type="dxa" w:w="862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فرق حقل واحد وحكمه وقرار الخزينة (FR-LCT-031، BR-LCT-021)</w:t>
            </w:r>
          </w:p>
        </w:tc>
      </w:tr>
      <w:tr>
        <w:trPr>
          <w:cantSplit/>
        </w:trPr>
        <w:tc>
          <w:tcPr>
            <w:tcW w:type="dxa" w:w="446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lc.LcTermsDocument</w:t>
            </w:r>
          </w:p>
        </w:tc>
        <w:tc>
          <w:tcPr>
            <w:tcW w:type="dxa" w:w="178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w:t>
            </w:r>
          </w:p>
        </w:tc>
        <w:tc>
          <w:tcPr>
            <w:tcW w:type="dxa" w:w="71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م7/م8 · شروط الاعتماد والنماذج (2/3)</w:t>
            </w:r>
          </w:p>
        </w:tc>
        <w:tc>
          <w:tcPr>
            <w:tcW w:type="dxa" w:w="862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بند مستند مختار في الشروط ومعاملاته؛ النص المصيَّر يُجمَّد عند القفل (FR-LCT-018، BR-LCT-012)</w:t>
            </w:r>
          </w:p>
        </w:tc>
      </w:tr>
      <w:tr>
        <w:trPr>
          <w:cantSplit/>
        </w:trPr>
        <w:tc>
          <w:tcPr>
            <w:tcW w:type="dxa" w:w="446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lc.LetterOfCredit</w:t>
            </w:r>
          </w:p>
        </w:tc>
        <w:tc>
          <w:tcPr>
            <w:tcW w:type="dxa" w:w="178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w:t>
            </w:r>
          </w:p>
        </w:tc>
        <w:tc>
          <w:tcPr>
            <w:tcW w:type="dxa" w:w="71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م7/م8 · الاعتمادات والبروفورما (1/3)</w:t>
            </w:r>
          </w:p>
        </w:tc>
        <w:tc>
          <w:tcPr>
            <w:tcW w:type="dxa" w:w="862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سجل الاعتماد للجانبين: مشتريات (نحن الطالب) ومبيعات (نحن المستفيد) (FR-LCI-011..016، FR-LCE-009، BR-LCI-004/008/016، BR-LCE-007/009)</w:t>
            </w:r>
          </w:p>
        </w:tc>
      </w:tr>
      <w:tr>
        <w:trPr>
          <w:cantSplit/>
        </w:trPr>
        <w:tc>
          <w:tcPr>
            <w:tcW w:type="dxa" w:w="446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lc.ProformaInvoice</w:t>
            </w:r>
          </w:p>
        </w:tc>
        <w:tc>
          <w:tcPr>
            <w:tcW w:type="dxa" w:w="178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w:t>
            </w:r>
          </w:p>
        </w:tc>
        <w:tc>
          <w:tcPr>
            <w:tcW w:type="dxa" w:w="71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م7/م8 · الاعتمادات والبروفورما (2/3)</w:t>
            </w:r>
          </w:p>
        </w:tc>
        <w:tc>
          <w:tcPr>
            <w:tcW w:type="dxa" w:w="862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البروفورما الصادرة؛ يمنع التطبيق تعديلها بعد الإصدار؛ الرقم {seq:000}-{erp}-{yy} (FR-LCE-005..008، BR-LCE-001..006)</w:t>
            </w:r>
          </w:p>
        </w:tc>
      </w:tr>
      <w:tr>
        <w:trPr>
          <w:cantSplit/>
        </w:trPr>
        <w:tc>
          <w:tcPr>
            <w:tcW w:type="dxa" w:w="446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lc.ProformaLine</w:t>
            </w:r>
          </w:p>
        </w:tc>
        <w:tc>
          <w:tcPr>
            <w:tcW w:type="dxa" w:w="178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w:t>
            </w:r>
          </w:p>
        </w:tc>
        <w:tc>
          <w:tcPr>
            <w:tcW w:type="dxa" w:w="71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م7/م8 · الاعتمادات والبروفورما (3/3)</w:t>
            </w:r>
          </w:p>
        </w:tc>
        <w:tc>
          <w:tcPr>
            <w:tcW w:type="dxa" w:w="862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بند في البروفورما (FR-LCE-003، BR-LCE-001)؛ يُثبَّت بعد الإصدار</w:t>
            </w:r>
          </w:p>
        </w:tc>
      </w:tr>
      <w:tr>
        <w:trPr>
          <w:cantSplit/>
        </w:trPr>
        <w:tc>
          <w:tcPr>
            <w:tcW w:type="dxa" w:w="446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ntf.DigestBatch</w:t>
            </w:r>
          </w:p>
        </w:tc>
        <w:tc>
          <w:tcPr>
            <w:tcW w:type="dxa" w:w="178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ntf</w:t>
            </w:r>
          </w:p>
        </w:tc>
        <w:tc>
          <w:tcPr>
            <w:tcW w:type="dxa" w:w="71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م6 · الإشعارات (1/2)</w:t>
            </w:r>
          </w:p>
        </w:tc>
        <w:tc>
          <w:tcPr>
            <w:tcW w:type="dxa" w:w="862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دفعة ملخص لمستخدم وقناة وفترة؛ لا يُرسل فارغًا (FR-NTF-014، BR-NTF-004، JOB-NTF-DIGEST)</w:t>
            </w:r>
          </w:p>
        </w:tc>
      </w:tr>
      <w:tr>
        <w:trPr>
          <w:cantSplit/>
        </w:trPr>
        <w:tc>
          <w:tcPr>
            <w:tcW w:type="dxa" w:w="446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ntf.Notification</w:t>
            </w:r>
          </w:p>
        </w:tc>
        <w:tc>
          <w:tcPr>
            <w:tcW w:type="dxa" w:w="178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ntf</w:t>
            </w:r>
          </w:p>
        </w:tc>
        <w:tc>
          <w:tcPr>
            <w:tcW w:type="dxa" w:w="71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م6 · الإشعارات (1/2)</w:t>
            </w:r>
          </w:p>
        </w:tc>
        <w:tc>
          <w:tcPr>
            <w:tcW w:type="dxa" w:w="862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إشعار لمستخدم؛ المحتوى بلا قيم مقيّدة (FR-NTF-005/006/007/021، BR-NTF-001/002/007/008/011)</w:t>
            </w:r>
          </w:p>
        </w:tc>
      </w:tr>
      <w:tr>
        <w:trPr>
          <w:cantSplit/>
        </w:trPr>
        <w:tc>
          <w:tcPr>
            <w:tcW w:type="dxa" w:w="446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ntf.NotificationDelivery</w:t>
            </w:r>
          </w:p>
        </w:tc>
        <w:tc>
          <w:tcPr>
            <w:tcW w:type="dxa" w:w="178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ntf</w:t>
            </w:r>
          </w:p>
        </w:tc>
        <w:tc>
          <w:tcPr>
            <w:tcW w:type="dxa" w:w="71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م6 · الإشعارات (1/2)</w:t>
            </w:r>
          </w:p>
        </w:tc>
        <w:tc>
          <w:tcPr>
            <w:tcW w:type="dxa" w:w="862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تسليم الإشعار لكل قناة بحالاته وإعادة المحاولة (FR-NTF-019، BR-NTF-009، §8)</w:t>
            </w:r>
          </w:p>
        </w:tc>
      </w:tr>
      <w:tr>
        <w:trPr>
          <w:cantSplit/>
        </w:trPr>
        <w:tc>
          <w:tcPr>
            <w:tcW w:type="dxa" w:w="446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ntf.NotificationEventType</w:t>
            </w:r>
          </w:p>
        </w:tc>
        <w:tc>
          <w:tcPr>
            <w:tcW w:type="dxa" w:w="178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ntf</w:t>
            </w:r>
          </w:p>
        </w:tc>
        <w:tc>
          <w:tcPr>
            <w:tcW w:type="dxa" w:w="71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م6 · الإشعارات (1/2)</w:t>
            </w:r>
          </w:p>
        </w:tc>
        <w:tc>
          <w:tcPr>
            <w:tcW w:type="dxa" w:w="862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كتالوج الأحداث؛ تملكه 13 لكل الوحدات وتبذر فيه الوحدات أحداثها (FR-NTF-001، §9.2، §9.2-ب)</w:t>
            </w:r>
          </w:p>
        </w:tc>
      </w:tr>
      <w:tr>
        <w:trPr>
          <w:cantSplit/>
        </w:trPr>
        <w:tc>
          <w:tcPr>
            <w:tcW w:type="dxa" w:w="446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ntf.NotificationPreference</w:t>
            </w:r>
          </w:p>
        </w:tc>
        <w:tc>
          <w:tcPr>
            <w:tcW w:type="dxa" w:w="178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ntf</w:t>
            </w:r>
          </w:p>
        </w:tc>
        <w:tc>
          <w:tcPr>
            <w:tcW w:type="dxa" w:w="71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م6 · الإشعارات (2/2)</w:t>
            </w:r>
          </w:p>
        </w:tc>
        <w:tc>
          <w:tcPr>
            <w:tcW w:type="dxa" w:w="862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تفضيل المستخدم لكل مجموعة أحداث وقناة (FR-NTF-010، BR-NTF-003/014)؛ الإلزامي لا يُوقَف في التطبيق</w:t>
            </w:r>
          </w:p>
        </w:tc>
      </w:tr>
      <w:tr>
        <w:trPr>
          <w:cantSplit/>
        </w:trPr>
        <w:tc>
          <w:tcPr>
            <w:tcW w:type="dxa" w:w="446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ntf.NotificationRule</w:t>
            </w:r>
          </w:p>
        </w:tc>
        <w:tc>
          <w:tcPr>
            <w:tcW w:type="dxa" w:w="178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ntf</w:t>
            </w:r>
          </w:p>
        </w:tc>
        <w:tc>
          <w:tcPr>
            <w:tcW w:type="dxa" w:w="71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م6 · الإشعارات (2/2)</w:t>
            </w:r>
          </w:p>
        </w:tc>
        <w:tc>
          <w:tcPr>
            <w:tcW w:type="dxa" w:w="862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قاعدة مستلمين لحدث؛ التعديل يسري على الأحداث التالية فقط (FR-NTF-003، BR-NTF-001، V-NTF-02)</w:t>
            </w:r>
          </w:p>
        </w:tc>
      </w:tr>
      <w:tr>
        <w:trPr>
          <w:cantSplit/>
        </w:trPr>
        <w:tc>
          <w:tcPr>
            <w:tcW w:type="dxa" w:w="446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ntf.NotificationTemplate</w:t>
            </w:r>
          </w:p>
        </w:tc>
        <w:tc>
          <w:tcPr>
            <w:tcW w:type="dxa" w:w="178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ntf</w:t>
            </w:r>
          </w:p>
        </w:tc>
        <w:tc>
          <w:tcPr>
            <w:tcW w:type="dxa" w:w="71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م6 · الإشعارات (2/2)</w:t>
            </w:r>
          </w:p>
        </w:tc>
        <w:tc>
          <w:tcPr>
            <w:tcW w:type="dxa" w:w="862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قالب رسالة لكل (حدث، قناة، لغة)؛ الحذف = العودة إلى قالب البذرة (FR-NTF-012، FR-NTF-025)</w:t>
            </w:r>
          </w:p>
        </w:tc>
      </w:tr>
      <w:tr>
        <w:trPr>
          <w:cantSplit/>
        </w:trPr>
        <w:tc>
          <w:tcPr>
            <w:tcW w:type="dxa" w:w="446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obl.Covenant</w:t>
            </w:r>
          </w:p>
        </w:tc>
        <w:tc>
          <w:tcPr>
            <w:tcW w:type="dxa" w:w="178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obl</w:t>
            </w:r>
          </w:p>
        </w:tc>
        <w:tc>
          <w:tcPr>
            <w:tcW w:type="dxa" w:w="71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م5 · الالتزامات والتعهدات (1/2)</w:t>
            </w:r>
          </w:p>
        </w:tc>
        <w:tc>
          <w:tcPr>
            <w:tcW w:type="dxa" w:w="862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إصدار تعهد بتواريخ؛ الحدود المتدرجة = عدة نسخ (FR-OBL-006، BR-OBL-001/005/006، Q-OBL-01)</w:t>
            </w:r>
          </w:p>
        </w:tc>
      </w:tr>
      <w:tr>
        <w:trPr>
          <w:cantSplit/>
        </w:trPr>
        <w:tc>
          <w:tcPr>
            <w:tcW w:type="dxa" w:w="446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obl.CovenantAccount</w:t>
            </w:r>
          </w:p>
        </w:tc>
        <w:tc>
          <w:tcPr>
            <w:tcW w:type="dxa" w:w="178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obl</w:t>
            </w:r>
          </w:p>
        </w:tc>
        <w:tc>
          <w:tcPr>
            <w:tcW w:type="dxa" w:w="71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م5 · الالتزامات والتعهدات (1/2)</w:t>
            </w:r>
          </w:p>
        </w:tc>
        <w:tc>
          <w:tcPr>
            <w:tcW w:type="dxa" w:w="862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الحسابات المشمولة بالتعهد عند اختيار حسابات محددة (AccountIds)</w:t>
            </w:r>
          </w:p>
        </w:tc>
      </w:tr>
      <w:tr>
        <w:trPr>
          <w:cantSplit/>
        </w:trPr>
        <w:tc>
          <w:tcPr>
            <w:tcW w:type="dxa" w:w="446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obl.CovenantTest</w:t>
            </w:r>
          </w:p>
        </w:tc>
        <w:tc>
          <w:tcPr>
            <w:tcW w:type="dxa" w:w="178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obl</w:t>
            </w:r>
          </w:p>
        </w:tc>
        <w:tc>
          <w:tcPr>
            <w:tcW w:type="dxa" w:w="71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م5 · الالتزامات والتعهدات (1/2)</w:t>
            </w:r>
          </w:p>
        </w:tc>
        <w:tc>
          <w:tcPr>
            <w:tcW w:type="dxa" w:w="862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تقييم تعهد لفترة وإصدار تقييم؛ يمنع التطبيق تعديل التقييم المخزَّن (FR-OBL-011، FR-FIN-012/013، BR-OBL-006/007، §8)</w:t>
            </w:r>
          </w:p>
        </w:tc>
      </w:tr>
      <w:tr>
        <w:trPr>
          <w:cantSplit/>
        </w:trPr>
        <w:tc>
          <w:tcPr>
            <w:tcW w:type="dxa" w:w="446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obl.Obligation</w:t>
            </w:r>
          </w:p>
        </w:tc>
        <w:tc>
          <w:tcPr>
            <w:tcW w:type="dxa" w:w="178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obl</w:t>
            </w:r>
          </w:p>
        </w:tc>
        <w:tc>
          <w:tcPr>
            <w:tcW w:type="dxa" w:w="71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م5 · الالتزامات والتعهدات (1/2)</w:t>
            </w:r>
          </w:p>
        </w:tc>
        <w:tc>
          <w:tcPr>
            <w:tcW w:type="dxa" w:w="862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التزام على تسهيل (أو حد/خط/شركات)؛ العائلة من ObligationType ولا تُحرَّر (FR-OBL-001، BR-OBL-001)</w:t>
            </w:r>
          </w:p>
        </w:tc>
      </w:tr>
      <w:tr>
        <w:trPr>
          <w:cantSplit/>
        </w:trPr>
        <w:tc>
          <w:tcPr>
            <w:tcW w:type="dxa" w:w="446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obl.ObligationBreach</w:t>
            </w:r>
          </w:p>
        </w:tc>
        <w:tc>
          <w:tcPr>
            <w:tcW w:type="dxa" w:w="178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obl</w:t>
            </w:r>
          </w:p>
        </w:tc>
        <w:tc>
          <w:tcPr>
            <w:tcW w:type="dxa" w:w="71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م5 · الالتزامات والتعهدات (2/2)</w:t>
            </w:r>
          </w:p>
        </w:tc>
        <w:tc>
          <w:tcPr>
            <w:tcW w:type="dxa" w:w="862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سجل خرق وعلاجه وتنازله (FR-OBL-012، BR-OBL-009/011، §8)</w:t>
            </w:r>
          </w:p>
        </w:tc>
      </w:tr>
      <w:tr>
        <w:trPr>
          <w:cantSplit/>
        </w:trPr>
        <w:tc>
          <w:tcPr>
            <w:tcW w:type="dxa" w:w="446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obl.ObligationCompany</w:t>
            </w:r>
          </w:p>
        </w:tc>
        <w:tc>
          <w:tcPr>
            <w:tcW w:type="dxa" w:w="178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obl</w:t>
            </w:r>
          </w:p>
        </w:tc>
        <w:tc>
          <w:tcPr>
            <w:tcW w:type="dxa" w:w="71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م5 · الالتزامات والتعهدات (2/2)</w:t>
            </w:r>
          </w:p>
        </w:tc>
        <w:tc>
          <w:tcPr>
            <w:tcW w:type="dxa" w:w="862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الشركات التي ينطبق عليها الالتزام (AppliesToCompanyIds)</w:t>
            </w:r>
          </w:p>
        </w:tc>
      </w:tr>
      <w:tr>
        <w:trPr>
          <w:cantSplit/>
        </w:trPr>
        <w:tc>
          <w:tcPr>
            <w:tcW w:type="dxa" w:w="446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obl.ReportingInstance</w:t>
            </w:r>
          </w:p>
        </w:tc>
        <w:tc>
          <w:tcPr>
            <w:tcW w:type="dxa" w:w="178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obl</w:t>
            </w:r>
          </w:p>
        </w:tc>
        <w:tc>
          <w:tcPr>
            <w:tcW w:type="dxa" w:w="71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م5 · الالتزامات والتعهدات (2/2)</w:t>
            </w:r>
          </w:p>
        </w:tc>
        <w:tc>
          <w:tcPr>
            <w:tcW w:type="dxa" w:w="862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بند أجندة مولَّد أو مسجَّل لحدث (FR-OBL-003..005، BR-OBL-003، §8)؛ DUE_SOON/OVERDUE مشتقتان</w:t>
            </w:r>
          </w:p>
        </w:tc>
      </w:tr>
      <w:tr>
        <w:trPr>
          <w:cantSplit/>
        </w:trPr>
        <w:tc>
          <w:tcPr>
            <w:tcW w:type="dxa" w:w="446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obl.ReportingObligation</w:t>
            </w:r>
          </w:p>
        </w:tc>
        <w:tc>
          <w:tcPr>
            <w:tcW w:type="dxa" w:w="178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obl</w:t>
            </w:r>
          </w:p>
        </w:tc>
        <w:tc>
          <w:tcPr>
            <w:tcW w:type="dxa" w:w="71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م5 · الالتزامات والتعهدات (2/2)</w:t>
            </w:r>
          </w:p>
        </w:tc>
        <w:tc>
          <w:tcPr>
            <w:tcW w:type="dxa" w:w="862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قاعدة استحقاق تقرير/إخطار 1:1 مع Obligation (FR-OBL-002/003، BR-OBL-002، V-OBL-01)</w:t>
            </w:r>
          </w:p>
        </w:tc>
      </w:tr>
      <w:tr>
        <w:trPr>
          <w:cantSplit/>
        </w:trPr>
        <w:tc>
          <w:tcPr>
            <w:tcW w:type="dxa" w:w="446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org.AuthorityGrant</w:t>
            </w:r>
          </w:p>
        </w:tc>
        <w:tc>
          <w:tcPr>
            <w:tcW w:type="dxa" w:w="178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org</w:t>
            </w:r>
          </w:p>
        </w:tc>
        <w:tc>
          <w:tcPr>
            <w:tcW w:type="dxa" w:w="71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م1 · الشركات والحوكمة (2/2)</w:t>
            </w:r>
          </w:p>
        </w:tc>
        <w:tc>
          <w:tcPr>
            <w:tcW w:type="dxa" w:w="862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تفويض/منحة صلاحية لشركة (FR-ORG-023..028، BR-ORG-011..014)</w:t>
            </w:r>
          </w:p>
        </w:tc>
      </w:tr>
      <w:tr>
        <w:trPr>
          <w:cantSplit/>
        </w:trPr>
        <w:tc>
          <w:tcPr>
            <w:tcW w:type="dxa" w:w="446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org.BodyMember</w:t>
            </w:r>
          </w:p>
        </w:tc>
        <w:tc>
          <w:tcPr>
            <w:tcW w:type="dxa" w:w="178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org</w:t>
            </w:r>
          </w:p>
        </w:tc>
        <w:tc>
          <w:tcPr>
            <w:tcW w:type="dxa" w:w="71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م1 · الشركات والحوكمة (2/2)</w:t>
            </w:r>
          </w:p>
        </w:tc>
        <w:tc>
          <w:tcPr>
            <w:tcW w:type="dxa" w:w="862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عضوية في هيئة (FR-ORG-020، FR-ORG-021، BR-ORG-010)</w:t>
            </w:r>
          </w:p>
        </w:tc>
      </w:tr>
      <w:tr>
        <w:trPr>
          <w:cantSplit/>
        </w:trPr>
        <w:tc>
          <w:tcPr>
            <w:tcW w:type="dxa" w:w="446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t>
            </w:r>
          </w:p>
        </w:tc>
        <w:tc>
          <w:tcPr>
            <w:tcW w:type="dxa" w:w="178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org</w:t>
            </w:r>
          </w:p>
        </w:tc>
        <w:tc>
          <w:tcPr>
            <w:tcW w:type="dxa" w:w="71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م1 · الشركات والحوكمة (1/2)</w:t>
            </w:r>
          </w:p>
        </w:tc>
        <w:tc>
          <w:tcPr>
            <w:tcW w:type="dxa" w:w="862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الشركة: جذر الهيكل المؤسسي (FR-ORG-001..010، BR-ORG-001..004)</w:t>
            </w:r>
          </w:p>
        </w:tc>
      </w:tr>
      <w:tr>
        <w:trPr>
          <w:cantSplit/>
        </w:trPr>
        <w:tc>
          <w:tcPr>
            <w:tcW w:type="dxa" w:w="446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org.CompanyBranch</w:t>
            </w:r>
          </w:p>
        </w:tc>
        <w:tc>
          <w:tcPr>
            <w:tcW w:type="dxa" w:w="178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org</w:t>
            </w:r>
          </w:p>
        </w:tc>
        <w:tc>
          <w:tcPr>
            <w:tcW w:type="dxa" w:w="71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م1 · ملف الشركة و KYC (1/2)</w:t>
            </w:r>
          </w:p>
        </w:tc>
        <w:tc>
          <w:tcPr>
            <w:tcW w:type="dxa" w:w="862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فرع/مستودع/تابعة خارج الحساب كنص (G-3)</w:t>
            </w:r>
          </w:p>
        </w:tc>
      </w:tr>
      <w:tr>
        <w:trPr>
          <w:cantSplit/>
        </w:trPr>
        <w:tc>
          <w:tcPr>
            <w:tcW w:type="dxa" w:w="446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org.CompanyDisclosure</w:t>
            </w:r>
          </w:p>
        </w:tc>
        <w:tc>
          <w:tcPr>
            <w:tcW w:type="dxa" w:w="178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org</w:t>
            </w:r>
          </w:p>
        </w:tc>
        <w:tc>
          <w:tcPr>
            <w:tcW w:type="dxa" w:w="71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م1 · ملف الشركة و KYC (2/2)</w:t>
            </w:r>
          </w:p>
        </w:tc>
        <w:tc>
          <w:tcPr>
            <w:tcW w:type="dxa" w:w="862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إفصاحات الشركة (G-5)</w:t>
            </w:r>
          </w:p>
        </w:tc>
      </w:tr>
      <w:tr>
        <w:trPr>
          <w:cantSplit/>
        </w:trPr>
        <w:tc>
          <w:tcPr>
            <w:tcW w:type="dxa" w:w="446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org.CompanyExpectedFlow</w:t>
            </w:r>
          </w:p>
        </w:tc>
        <w:tc>
          <w:tcPr>
            <w:tcW w:type="dxa" w:w="178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org</w:t>
            </w:r>
          </w:p>
        </w:tc>
        <w:tc>
          <w:tcPr>
            <w:tcW w:type="dxa" w:w="71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م1 · ملف الشركة و KYC (1/2)</w:t>
            </w:r>
          </w:p>
        </w:tc>
        <w:tc>
          <w:tcPr>
            <w:tcW w:type="dxa" w:w="862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مصفوفة الحركة المتوقعة الشهرية CTP: اتجاه × 5 بنود (G-4)</w:t>
            </w:r>
          </w:p>
        </w:tc>
      </w:tr>
      <w:tr>
        <w:trPr>
          <w:cantSplit/>
        </w:trPr>
        <w:tc>
          <w:tcPr>
            <w:tcW w:type="dxa" w:w="446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org.CompanyKeyRelation</w:t>
            </w:r>
          </w:p>
        </w:tc>
        <w:tc>
          <w:tcPr>
            <w:tcW w:type="dxa" w:w="178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org</w:t>
            </w:r>
          </w:p>
        </w:tc>
        <w:tc>
          <w:tcPr>
            <w:tcW w:type="dxa" w:w="71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م1 · ملف الشركة و KYC (2/2)</w:t>
            </w:r>
          </w:p>
        </w:tc>
        <w:tc>
          <w:tcPr>
            <w:tcW w:type="dxa" w:w="862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أصحاب العلاقة: مدققون، مستشار قانوني، جهات تنظيمية، أبرز العملاء/الموردين (G-6)</w:t>
            </w:r>
          </w:p>
        </w:tc>
      </w:tr>
      <w:tr>
        <w:trPr>
          <w:cantSplit/>
        </w:trPr>
        <w:tc>
          <w:tcPr>
            <w:tcW w:type="dxa" w:w="446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org.CompanyKycFinancialProfile</w:t>
            </w:r>
          </w:p>
        </w:tc>
        <w:tc>
          <w:tcPr>
            <w:tcW w:type="dxa" w:w="178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org</w:t>
            </w:r>
          </w:p>
        </w:tc>
        <w:tc>
          <w:tcPr>
            <w:tcW w:type="dxa" w:w="71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م1 · ملف الشركة و KYC (1/2)</w:t>
            </w:r>
          </w:p>
        </w:tc>
        <w:tc>
          <w:tcPr>
            <w:tcW w:type="dxa" w:w="862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الملف المالي KYC بتاريخ سريان: شريحة الإيرادات والغرض (G-4)</w:t>
            </w:r>
          </w:p>
        </w:tc>
      </w:tr>
      <w:tr>
        <w:trPr>
          <w:cantSplit/>
        </w:trPr>
        <w:tc>
          <w:tcPr>
            <w:tcW w:type="dxa" w:w="446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org.CompanyProfile</w:t>
            </w:r>
          </w:p>
        </w:tc>
        <w:tc>
          <w:tcPr>
            <w:tcW w:type="dxa" w:w="178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org</w:t>
            </w:r>
          </w:p>
        </w:tc>
        <w:tc>
          <w:tcPr>
            <w:tcW w:type="dxa" w:w="71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م1 · ملف الشركة و KYC (1/2)</w:t>
            </w:r>
          </w:p>
        </w:tc>
        <w:tc>
          <w:tcPr>
            <w:tcW w:type="dxa" w:w="862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ملف تعريف الشركة 1:1 (G-1)</w:t>
            </w:r>
          </w:p>
        </w:tc>
      </w:tr>
      <w:tr>
        <w:trPr>
          <w:cantSplit/>
        </w:trPr>
        <w:tc>
          <w:tcPr>
            <w:tcW w:type="dxa" w:w="446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org.CompanyTaxRate</w:t>
            </w:r>
          </w:p>
        </w:tc>
        <w:tc>
          <w:tcPr>
            <w:tcW w:type="dxa" w:w="178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org</w:t>
            </w:r>
          </w:p>
        </w:tc>
        <w:tc>
          <w:tcPr>
            <w:tcW w:type="dxa" w:w="71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م1 · الشركات والحوكمة (1/2)</w:t>
            </w:r>
          </w:p>
        </w:tc>
        <w:tc>
          <w:tcPr>
            <w:tcW w:type="dxa" w:w="862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نسبة ضريبة بتاريخ سريان؛ CompanyId فارغ = افتراضي المشترك (FR-ORG-007، BR-ORG-005)</w:t>
            </w:r>
          </w:p>
        </w:tc>
      </w:tr>
      <w:tr>
        <w:trPr>
          <w:cantSplit/>
        </w:trPr>
        <w:tc>
          <w:tcPr>
            <w:tcW w:type="dxa" w:w="446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org.CompanyWealthSource</w:t>
            </w:r>
          </w:p>
        </w:tc>
        <w:tc>
          <w:tcPr>
            <w:tcW w:type="dxa" w:w="178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org</w:t>
            </w:r>
          </w:p>
        </w:tc>
        <w:tc>
          <w:tcPr>
            <w:tcW w:type="dxa" w:w="71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م1 · ملف الشركة و KYC (2/2)</w:t>
            </w:r>
          </w:p>
        </w:tc>
        <w:tc>
          <w:tcPr>
            <w:tcW w:type="dxa" w:w="862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مصادر الأموال والثروة: قائمة متعددة (G-4)</w:t>
            </w:r>
          </w:p>
        </w:tc>
      </w:tr>
      <w:tr>
        <w:trPr>
          <w:cantSplit/>
        </w:trPr>
        <w:tc>
          <w:tcPr>
            <w:tcW w:type="dxa" w:w="446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org.Department</w:t>
            </w:r>
          </w:p>
        </w:tc>
        <w:tc>
          <w:tcPr>
            <w:tcW w:type="dxa" w:w="178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org</w:t>
            </w:r>
          </w:p>
        </w:tc>
        <w:tc>
          <w:tcPr>
            <w:tcW w:type="dxa" w:w="71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م1 · الشركات والحوكمة (1/2)</w:t>
            </w:r>
          </w:p>
        </w:tc>
        <w:tc>
          <w:tcPr>
            <w:tcW w:type="dxa" w:w="862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الإدارة (FR-ORG-014، BR-ORG-016، Q-ORG-09: على مستوى المشترك وشركة اختيارية)</w:t>
            </w:r>
          </w:p>
        </w:tc>
      </w:tr>
      <w:tr>
        <w:trPr>
          <w:cantSplit/>
        </w:trPr>
        <w:tc>
          <w:tcPr>
            <w:tcW w:type="dxa" w:w="446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org.GoverningBody</w:t>
            </w:r>
          </w:p>
        </w:tc>
        <w:tc>
          <w:tcPr>
            <w:tcW w:type="dxa" w:w="178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org</w:t>
            </w:r>
          </w:p>
        </w:tc>
        <w:tc>
          <w:tcPr>
            <w:tcW w:type="dxa" w:w="71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م1 · الشركات والحوكمة (2/2)</w:t>
            </w:r>
          </w:p>
        </w:tc>
        <w:tc>
          <w:tcPr>
            <w:tcW w:type="dxa" w:w="862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هيئة حوكمة (FR-ORG-019، BR-ORG-009)</w:t>
            </w:r>
          </w:p>
        </w:tc>
      </w:tr>
      <w:tr>
        <w:trPr>
          <w:cantSplit/>
        </w:trPr>
        <w:tc>
          <w:tcPr>
            <w:tcW w:type="dxa" w:w="446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org.Shareholding</w:t>
            </w:r>
          </w:p>
        </w:tc>
        <w:tc>
          <w:tcPr>
            <w:tcW w:type="dxa" w:w="178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org</w:t>
            </w:r>
          </w:p>
        </w:tc>
        <w:tc>
          <w:tcPr>
            <w:tcW w:type="dxa" w:w="71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م1 · الشركات والحوكمة (1/2)</w:t>
            </w:r>
          </w:p>
        </w:tc>
        <w:tc>
          <w:tcPr>
            <w:tcW w:type="dxa" w:w="862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حصة ملكية بتاريخ سريان؛ المالك Party فرد أو جهة (FR-ORG-015..018، BR-ORG-006..008، G-7)</w:t>
            </w:r>
          </w:p>
        </w:tc>
      </w:tr>
      <w:tr>
        <w:trPr>
          <w:cantSplit/>
        </w:trPr>
        <w:tc>
          <w:tcPr>
            <w:tcW w:type="dxa" w:w="446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plat.Plan</w:t>
            </w:r>
          </w:p>
        </w:tc>
        <w:tc>
          <w:tcPr>
            <w:tcW w:type="dxa" w:w="178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plat</w:t>
            </w:r>
          </w:p>
        </w:tc>
        <w:tc>
          <w:tcPr>
            <w:tcW w:type="dxa" w:w="71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م0 · المشترك والاشتراكات والمشغّلون (1/2)</w:t>
            </w:r>
          </w:p>
        </w:tc>
        <w:tc>
          <w:tcPr>
            <w:tcW w:type="dxa" w:w="862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باقة: حزمة وحدات وحدود ناعمة (FR-PLT-003/004، Q-PLT-11)</w:t>
            </w:r>
          </w:p>
        </w:tc>
      </w:tr>
      <w:tr>
        <w:trPr>
          <w:cantSplit/>
        </w:trPr>
        <w:tc>
          <w:tcPr>
            <w:tcW w:type="dxa" w:w="446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plat.PlanModule</w:t>
            </w:r>
          </w:p>
        </w:tc>
        <w:tc>
          <w:tcPr>
            <w:tcW w:type="dxa" w:w="178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plat</w:t>
            </w:r>
          </w:p>
        </w:tc>
        <w:tc>
          <w:tcPr>
            <w:tcW w:type="dxa" w:w="71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م0 · المشترك والاشتراكات والمشغّلون (1/2)</w:t>
            </w:r>
          </w:p>
        </w:tc>
        <w:tc>
          <w:tcPr>
            <w:tcW w:type="dxa" w:w="862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وحدات الباقة (يحل محل Plan.IncludedModules json)</w:t>
            </w:r>
          </w:p>
        </w:tc>
      </w:tr>
      <w:tr>
        <w:trPr>
          <w:cantSplit/>
        </w:trPr>
        <w:tc>
          <w:tcPr>
            <w:tcW w:type="dxa" w:w="446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plat.PlatformOperator</w:t>
            </w:r>
          </w:p>
        </w:tc>
        <w:tc>
          <w:tcPr>
            <w:tcW w:type="dxa" w:w="178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plat</w:t>
            </w:r>
          </w:p>
        </w:tc>
        <w:tc>
          <w:tcPr>
            <w:tcW w:type="dxa" w:w="71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م0 · المشترك والاشتراكات والمشغّلون (1/2)</w:t>
            </w:r>
          </w:p>
        </w:tc>
        <w:tc>
          <w:tcPr>
            <w:tcW w:type="dxa" w:w="862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 يقرؤه تطبيق المشترك (tp_app) · حساب مشغّل المنصة: مخزن هوية منفصل عن AppUser (FR-PLT-006)</w:t>
            </w:r>
          </w:p>
        </w:tc>
      </w:tr>
      <w:tr>
        <w:trPr>
          <w:cantSplit/>
        </w:trPr>
        <w:tc>
          <w:tcPr>
            <w:tcW w:type="dxa" w:w="446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plat.ReservedSubdomain</w:t>
            </w:r>
          </w:p>
        </w:tc>
        <w:tc>
          <w:tcPr>
            <w:tcW w:type="dxa" w:w="178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plat</w:t>
            </w:r>
          </w:p>
        </w:tc>
        <w:tc>
          <w:tcPr>
            <w:tcW w:type="dxa" w:w="71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م0 · المشترك والاشتراكات والمشغّلون (1/2)</w:t>
            </w:r>
          </w:p>
        </w:tc>
        <w:tc>
          <w:tcPr>
            <w:tcW w:type="dxa" w:w="862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عناوين فرعية محجوزة للنظام: www · admin · api · app… (FR-PLT-046)</w:t>
            </w:r>
          </w:p>
        </w:tc>
      </w:tr>
      <w:tr>
        <w:trPr>
          <w:cantSplit/>
        </w:trPr>
        <w:tc>
          <w:tcPr>
            <w:tcW w:type="dxa" w:w="446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plat.SupportAccessGrant</w:t>
            </w:r>
          </w:p>
        </w:tc>
        <w:tc>
          <w:tcPr>
            <w:tcW w:type="dxa" w:w="178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plat</w:t>
            </w:r>
          </w:p>
        </w:tc>
        <w:tc>
          <w:tcPr>
            <w:tcW w:type="dxa" w:w="71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م0 · المشترك والاشتراكات والمشغّلون (2/2)</w:t>
            </w:r>
          </w:p>
        </w:tc>
        <w:tc>
          <w:tcPr>
            <w:tcW w:type="dxa" w:w="862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وصول الدعم المؤقت يفعّله مدير حساب المشترك (FR-PLT-007، BR-PLT-017)</w:t>
            </w:r>
          </w:p>
        </w:tc>
      </w:tr>
      <w:tr>
        <w:trPr>
          <w:cantSplit/>
        </w:trPr>
        <w:tc>
          <w:tcPr>
            <w:tcW w:type="dxa" w:w="446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plat.Tenant</w:t>
            </w:r>
          </w:p>
        </w:tc>
        <w:tc>
          <w:tcPr>
            <w:tcW w:type="dxa" w:w="178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plat</w:t>
            </w:r>
          </w:p>
        </w:tc>
        <w:tc>
          <w:tcPr>
            <w:tcW w:type="dxa" w:w="71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م0 · المشترك والاشتراكات والمشغّلون (2/2)</w:t>
            </w:r>
          </w:p>
        </w:tc>
        <w:tc>
          <w:tcPr>
            <w:tcW w:type="dxa" w:w="862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 وصول مباشر لتطبيق المشترك (يقرأ صفّه عبر plat.v_CurrentTenant) · جذر العزل: المشترك (FR-PLT-001/002/046، BR-PLT-001/002)</w:t>
            </w:r>
          </w:p>
        </w:tc>
      </w:tr>
      <w:tr>
        <w:trPr>
          <w:cantSplit/>
        </w:trPr>
        <w:tc>
          <w:tcPr>
            <w:tcW w:type="dxa" w:w="446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plat.TenantModule</w:t>
            </w:r>
          </w:p>
        </w:tc>
        <w:tc>
          <w:tcPr>
            <w:tcW w:type="dxa" w:w="178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plat</w:t>
            </w:r>
          </w:p>
        </w:tc>
        <w:tc>
          <w:tcPr>
            <w:tcW w:type="dxa" w:w="71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م0 · المشترك والاشتراكات والمشغّلون (2/2)</w:t>
            </w:r>
          </w:p>
        </w:tc>
        <w:tc>
          <w:tcPr>
            <w:tcW w:type="dxa" w:w="862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الوحدات المفعّلة لكل مشترك؛ ملكية المنصة فقط: لا يكتبها تطبيق المشترك ويقرؤها عبر عرض مُحدَّد (DR-01)</w:t>
            </w:r>
          </w:p>
        </w:tc>
      </w:tr>
      <w:tr>
        <w:trPr>
          <w:cantSplit/>
        </w:trPr>
        <w:tc>
          <w:tcPr>
            <w:tcW w:type="dxa" w:w="446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prc.PricingRule</w:t>
            </w:r>
          </w:p>
        </w:tc>
        <w:tc>
          <w:tcPr>
            <w:tcW w:type="dxa" w:w="178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prc</w:t>
            </w:r>
          </w:p>
        </w:tc>
        <w:tc>
          <w:tcPr>
            <w:tcW w:type="dxa" w:w="71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م5 · التسعير وشروط المقارنة (1/2)</w:t>
            </w:r>
          </w:p>
        </w:tc>
        <w:tc>
          <w:tcPr>
            <w:tcW w:type="dxa" w:w="862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قاعدة تسعير بنطاق ووراثة وطرق (FR-PRC-006..017، BR-PRC-006..012، V-PRC-02)</w:t>
            </w:r>
          </w:p>
        </w:tc>
      </w:tr>
      <w:tr>
        <w:trPr>
          <w:cantSplit/>
        </w:trPr>
        <w:tc>
          <w:tcPr>
            <w:tcW w:type="dxa" w:w="446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prc.PricingTier</w:t>
            </w:r>
          </w:p>
        </w:tc>
        <w:tc>
          <w:tcPr>
            <w:tcW w:type="dxa" w:w="178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prc</w:t>
            </w:r>
          </w:p>
        </w:tc>
        <w:tc>
          <w:tcPr>
            <w:tcW w:type="dxa" w:w="71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م5 · التسعير وشروط المقارنة (1/2)</w:t>
            </w:r>
          </w:p>
        </w:tc>
        <w:tc>
          <w:tcPr>
            <w:tcW w:type="dxa" w:w="862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شريحة قاعدة TIERED بالمبلغ و/أو المدة (FR-PRC-003، BR-PRC-002)</w:t>
            </w:r>
          </w:p>
        </w:tc>
      </w:tr>
      <w:tr>
        <w:trPr>
          <w:cantSplit/>
        </w:trPr>
        <w:tc>
          <w:tcPr>
            <w:tcW w:type="dxa" w:w="446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prc.TariffItem</w:t>
            </w:r>
          </w:p>
        </w:tc>
        <w:tc>
          <w:tcPr>
            <w:tcW w:type="dxa" w:w="178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prc</w:t>
            </w:r>
          </w:p>
        </w:tc>
        <w:tc>
          <w:tcPr>
            <w:tcW w:type="dxa" w:w="71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م5 · التسعير وشروط المقارنة (1/2)</w:t>
            </w:r>
          </w:p>
        </w:tc>
        <w:tc>
          <w:tcPr>
            <w:tcW w:type="dxa" w:w="862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بند رسم في جدول التعرفة (FR-PRC-002، BR-PRC-002..005)</w:t>
            </w:r>
          </w:p>
        </w:tc>
      </w:tr>
      <w:tr>
        <w:trPr>
          <w:cantSplit/>
        </w:trPr>
        <w:tc>
          <w:tcPr>
            <w:tcW w:type="dxa" w:w="446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prc.TariffSchedule</w:t>
            </w:r>
          </w:p>
        </w:tc>
        <w:tc>
          <w:tcPr>
            <w:tcW w:type="dxa" w:w="178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prc</w:t>
            </w:r>
          </w:p>
        </w:tc>
        <w:tc>
          <w:tcPr>
            <w:tcW w:type="dxa" w:w="71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م5 · التسعير وشروط المقارنة (1/2)</w:t>
            </w:r>
          </w:p>
        </w:tc>
        <w:tc>
          <w:tcPr>
            <w:tcW w:type="dxa" w:w="862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إصدار جدول رسوم لبنك؛ خاص بتسهيل اختياريًا (FR-PRC-001، BR-PRC-001، V-PRC-01)</w:t>
            </w:r>
          </w:p>
        </w:tc>
      </w:tr>
      <w:tr>
        <w:trPr>
          <w:cantSplit/>
        </w:trPr>
        <w:tc>
          <w:tcPr>
            <w:tcW w:type="dxa" w:w="446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prc.TariffTier</w:t>
            </w:r>
          </w:p>
        </w:tc>
        <w:tc>
          <w:tcPr>
            <w:tcW w:type="dxa" w:w="178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prc</w:t>
            </w:r>
          </w:p>
        </w:tc>
        <w:tc>
          <w:tcPr>
            <w:tcW w:type="dxa" w:w="71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م5 · التسعير وشروط المقارنة (2/2)</w:t>
            </w:r>
          </w:p>
        </w:tc>
        <w:tc>
          <w:tcPr>
            <w:tcW w:type="dxa" w:w="862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شريحة بند تعرفة بالمبلغ و/أو المدة (FR-PRC-003، BR-PRC-002)</w:t>
            </w:r>
          </w:p>
        </w:tc>
      </w:tr>
      <w:tr>
        <w:trPr>
          <w:cantSplit/>
        </w:trPr>
        <w:tc>
          <w:tcPr>
            <w:tcW w:type="dxa" w:w="446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pty.Address</w:t>
            </w:r>
          </w:p>
        </w:tc>
        <w:tc>
          <w:tcPr>
            <w:tcW w:type="dxa" w:w="178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pty</w:t>
            </w:r>
          </w:p>
        </w:tc>
        <w:tc>
          <w:tcPr>
            <w:tcW w:type="dxa" w:w="71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م1 · الأشخاص والهوية و KYC (1/3)</w:t>
            </w:r>
          </w:p>
        </w:tc>
        <w:tc>
          <w:tcPr>
            <w:tcW w:type="dxa" w:w="862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عنوان متعدد الملكية: OwnerType+OwnerId بلا FK (مزوّد المالك يتحقق منه التطبيق) (FR-PTY-011، BR-PTY-015)</w:t>
            </w:r>
          </w:p>
        </w:tc>
      </w:tr>
      <w:tr>
        <w:trPr>
          <w:cantSplit/>
        </w:trPr>
        <w:tc>
          <w:tcPr>
            <w:tcW w:type="dxa" w:w="446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pty.ContactMethod</w:t>
            </w:r>
          </w:p>
        </w:tc>
        <w:tc>
          <w:tcPr>
            <w:tcW w:type="dxa" w:w="178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pty</w:t>
            </w:r>
          </w:p>
        </w:tc>
        <w:tc>
          <w:tcPr>
            <w:tcW w:type="dxa" w:w="71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م1 · الأشخاص والهوية و KYC (1/3)</w:t>
            </w:r>
          </w:p>
        </w:tc>
        <w:tc>
          <w:tcPr>
            <w:tcW w:type="dxa" w:w="862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وسيلة اتصال متعددة الملكية (FR-PTY-012، BR-PTY-015)</w:t>
            </w:r>
          </w:p>
        </w:tc>
      </w:tr>
      <w:tr>
        <w:trPr>
          <w:cantSplit/>
        </w:trPr>
        <w:tc>
          <w:tcPr>
            <w:tcW w:type="dxa" w:w="446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pty.CustomFieldDefinition</w:t>
            </w:r>
          </w:p>
        </w:tc>
        <w:tc>
          <w:tcPr>
            <w:tcW w:type="dxa" w:w="178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pty</w:t>
            </w:r>
          </w:p>
        </w:tc>
        <w:tc>
          <w:tcPr>
            <w:tcW w:type="dxa" w:w="71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م1 · الأشخاص والهوية و KYC (1/3)</w:t>
            </w:r>
          </w:p>
        </w:tc>
        <w:tc>
          <w:tcPr>
            <w:tcW w:type="dxa" w:w="862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تعريف حقل مخصص (FR-PTY-013، BR-PTY-014)</w:t>
            </w:r>
          </w:p>
        </w:tc>
      </w:tr>
      <w:tr>
        <w:trPr>
          <w:cantSplit/>
        </w:trPr>
        <w:tc>
          <w:tcPr>
            <w:tcW w:type="dxa" w:w="446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pty.IdentityDocument</w:t>
            </w:r>
          </w:p>
        </w:tc>
        <w:tc>
          <w:tcPr>
            <w:tcW w:type="dxa" w:w="178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pty</w:t>
            </w:r>
          </w:p>
        </w:tc>
        <w:tc>
          <w:tcPr>
            <w:tcW w:type="dxa" w:w="71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م1 · الأشخاص والهوية و KYC (1/3)</w:t>
            </w:r>
          </w:p>
        </w:tc>
        <w:tc>
          <w:tcPr>
            <w:tcW w:type="dxa" w:w="862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وثيقة هوية؛ الرقم مشفّر والصور مستندات مقيَّدة (FR-PTY-004..009، FR-PTY-020..022، BR-PTY-002..008)</w:t>
            </w:r>
          </w:p>
        </w:tc>
      </w:tr>
      <w:tr>
        <w:trPr>
          <w:cantSplit/>
        </w:trPr>
        <w:tc>
          <w:tcPr>
            <w:tcW w:type="dxa" w:w="446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pty.KycProfile</w:t>
            </w:r>
          </w:p>
        </w:tc>
        <w:tc>
          <w:tcPr>
            <w:tcW w:type="dxa" w:w="178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pty</w:t>
            </w:r>
          </w:p>
        </w:tc>
        <w:tc>
          <w:tcPr>
            <w:tcW w:type="dxa" w:w="71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م1 · الأشخاص والهوية و KYC (2/3)</w:t>
            </w:r>
          </w:p>
        </w:tc>
        <w:tc>
          <w:tcPr>
            <w:tcW w:type="dxa" w:w="862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قائمة اكتمال KYC لكل بنك ودور (FR-PTY-023، BR-PTY-012..013، G-8، G-14)</w:t>
            </w:r>
          </w:p>
        </w:tc>
      </w:tr>
      <w:tr>
        <w:trPr>
          <w:cantSplit/>
        </w:trPr>
        <w:tc>
          <w:tcPr>
            <w:tcW w:type="dxa" w:w="446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pty.KycProfileItem</w:t>
            </w:r>
          </w:p>
        </w:tc>
        <w:tc>
          <w:tcPr>
            <w:tcW w:type="dxa" w:w="178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pty</w:t>
            </w:r>
          </w:p>
        </w:tc>
        <w:tc>
          <w:tcPr>
            <w:tcW w:type="dxa" w:w="71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م1 · الأشخاص والهوية و KYC (2/3)</w:t>
            </w:r>
          </w:p>
        </w:tc>
        <w:tc>
          <w:tcPr>
            <w:tcW w:type="dxa" w:w="862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بند اكتمال (FR-PTY-023، FR-PTY-024، G-14)</w:t>
            </w:r>
          </w:p>
        </w:tc>
      </w:tr>
      <w:tr>
        <w:trPr>
          <w:cantSplit/>
        </w:trPr>
        <w:tc>
          <w:tcPr>
            <w:tcW w:type="dxa" w:w="446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pty.KycProfileItemLegalForm</w:t>
            </w:r>
          </w:p>
        </w:tc>
        <w:tc>
          <w:tcPr>
            <w:tcW w:type="dxa" w:w="178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pty</w:t>
            </w:r>
          </w:p>
        </w:tc>
        <w:tc>
          <w:tcPr>
            <w:tcW w:type="dxa" w:w="71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م1 · الأشخاص والهوية و KYC (2/3)</w:t>
            </w:r>
          </w:p>
        </w:tc>
        <w:tc>
          <w:tcPr>
            <w:tcW w:type="dxa" w:w="862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شروط ظهور البند بحسب الشكل القانوني؛ غياب الصفوف = ينطبق على الكل (G-15)</w:t>
            </w:r>
          </w:p>
        </w:tc>
      </w:tr>
      <w:tr>
        <w:trPr>
          <w:cantSplit/>
        </w:trPr>
        <w:tc>
          <w:tcPr>
            <w:tcW w:type="dxa" w:w="446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pty.Party</w:t>
            </w:r>
          </w:p>
        </w:tc>
        <w:tc>
          <w:tcPr>
            <w:tcW w:type="dxa" w:w="178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pty</w:t>
            </w:r>
          </w:p>
        </w:tc>
        <w:tc>
          <w:tcPr>
            <w:tcW w:type="dxa" w:w="71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م1 · الأشخاص والهوية و KYC (2/3)</w:t>
            </w:r>
          </w:p>
        </w:tc>
        <w:tc>
          <w:tcPr>
            <w:tcW w:type="dxa" w:w="862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شخص أو جهة؛ لا دور مخزَّن (FR-PTY-001..003، BR-PTY-001..004، BR-PTY-016..018)</w:t>
            </w:r>
          </w:p>
        </w:tc>
      </w:tr>
      <w:tr>
        <w:trPr>
          <w:cantSplit/>
        </w:trPr>
        <w:tc>
          <w:tcPr>
            <w:tcW w:type="dxa" w:w="446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pty.PartyCompliance</w:t>
            </w:r>
          </w:p>
        </w:tc>
        <w:tc>
          <w:tcPr>
            <w:tcW w:type="dxa" w:w="178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pty</w:t>
            </w:r>
          </w:p>
        </w:tc>
        <w:tc>
          <w:tcPr>
            <w:tcW w:type="dxa" w:w="71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م1 · الأشخاص والهوية و KYC (3/3)</w:t>
            </w:r>
          </w:p>
        </w:tc>
        <w:tc>
          <w:tcPr>
            <w:tcW w:type="dxa" w:w="862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إقرارات امتثال بتاريخ لكل شخص بصفته: PEP، عقوبات، تحقيقات، حصانة (G-9)</w:t>
            </w:r>
          </w:p>
        </w:tc>
      </w:tr>
      <w:tr>
        <w:trPr>
          <w:cantSplit/>
        </w:trPr>
        <w:tc>
          <w:tcPr>
            <w:tcW w:type="dxa" w:w="446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pty.PartyCustomField</w:t>
            </w:r>
          </w:p>
        </w:tc>
        <w:tc>
          <w:tcPr>
            <w:tcW w:type="dxa" w:w="178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pty</w:t>
            </w:r>
          </w:p>
        </w:tc>
        <w:tc>
          <w:tcPr>
            <w:tcW w:type="dxa" w:w="71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م1 · الأشخاص والهوية و KYC (3/3)</w:t>
            </w:r>
          </w:p>
        </w:tc>
        <w:tc>
          <w:tcPr>
            <w:tcW w:type="dxa" w:w="862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قيمة حقل مخصص لشخص (FR-PTY-013، FR-PTY-014)</w:t>
            </w:r>
          </w:p>
        </w:tc>
      </w:tr>
      <w:tr>
        <w:trPr>
          <w:cantSplit/>
        </w:trPr>
        <w:tc>
          <w:tcPr>
            <w:tcW w:type="dxa" w:w="446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pty.TaxIdentity</w:t>
            </w:r>
          </w:p>
        </w:tc>
        <w:tc>
          <w:tcPr>
            <w:tcW w:type="dxa" w:w="178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pty</w:t>
            </w:r>
          </w:p>
        </w:tc>
        <w:tc>
          <w:tcPr>
            <w:tcW w:type="dxa" w:w="71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م1 · الأشخاص والهوية و KYC (3/3)</w:t>
            </w:r>
          </w:p>
        </w:tc>
        <w:tc>
          <w:tcPr>
            <w:tcW w:type="dxa" w:w="862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الهوية الضريبية والإقرار الضريبي FATCA/CRS (G-13)</w:t>
            </w:r>
          </w:p>
        </w:tc>
      </w:tr>
      <w:tr>
        <w:trPr>
          <w:cantSplit/>
        </w:trPr>
        <w:tc>
          <w:tcPr>
            <w:tcW w:type="dxa" w:w="446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ref.Country</w:t>
            </w:r>
          </w:p>
        </w:tc>
        <w:tc>
          <w:tcPr>
            <w:tcW w:type="dxa" w:w="178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ref</w:t>
            </w:r>
          </w:p>
        </w:tc>
        <w:tc>
          <w:tcPr>
            <w:tcW w:type="dxa" w:w="71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م4 · المراجع العامة (ref)</w:t>
            </w:r>
          </w:p>
        </w:tc>
        <w:tc>
          <w:tcPr>
            <w:tcW w:type="dxa" w:w="862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الدولة: مرجع عالمي للقراءة فقط يديره مشغّل المنصة (FR-CAT-026، BR-CAT-018، BR-CAT-015)</w:t>
            </w:r>
          </w:p>
        </w:tc>
      </w:tr>
      <w:tr>
        <w:trPr>
          <w:cantSplit/>
        </w:trPr>
        <w:tc>
          <w:tcPr>
            <w:tcW w:type="dxa" w:w="446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ref.Currency</w:t>
            </w:r>
          </w:p>
        </w:tc>
        <w:tc>
          <w:tcPr>
            <w:tcW w:type="dxa" w:w="178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ref</w:t>
            </w:r>
          </w:p>
        </w:tc>
        <w:tc>
          <w:tcPr>
            <w:tcW w:type="dxa" w:w="71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م4 · المراجع العامة (ref)</w:t>
            </w:r>
          </w:p>
        </w:tc>
        <w:tc>
          <w:tcPr>
            <w:tcW w:type="dxa" w:w="862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العملة: مرجع عالمي ISO 4217 للقراءة فقط (FR-CAT-021، Q-CAT-08)</w:t>
            </w:r>
          </w:p>
        </w:tc>
      </w:tr>
      <w:tr>
        <w:trPr>
          <w:cantSplit/>
        </w:trPr>
        <w:tc>
          <w:tcPr>
            <w:tcW w:type="dxa" w:w="446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ref.Incoterm</w:t>
            </w:r>
          </w:p>
        </w:tc>
        <w:tc>
          <w:tcPr>
            <w:tcW w:type="dxa" w:w="178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ref</w:t>
            </w:r>
          </w:p>
        </w:tc>
        <w:tc>
          <w:tcPr>
            <w:tcW w:type="dxa" w:w="71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م4 · المراجع العامة (ref)</w:t>
            </w:r>
          </w:p>
        </w:tc>
        <w:tc>
          <w:tcPr>
            <w:tcW w:type="dxa" w:w="862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مصطلح تسليم Incoterms: مرجع عالمي للقراءة فقط يديره المشغّل؛ القديم LEGACY للعرض لا للاختيار (FR-LCT-013، FR-CAT-021، BR-CAT-015)</w:t>
            </w:r>
          </w:p>
        </w:tc>
      </w:tr>
      <w:tr>
        <w:trPr>
          <w:cantSplit/>
        </w:trPr>
        <w:tc>
          <w:tcPr>
            <w:tcW w:type="dxa" w:w="446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ref.UcpArticle</w:t>
            </w:r>
          </w:p>
        </w:tc>
        <w:tc>
          <w:tcPr>
            <w:tcW w:type="dxa" w:w="178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ref</w:t>
            </w:r>
          </w:p>
        </w:tc>
        <w:tc>
          <w:tcPr>
            <w:tcW w:type="dxa" w:w="71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م4 · المراجع العامة (ref)</w:t>
            </w:r>
          </w:p>
        </w:tc>
        <w:tc>
          <w:tcPr>
            <w:tcW w:type="dxa" w:w="862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مادة UCP 600 مرجعية: TenantId الفارغ = صف عام للقراءة فقط ينشره المشغّل وحده (FR-LCT-006، BR-LCT-018، BR-PLT-001)</w:t>
            </w:r>
          </w:p>
        </w:tc>
      </w:tr>
      <w:tr>
        <w:trPr>
          <w:cantSplit/>
        </w:trPr>
        <w:tc>
          <w:tcPr>
            <w:tcW w:type="dxa" w:w="446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78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sec</w:t>
            </w:r>
          </w:p>
        </w:tc>
        <w:tc>
          <w:tcPr>
            <w:tcW w:type="dxa" w:w="71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م0 · الهوية والصلاحيات (1/2)</w:t>
            </w:r>
          </w:p>
        </w:tc>
        <w:tc>
          <w:tcPr>
            <w:tcW w:type="dxa" w:w="862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مستخدم بوابة المشترك (FR-PLT-010..016، BR-PLT-004..006)</w:t>
            </w:r>
          </w:p>
        </w:tc>
      </w:tr>
      <w:tr>
        <w:trPr>
          <w:cantSplit/>
        </w:trPr>
        <w:tc>
          <w:tcPr>
            <w:tcW w:type="dxa" w:w="446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sec.ExternalIdentity</w:t>
            </w:r>
          </w:p>
        </w:tc>
        <w:tc>
          <w:tcPr>
            <w:tcW w:type="dxa" w:w="178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sec</w:t>
            </w:r>
          </w:p>
        </w:tc>
        <w:tc>
          <w:tcPr>
            <w:tcW w:type="dxa" w:w="71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م0 · الهوية والصلاحيات (2/2)</w:t>
            </w:r>
          </w:p>
        </w:tc>
        <w:tc>
          <w:tcPr>
            <w:tcW w:type="dxa" w:w="862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ربط هوية خارجية OIDC/Entra بالمستخدم؛ جاهزية فقط (FR-PLT-015، §11)</w:t>
            </w:r>
          </w:p>
        </w:tc>
      </w:tr>
      <w:tr>
        <w:trPr>
          <w:cantSplit/>
        </w:trPr>
        <w:tc>
          <w:tcPr>
            <w:tcW w:type="dxa" w:w="446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sec.KeyEvent</w:t>
            </w:r>
          </w:p>
        </w:tc>
        <w:tc>
          <w:tcPr>
            <w:tcW w:type="dxa" w:w="178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sec</w:t>
            </w:r>
          </w:p>
        </w:tc>
        <w:tc>
          <w:tcPr>
            <w:tcW w:type="dxa" w:w="71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م0 · الجلسات والمفاتيح والمحاولات (2/2)</w:t>
            </w:r>
          </w:p>
        </w:tc>
        <w:tc>
          <w:tcPr>
            <w:tcW w:type="dxa" w:w="862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سجل أحداث المفاتيح: إنشاء وتدوير وإبطال (FR-PLT-037؛ شدة عالية BR-PLT-009)</w:t>
            </w:r>
          </w:p>
        </w:tc>
      </w:tr>
      <w:tr>
        <w:trPr>
          <w:cantSplit/>
        </w:trPr>
        <w:tc>
          <w:tcPr>
            <w:tcW w:type="dxa" w:w="446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sec.LoginAttempt</w:t>
            </w:r>
          </w:p>
        </w:tc>
        <w:tc>
          <w:tcPr>
            <w:tcW w:type="dxa" w:w="178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sec</w:t>
            </w:r>
          </w:p>
        </w:tc>
        <w:tc>
          <w:tcPr>
            <w:tcW w:type="dxa" w:w="71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م0 · الجلسات والمفاتيح والمحاولات (1/2)</w:t>
            </w:r>
          </w:p>
        </w:tc>
        <w:tc>
          <w:tcPr>
            <w:tcW w:type="dxa" w:w="862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محاولات الدخول لخنق المعدل ونوافذ القفل؛ الأثر الدائم في aud.AuditLog (BR-PLT-005)</w:t>
            </w:r>
          </w:p>
        </w:tc>
      </w:tr>
      <w:tr>
        <w:trPr>
          <w:cantSplit/>
        </w:trPr>
        <w:tc>
          <w:tcPr>
            <w:tcW w:type="dxa" w:w="446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sec.MfaRecoveryCode</w:t>
            </w:r>
          </w:p>
        </w:tc>
        <w:tc>
          <w:tcPr>
            <w:tcW w:type="dxa" w:w="178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sec</w:t>
            </w:r>
          </w:p>
        </w:tc>
        <w:tc>
          <w:tcPr>
            <w:tcW w:type="dxa" w:w="71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م0 · الجلسات والمفاتيح والمحاولات (1/2)</w:t>
            </w:r>
          </w:p>
        </w:tc>
        <w:tc>
          <w:tcPr>
            <w:tcW w:type="dxa" w:w="862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10 رموز استرداد لمرة واحدة مُجزَّأة (FR-PLT-011، BR-PLT-006؛ بديل AppUser.RecoveryCodesHash json)</w:t>
            </w:r>
          </w:p>
        </w:tc>
      </w:tr>
      <w:tr>
        <w:trPr>
          <w:cantSplit/>
        </w:trPr>
        <w:tc>
          <w:tcPr>
            <w:tcW w:type="dxa" w:w="446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sec.Permission</w:t>
            </w:r>
          </w:p>
        </w:tc>
        <w:tc>
          <w:tcPr>
            <w:tcW w:type="dxa" w:w="178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sec</w:t>
            </w:r>
          </w:p>
        </w:tc>
        <w:tc>
          <w:tcPr>
            <w:tcW w:type="dxa" w:w="71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م0 · الهوية والصلاحيات (1/2)</w:t>
            </w:r>
          </w:p>
        </w:tc>
        <w:tc>
          <w:tcPr>
            <w:tcW w:type="dxa" w:w="862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كتالوج الصلاحيات تملكه المنصة؛ لا يضيف المشترك صلاحية (FR-PLT-017)</w:t>
            </w:r>
          </w:p>
        </w:tc>
      </w:tr>
      <w:tr>
        <w:trPr>
          <w:cantSplit/>
        </w:trPr>
        <w:tc>
          <w:tcPr>
            <w:tcW w:type="dxa" w:w="446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sec.Role</w:t>
            </w:r>
          </w:p>
        </w:tc>
        <w:tc>
          <w:tcPr>
            <w:tcW w:type="dxa" w:w="178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sec</w:t>
            </w:r>
          </w:p>
        </w:tc>
        <w:tc>
          <w:tcPr>
            <w:tcW w:type="dxa" w:w="71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م0 · الهوية والصلاحيات (1/2)</w:t>
            </w:r>
          </w:p>
        </w:tc>
        <w:tc>
          <w:tcPr>
            <w:tcW w:type="dxa" w:w="862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دور يخصصه المشترك أو مبذور (FR-PLT-018)</w:t>
            </w:r>
          </w:p>
        </w:tc>
      </w:tr>
      <w:tr>
        <w:trPr>
          <w:cantSplit/>
        </w:trPr>
        <w:tc>
          <w:tcPr>
            <w:tcW w:type="dxa" w:w="446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sec.RolePermission</w:t>
            </w:r>
          </w:p>
        </w:tc>
        <w:tc>
          <w:tcPr>
            <w:tcW w:type="dxa" w:w="178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sec</w:t>
            </w:r>
          </w:p>
        </w:tc>
        <w:tc>
          <w:tcPr>
            <w:tcW w:type="dxa" w:w="71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م0 · الهوية والصلاحيات (1/2)</w:t>
            </w:r>
          </w:p>
        </w:tc>
        <w:tc>
          <w:tcPr>
            <w:tcW w:type="dxa" w:w="862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ربط دور-صلاحية؛ PERMISSION_LOCKED يُفرض في الخدمة (BR-PLT-019)</w:t>
            </w:r>
          </w:p>
        </w:tc>
      </w:tr>
      <w:tr>
        <w:trPr>
          <w:cantSplit/>
        </w:trPr>
        <w:tc>
          <w:tcPr>
            <w:tcW w:type="dxa" w:w="446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sec.TenantKey</w:t>
            </w:r>
          </w:p>
        </w:tc>
        <w:tc>
          <w:tcPr>
            <w:tcW w:type="dxa" w:w="178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sec</w:t>
            </w:r>
          </w:p>
        </w:tc>
        <w:tc>
          <w:tcPr>
            <w:tcW w:type="dxa" w:w="71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م0 · الجلسات والمفاتيح والمحاولات (2/2)</w:t>
            </w:r>
          </w:p>
        </w:tc>
        <w:tc>
          <w:tcPr>
            <w:tcW w:type="dxa" w:w="862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سجل مفاتيح المشترك؛ المفتاح ملفوف بمفتاح رئيسي خارج القاعدة (FR-PLT-037، BR-PLT-015)</w:t>
            </w:r>
          </w:p>
        </w:tc>
      </w:tr>
      <w:tr>
        <w:trPr>
          <w:cantSplit/>
        </w:trPr>
        <w:tc>
          <w:tcPr>
            <w:tcW w:type="dxa" w:w="446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sec.UserCompanyScope</w:t>
            </w:r>
          </w:p>
        </w:tc>
        <w:tc>
          <w:tcPr>
            <w:tcW w:type="dxa" w:w="178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sec</w:t>
            </w:r>
          </w:p>
        </w:tc>
        <w:tc>
          <w:tcPr>
            <w:tcW w:type="dxa" w:w="71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م0 · الهوية والصلاحيات (2/2)</w:t>
            </w:r>
          </w:p>
        </w:tc>
        <w:tc>
          <w:tcPr>
            <w:tcW w:type="dxa" w:w="862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شركات يراها المستخدم؛ تُهمل إن كان CompanyScopeMode=ALL (FR-PLT-020)</w:t>
            </w:r>
          </w:p>
        </w:tc>
      </w:tr>
      <w:tr>
        <w:trPr>
          <w:cantSplit/>
        </w:trPr>
        <w:tc>
          <w:tcPr>
            <w:tcW w:type="dxa" w:w="446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sec.UserPasswordHistory</w:t>
            </w:r>
          </w:p>
        </w:tc>
        <w:tc>
          <w:tcPr>
            <w:tcW w:type="dxa" w:w="178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sec</w:t>
            </w:r>
          </w:p>
        </w:tc>
        <w:tc>
          <w:tcPr>
            <w:tcW w:type="dxa" w:w="71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م0 · الجلسات والمفاتيح والمحاولات (2/2)</w:t>
            </w:r>
          </w:p>
        </w:tc>
        <w:tc>
          <w:tcPr>
            <w:tcW w:type="dxa" w:w="862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آخر 5 كلمات مرور لمنع إعادة استعمالها (BR-PLT-004)</w:t>
            </w:r>
          </w:p>
        </w:tc>
      </w:tr>
      <w:tr>
        <w:trPr>
          <w:cantSplit/>
        </w:trPr>
        <w:tc>
          <w:tcPr>
            <w:tcW w:type="dxa" w:w="446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sec.UserRole</w:t>
            </w:r>
          </w:p>
        </w:tc>
        <w:tc>
          <w:tcPr>
            <w:tcW w:type="dxa" w:w="178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sec</w:t>
            </w:r>
          </w:p>
        </w:tc>
        <w:tc>
          <w:tcPr>
            <w:tcW w:type="dxa" w:w="71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م0 · الهوية والصلاحيات (2/2)</w:t>
            </w:r>
          </w:p>
        </w:tc>
        <w:tc>
          <w:tcPr>
            <w:tcW w:type="dxa" w:w="862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ربط مستخدم-دور؛ اتحاد الصلاحيات (BR-PLT-007، FR-PLT-018)</w:t>
            </w:r>
          </w:p>
        </w:tc>
      </w:tr>
      <w:tr>
        <w:trPr>
          <w:cantSplit/>
        </w:trPr>
        <w:tc>
          <w:tcPr>
            <w:tcW w:type="dxa" w:w="446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sec.UserSession</w:t>
            </w:r>
          </w:p>
        </w:tc>
        <w:tc>
          <w:tcPr>
            <w:tcW w:type="dxa" w:w="178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sec</w:t>
            </w:r>
          </w:p>
        </w:tc>
        <w:tc>
          <w:tcPr>
            <w:tcW w:type="dxa" w:w="71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م0 · الجلسات والمفاتيح والمحاولات (1/2)</w:t>
            </w:r>
          </w:p>
        </w:tc>
        <w:tc>
          <w:tcPr>
            <w:tcW w:type="dxa" w:w="862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جلسات المستخدم: خمول 30 دقيقة ومطلقة 12 ساعة (FR-PLT-014)</w:t>
            </w:r>
          </w:p>
        </w:tc>
      </w:tr>
      <w:tr>
        <w:trPr>
          <w:cantSplit/>
        </w:trPr>
        <w:tc>
          <w:tcPr>
            <w:tcW w:type="dxa" w:w="446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sec.UserToken</w:t>
            </w:r>
          </w:p>
        </w:tc>
        <w:tc>
          <w:tcPr>
            <w:tcW w:type="dxa" w:w="178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sec</w:t>
            </w:r>
          </w:p>
        </w:tc>
        <w:tc>
          <w:tcPr>
            <w:tcW w:type="dxa" w:w="71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م0 · الجلسات والمفاتيح والمحاولات (1/2)</w:t>
            </w:r>
          </w:p>
        </w:tc>
        <w:tc>
          <w:tcPr>
            <w:tcW w:type="dxa" w:w="862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رابط دعوة (48 ساعة) أو إعادة تعيين كلمة المرور (30 دقيقة) لمرة واحدة (FR-PLT-013)</w:t>
            </w:r>
          </w:p>
        </w:tc>
      </w:tr>
      <w:tr>
        <w:trPr>
          <w:cantSplit/>
        </w:trPr>
        <w:tc>
          <w:tcPr>
            <w:tcW w:type="dxa" w:w="446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wfl.ExternalPhase</w:t>
            </w:r>
          </w:p>
        </w:tc>
        <w:tc>
          <w:tcPr>
            <w:tcW w:type="dxa" w:w="178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wfl</w:t>
            </w:r>
          </w:p>
        </w:tc>
        <w:tc>
          <w:tcPr>
            <w:tcW w:type="dxa" w:w="71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م6 · قوالب دورات العمل (1/3)</w:t>
            </w:r>
          </w:p>
        </w:tc>
        <w:tc>
          <w:tcPr>
            <w:tcW w:type="dxa" w:w="862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المرحلة الظاهرة للطالب: DRAFT · IN_APPROVAL · RETURNED · AWAITING_REQUESTER · IN_PROGRESS · COMPLETED · REJECTED · CANCELLED (BR-WFL-011، D-6)</w:t>
            </w:r>
          </w:p>
        </w:tc>
      </w:tr>
      <w:tr>
        <w:trPr>
          <w:cantSplit/>
        </w:trPr>
        <w:tc>
          <w:tcPr>
            <w:tcW w:type="dxa" w:w="446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wfl.HookExecution</w:t>
            </w:r>
          </w:p>
        </w:tc>
        <w:tc>
          <w:tcPr>
            <w:tcW w:type="dxa" w:w="178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wfl</w:t>
            </w:r>
          </w:p>
        </w:tc>
        <w:tc>
          <w:tcPr>
            <w:tcW w:type="dxa" w:w="71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م6 · الطلبات وإجراءاتها (2/3)</w:t>
            </w:r>
          </w:p>
        </w:tc>
        <w:tc>
          <w:tcPr>
            <w:tcW w:type="dxa" w:w="862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تنفيذ خطاف بمفتاح عدم تكرار يعيد النتيجة المخزَّنة (FR-WFL-021، BR-WFL-015)</w:t>
            </w:r>
          </w:p>
        </w:tc>
      </w:tr>
      <w:tr>
        <w:trPr>
          <w:cantSplit/>
        </w:trPr>
        <w:tc>
          <w:tcPr>
            <w:tcW w:type="dxa" w:w="446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w:t>
            </w:r>
          </w:p>
        </w:tc>
        <w:tc>
          <w:tcPr>
            <w:tcW w:type="dxa" w:w="178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wfl</w:t>
            </w:r>
          </w:p>
        </w:tc>
        <w:tc>
          <w:tcPr>
            <w:tcW w:type="dxa" w:w="71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م6 · الطلبات وإجراءاتها (1/3)</w:t>
            </w:r>
          </w:p>
        </w:tc>
        <w:tc>
          <w:tcPr>
            <w:tcW w:type="dxa" w:w="862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الطلب: أكثر الجداول ازدحامًا؛ الحالة الداخلية منفصلة عن المرحلة الظاهرة (FR-WFL-001، FR-REQ-009، D-6، BR-REQ-002/003)</w:t>
            </w:r>
          </w:p>
        </w:tc>
      </w:tr>
      <w:tr>
        <w:trPr>
          <w:cantSplit/>
        </w:trPr>
        <w:tc>
          <w:tcPr>
            <w:tcW w:type="dxa" w:w="446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wfl.RequestAction</w:t>
            </w:r>
          </w:p>
        </w:tc>
        <w:tc>
          <w:tcPr>
            <w:tcW w:type="dxa" w:w="178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wfl</w:t>
            </w:r>
          </w:p>
        </w:tc>
        <w:tc>
          <w:tcPr>
            <w:tcW w:type="dxa" w:w="71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م6 · الطلبات وإجراءاتها (2/3)</w:t>
            </w:r>
          </w:p>
        </w:tc>
        <w:tc>
          <w:tcPr>
            <w:tcW w:type="dxa" w:w="862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سجل إجراءات للإضافة فقط يغطي كل حدث؛ غير AuditLog الأمني (FR-WFL-033/034، §6.2)</w:t>
            </w:r>
          </w:p>
        </w:tc>
      </w:tr>
      <w:tr>
        <w:trPr>
          <w:cantSplit/>
        </w:trPr>
        <w:tc>
          <w:tcPr>
            <w:tcW w:type="dxa" w:w="446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wfl.RequestApproval</w:t>
            </w:r>
          </w:p>
        </w:tc>
        <w:tc>
          <w:tcPr>
            <w:tcW w:type="dxa" w:w="178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wfl</w:t>
            </w:r>
          </w:p>
        </w:tc>
        <w:tc>
          <w:tcPr>
            <w:tcW w:type="dxa" w:w="71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م6 · الطلبات وإجراءاتها (2/3)</w:t>
            </w:r>
          </w:p>
        </w:tc>
        <w:tc>
          <w:tcPr>
            <w:tcW w:type="dxa" w:w="862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خانة موافقة تُنشأ لكل دخول ودورة؛ الدورة الجديدة بخانات جديدة (BR-WFL-003، FR-WFL-007/008/011)</w:t>
            </w:r>
          </w:p>
        </w:tc>
      </w:tr>
      <w:tr>
        <w:trPr>
          <w:cantSplit/>
        </w:trPr>
        <w:tc>
          <w:tcPr>
            <w:tcW w:type="dxa" w:w="446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wfl.RequestAttachment</w:t>
            </w:r>
          </w:p>
        </w:tc>
        <w:tc>
          <w:tcPr>
            <w:tcW w:type="dxa" w:w="178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wfl</w:t>
            </w:r>
          </w:p>
        </w:tc>
        <w:tc>
          <w:tcPr>
            <w:tcW w:type="dxa" w:w="71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م6 · الطلبات وإجراءاتها (1/3)</w:t>
            </w:r>
          </w:p>
        </w:tc>
        <w:tc>
          <w:tcPr>
            <w:tcW w:type="dxa" w:w="862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ربط مستند بطلب ينشئ DocumentLink (EntityType=Request) (FR-REQ-006، BR-REQ-005)</w:t>
            </w:r>
          </w:p>
        </w:tc>
      </w:tr>
      <w:tr>
        <w:trPr>
          <w:cantSplit/>
        </w:trPr>
        <w:tc>
          <w:tcPr>
            <w:tcW w:type="dxa" w:w="446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wfl.RequestComment</w:t>
            </w:r>
          </w:p>
        </w:tc>
        <w:tc>
          <w:tcPr>
            <w:tcW w:type="dxa" w:w="178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wfl</w:t>
            </w:r>
          </w:p>
        </w:tc>
        <w:tc>
          <w:tcPr>
            <w:tcW w:type="dxa" w:w="71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م6 · الطلبات وإجراءاتها (1/3)</w:t>
            </w:r>
          </w:p>
        </w:tc>
        <w:tc>
          <w:tcPr>
            <w:tcW w:type="dxa" w:w="862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تعليق ظاهر للطالب أو داخلي؛ يمنع التطبيق تعديله، والسحب يترك الأصل (FR-REQ-017، BR-REQ-014)</w:t>
            </w:r>
          </w:p>
        </w:tc>
      </w:tr>
      <w:tr>
        <w:trPr>
          <w:cantSplit/>
        </w:trPr>
        <w:tc>
          <w:tcPr>
            <w:tcW w:type="dxa" w:w="446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wfl.RequestExternalRef</w:t>
            </w:r>
          </w:p>
        </w:tc>
        <w:tc>
          <w:tcPr>
            <w:tcW w:type="dxa" w:w="178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wfl</w:t>
            </w:r>
          </w:p>
        </w:tc>
        <w:tc>
          <w:tcPr>
            <w:tcW w:type="dxa" w:w="71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م6 · الطلبات وإجراءاتها (1/3)</w:t>
            </w:r>
          </w:p>
        </w:tc>
        <w:tc>
          <w:tcPr>
            <w:tcW w:type="dxa" w:w="862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مرجع خارجي بنص حر؛ تعديل بالإحلال ويبقى التاريخ؛ بلا تحقق خارجي (FR-REQ-010، X-DAT-7، BR-REQ-006)</w:t>
            </w:r>
          </w:p>
        </w:tc>
      </w:tr>
      <w:tr>
        <w:trPr>
          <w:cantSplit/>
        </w:trPr>
        <w:tc>
          <w:tcPr>
            <w:tcW w:type="dxa" w:w="446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wfl.RequestStageInstance</w:t>
            </w:r>
          </w:p>
        </w:tc>
        <w:tc>
          <w:tcPr>
            <w:tcW w:type="dxa" w:w="178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wfl</w:t>
            </w:r>
          </w:p>
        </w:tc>
        <w:tc>
          <w:tcPr>
            <w:tcW w:type="dxa" w:w="71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م6 · الطلبات وإجراءاتها (2/3)</w:t>
            </w:r>
          </w:p>
        </w:tc>
        <w:tc>
          <w:tcPr>
            <w:tcW w:type="dxa" w:w="862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دخول طلب إلى مرحلة؛ مصدر مقاييس الأزمنة والسحب والـ SLA (BR-WFL-002/007/012، §8)</w:t>
            </w:r>
          </w:p>
        </w:tc>
      </w:tr>
      <w:tr>
        <w:trPr>
          <w:cantSplit/>
        </w:trPr>
        <w:tc>
          <w:tcPr>
            <w:tcW w:type="dxa" w:w="446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wfl.RequestType</w:t>
            </w:r>
          </w:p>
        </w:tc>
        <w:tc>
          <w:tcPr>
            <w:tcW w:type="dxa" w:w="178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wfl</w:t>
            </w:r>
          </w:p>
        </w:tc>
        <w:tc>
          <w:tcPr>
            <w:tcW w:type="dxa" w:w="71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م6 · قوالب دورات العمل (1/3)</w:t>
            </w:r>
          </w:p>
        </w:tc>
        <w:tc>
          <w:tcPr>
            <w:tcW w:type="dxa" w:w="862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تعريف نوع الطلب (FR-REQ-001، BR-REQ-001، V-REQ-01)؛ الأنواع الجديدة بلا كود (FR-REQ-021)</w:t>
            </w:r>
          </w:p>
        </w:tc>
      </w:tr>
      <w:tr>
        <w:trPr>
          <w:cantSplit/>
        </w:trPr>
        <w:tc>
          <w:tcPr>
            <w:tcW w:type="dxa" w:w="446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wfl.RequestTypeAudience</w:t>
            </w:r>
          </w:p>
        </w:tc>
        <w:tc>
          <w:tcPr>
            <w:tcW w:type="dxa" w:w="178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wfl</w:t>
            </w:r>
          </w:p>
        </w:tc>
        <w:tc>
          <w:tcPr>
            <w:tcW w:type="dxa" w:w="71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م6 · قوالب دورات العمل (1/3)</w:t>
            </w:r>
          </w:p>
        </w:tc>
        <w:tc>
          <w:tcPr>
            <w:tcW w:type="dxa" w:w="862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جمهور النوع: من يحق له الطلب؛ غياب الصفوف = لا أحد (فشل مغلق) (FR-REQ-007)</w:t>
            </w:r>
          </w:p>
        </w:tc>
      </w:tr>
      <w:tr>
        <w:trPr>
          <w:cantSplit/>
        </w:trPr>
        <w:tc>
          <w:tcPr>
            <w:tcW w:type="dxa" w:w="446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wfl.StageApprover</w:t>
            </w:r>
          </w:p>
        </w:tc>
        <w:tc>
          <w:tcPr>
            <w:tcW w:type="dxa" w:w="178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wfl</w:t>
            </w:r>
          </w:p>
        </w:tc>
        <w:tc>
          <w:tcPr>
            <w:tcW w:type="dxa" w:w="71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م6 · قوالب دورات العمل (2/3)</w:t>
            </w:r>
          </w:p>
        </w:tc>
        <w:tc>
          <w:tcPr>
            <w:tcW w:type="dxa" w:w="862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خانة موافقة في مرحلة APPROVAL؛ ALL = كل الخانات، ودور بشخصين يلزمان معًا = خانتان (FR-WFL-007/041، BR-WFL-003/004)</w:t>
            </w:r>
          </w:p>
        </w:tc>
      </w:tr>
      <w:tr>
        <w:trPr>
          <w:cantSplit/>
        </w:trPr>
        <w:tc>
          <w:tcPr>
            <w:tcW w:type="dxa" w:w="446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wfl.TemplateAttachmentRule</w:t>
            </w:r>
          </w:p>
        </w:tc>
        <w:tc>
          <w:tcPr>
            <w:tcW w:type="dxa" w:w="178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wfl</w:t>
            </w:r>
          </w:p>
        </w:tc>
        <w:tc>
          <w:tcPr>
            <w:tcW w:type="dxa" w:w="71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م6 · قوالب دورات العمل (3/3)</w:t>
            </w:r>
          </w:p>
        </w:tc>
        <w:tc>
          <w:tcPr>
            <w:tcW w:type="dxa" w:w="862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قاعدة مرفق على نسخة قالب (FR-REQ-006، BR-REQ-005، FR-WFL-024/025)</w:t>
            </w:r>
          </w:p>
        </w:tc>
      </w:tr>
      <w:tr>
        <w:trPr>
          <w:cantSplit/>
        </w:trPr>
        <w:tc>
          <w:tcPr>
            <w:tcW w:type="dxa" w:w="446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wfl.TemplateField</w:t>
            </w:r>
          </w:p>
        </w:tc>
        <w:tc>
          <w:tcPr>
            <w:tcW w:type="dxa" w:w="178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wfl</w:t>
            </w:r>
          </w:p>
        </w:tc>
        <w:tc>
          <w:tcPr>
            <w:tcW w:type="dxa" w:w="71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م6 · قوالب دورات العمل (3/3)</w:t>
            </w:r>
          </w:p>
        </w:tc>
        <w:tc>
          <w:tcPr>
            <w:tcW w:type="dxa" w:w="862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حقل في نسخة قالب يولّد النموذج بلا كود واجهة (FR-REQ-002..005، BR-REQ-003/004)</w:t>
            </w:r>
          </w:p>
        </w:tc>
      </w:tr>
      <w:tr>
        <w:trPr>
          <w:cantSplit/>
        </w:trPr>
        <w:tc>
          <w:tcPr>
            <w:tcW w:type="dxa" w:w="446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wfl.UserDelegation</w:t>
            </w:r>
          </w:p>
        </w:tc>
        <w:tc>
          <w:tcPr>
            <w:tcW w:type="dxa" w:w="178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wfl</w:t>
            </w:r>
          </w:p>
        </w:tc>
        <w:tc>
          <w:tcPr>
            <w:tcW w:type="dxa" w:w="71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م6 · الطلبات وإجراءاتها (3/3)</w:t>
            </w:r>
          </w:p>
        </w:tc>
        <w:tc>
          <w:tcPr>
            <w:tcW w:type="dxa" w:w="862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تفويض مهام بفترة ونطاق؛ لا تفويض متسلسل (FR-WFL-020، BR-WFL-021، V-WFL-06)</w:t>
            </w:r>
          </w:p>
        </w:tc>
      </w:tr>
      <w:tr>
        <w:trPr>
          <w:cantSplit/>
        </w:trPr>
        <w:tc>
          <w:tcPr>
            <w:tcW w:type="dxa" w:w="446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wfl.WorkflowStage</w:t>
            </w:r>
          </w:p>
        </w:tc>
        <w:tc>
          <w:tcPr>
            <w:tcW w:type="dxa" w:w="178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wfl</w:t>
            </w:r>
          </w:p>
        </w:tc>
        <w:tc>
          <w:tcPr>
            <w:tcW w:type="dxa" w:w="71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م6 · قوالب دورات العمل (2/3)</w:t>
            </w:r>
          </w:p>
        </w:tc>
        <w:tc>
          <w:tcPr>
            <w:tcW w:type="dxa" w:w="862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مرحلة في نسخة قالب (FR-WFL-003/004/005، BR-WFL-002/010/012)؛ حذف فعلي لمسودة النسخة فقط</w:t>
            </w:r>
          </w:p>
        </w:tc>
      </w:tr>
      <w:tr>
        <w:trPr>
          <w:cantSplit/>
        </w:trPr>
        <w:tc>
          <w:tcPr>
            <w:tcW w:type="dxa" w:w="446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wfl.WorkflowStageHook</w:t>
            </w:r>
          </w:p>
        </w:tc>
        <w:tc>
          <w:tcPr>
            <w:tcW w:type="dxa" w:w="178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wfl</w:t>
            </w:r>
          </w:p>
        </w:tc>
        <w:tc>
          <w:tcPr>
            <w:tcW w:type="dxa" w:w="71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م6 · قوالب دورات العمل (2/3)</w:t>
            </w:r>
          </w:p>
        </w:tc>
        <w:tc>
          <w:tcPr>
            <w:tcW w:type="dxa" w:w="862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خطاف مسجَّل بالكود على مرحلة: مفتاح ومعاملات لا كود (FR-WFL-021، BR-WFL-015، §5.4)</w:t>
            </w:r>
          </w:p>
        </w:tc>
      </w:tr>
      <w:tr>
        <w:trPr>
          <w:cantSplit/>
        </w:trPr>
        <w:tc>
          <w:tcPr>
            <w:tcW w:type="dxa" w:w="446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wfl.WorkflowTemplate</w:t>
            </w:r>
          </w:p>
        </w:tc>
        <w:tc>
          <w:tcPr>
            <w:tcW w:type="dxa" w:w="178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wfl</w:t>
            </w:r>
          </w:p>
        </w:tc>
        <w:tc>
          <w:tcPr>
            <w:tcW w:type="dxa" w:w="71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م6 · قوالب دورات العمل (1/3)</w:t>
            </w:r>
          </w:p>
        </w:tc>
        <w:tc>
          <w:tcPr>
            <w:tcW w:type="dxa" w:w="862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إصدار قالب دورة عمل؛ المنشور ثابت (FR-WFL-001/028، BR-WFL-019، AC-WFL-6)</w:t>
            </w:r>
          </w:p>
        </w:tc>
      </w:tr>
      <w:tr>
        <w:trPr>
          <w:cantSplit/>
        </w:trPr>
        <w:tc>
          <w:tcPr>
            <w:tcW w:type="dxa" w:w="446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wfl.WorkflowTransition</w:t>
            </w:r>
          </w:p>
        </w:tc>
        <w:tc>
          <w:tcPr>
            <w:tcW w:type="dxa" w:w="178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wfl</w:t>
            </w:r>
          </w:p>
        </w:tc>
        <w:tc>
          <w:tcPr>
            <w:tcW w:type="dxa" w:w="71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م6 · قوالب دورات العمل (2/3)</w:t>
            </w:r>
          </w:p>
        </w:tc>
        <w:tc>
          <w:tcPr>
            <w:tcW w:type="dxa" w:w="862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انتقال بين مرحلتين بشرط وأولوية؛ دورة خطية بتفرع شرطي بسيط (FR-WFL-006، BR-WFL-001، D-8)</w:t>
            </w:r>
          </w:p>
        </w:tc>
      </w:tr>
    </w:tbl>
    <w:sectPr>
      <w:headerReference w:type="default" r:id="rId7"/>
      <w:footerReference w:type="default" r:id="rId8"/>
      <w:pgSz w:w="23811" w:h="16838" w:orient="landscape"/>
      <w:pgMar w:top="1000" w:right="900" w:bottom="1000" w:left="900"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6"/>
        <w:szCs w:val="16"/>
        <w:rtl/>
      </w:rPr>
      <w:t xml:space="preserve">صفحة </w:t>
    </w:r>
    <w:r>
      <w:rPr>
        <w:rFonts w:ascii="Arial" w:cs="Arial" w:eastAsia="Arial" w:hAnsi="Arial"/>
        <w:color w:val="5B6670"/>
        <w:sz w:val="16"/>
        <w:szCs w:val="16"/>
        <w:rtl/>
      </w:rPr>
      <w:fldChar w:fldCharType="begin"/>
      <w:instrText xml:space="preserve">PAGE</w:instrText>
      <w:fldChar w:fldCharType="separate"/>
      <w:fldChar w:fldCharType="end"/>
    </w:r>
    <w:r>
      <w:rPr>
        <w:rFonts w:ascii="Arial" w:cs="Arial" w:eastAsia="Arial" w:hAnsi="Arial"/>
        <w:color w:val="5B6670"/>
        <w:sz w:val="16"/>
        <w:szCs w:val="16"/>
        <w:rtl/>
      </w:rPr>
      <w:t xml:space="preserve"> من </w:t>
    </w:r>
    <w:r>
      <w:rPr>
        <w:rFonts w:ascii="Arial" w:cs="Arial" w:eastAsia="Arial" w:hAnsi="Arial"/>
        <w:color w:val="5B6670"/>
        <w:sz w:val="16"/>
        <w:szCs w:val="16"/>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6"/>
        <w:szCs w:val="16"/>
        <w:rtl/>
      </w:rPr>
      <w:t xml:space="preserve">مخطط علاقات جداول قاعدة البيانات · BankFas · v0.3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1F3A5F" w:sz="8" w:space="3"/>
      </w:pBdr>
      <w:bidi/>
      <w:spacing w:after="140" w:before="300"/>
      <w:outlineLvl w:val="0"/>
    </w:pPr>
    <w:rPr>
      <w:b/>
      <w:bCs/>
      <w:color w:val="1F3A5F"/>
      <w:sz w:val="32"/>
      <w:szCs w:val="32"/>
    </w:rPr>
  </w:style>
  <w:style w:type="paragraph" w:styleId="Heading2">
    <w:name w:val="heading 2"/>
    <w:basedOn w:val="Normal"/>
    <w:next w:val="Normal"/>
    <w:qFormat/>
    <w:pPr>
      <w:keepNext/>
      <w:bidi/>
      <w:spacing w:after="100" w:before="220"/>
      <w:outlineLvl w:val="1"/>
    </w:pPr>
    <w:rPr>
      <w:b/>
      <w:bCs/>
      <w:color w:val="2B5C8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21e7604c15fdfbabae550d846f1e3a589ea5fcd.png"/><Relationship Id="rId10" Type="http://schemas.openxmlformats.org/officeDocument/2006/relationships/image" Target="media/bbd9a244419437546907bd9369c1c3e22633ec30.png"/><Relationship Id="rId11" Type="http://schemas.openxmlformats.org/officeDocument/2006/relationships/image" Target="media/a4ff6d9a62c6555df386742bf7f3bd9f17b10a60.png"/><Relationship Id="rId12" Type="http://schemas.openxmlformats.org/officeDocument/2006/relationships/image" Target="media/d003666bf8c9b72c6fd2fbc54cfb713a4ad32492.png"/><Relationship Id="rId13" Type="http://schemas.openxmlformats.org/officeDocument/2006/relationships/image" Target="media/b9ec0191f337c84c42a52cfb8c3828dbed177524.png"/><Relationship Id="rId14" Type="http://schemas.openxmlformats.org/officeDocument/2006/relationships/image" Target="media/8a4364f72c3e62890d8c44fc3eb2e2e015d2272e.png"/><Relationship Id="rId15" Type="http://schemas.openxmlformats.org/officeDocument/2006/relationships/image" Target="media/75aa688fc827119af42a6a7ac7a38bae08ff2847.png"/><Relationship Id="rId16" Type="http://schemas.openxmlformats.org/officeDocument/2006/relationships/image" Target="media/a7a7fef06cca2f0643662283f9c35d9f2570cf92.png"/><Relationship Id="rId17" Type="http://schemas.openxmlformats.org/officeDocument/2006/relationships/image" Target="media/a1e7668baf08875b2db070b292c9cb791ac4af82.png"/><Relationship Id="rId18" Type="http://schemas.openxmlformats.org/officeDocument/2006/relationships/image" Target="media/9b3786f8184a09b5f1368696fc307318687913db.png"/><Relationship Id="rId19" Type="http://schemas.openxmlformats.org/officeDocument/2006/relationships/image" Target="media/badc69daba83dbe5931f68b48317c53ab6966240.png"/><Relationship Id="rId20" Type="http://schemas.openxmlformats.org/officeDocument/2006/relationships/image" Target="media/d3f2179fc08ce0eacd8158922885beb09b1d8d13.png"/><Relationship Id="rId21" Type="http://schemas.openxmlformats.org/officeDocument/2006/relationships/image" Target="media/c76002d011352f5395eb0b6c31f09f1d67c59208.png"/><Relationship Id="rId22" Type="http://schemas.openxmlformats.org/officeDocument/2006/relationships/image" Target="media/1a88435d2f039d0fa8f2b3cdfc86cd319030ec60.png"/><Relationship Id="rId23" Type="http://schemas.openxmlformats.org/officeDocument/2006/relationships/image" Target="media/29eb4df0aacf9c0072e337a761f788843d7a80cf.png"/><Relationship Id="rId24" Type="http://schemas.openxmlformats.org/officeDocument/2006/relationships/image" Target="media/6b1d29cc62baee06a5ba6683a9e07f069ed0d68a.png"/><Relationship Id="rId25" Type="http://schemas.openxmlformats.org/officeDocument/2006/relationships/image" Target="media/774fe46ecf3760c648c35a01cac1d50484330c0f.png"/><Relationship Id="rId26" Type="http://schemas.openxmlformats.org/officeDocument/2006/relationships/image" Target="media/c21bf5461509a6600882b3e0c661a8374c8e11e4.png"/><Relationship Id="rId27" Type="http://schemas.openxmlformats.org/officeDocument/2006/relationships/image" Target="media/101438c2eebfd0717141bb568e77a17547d945d5.png"/><Relationship Id="rId28" Type="http://schemas.openxmlformats.org/officeDocument/2006/relationships/image" Target="media/cb080cd65b607f7f9633ce1ddc6d1fe9caa73fd5.png"/><Relationship Id="rId29" Type="http://schemas.openxmlformats.org/officeDocument/2006/relationships/image" Target="media/a7b8ed1cdeea67cf394d53d30f27f2b03d16b086.png"/><Relationship Id="rId30" Type="http://schemas.openxmlformats.org/officeDocument/2006/relationships/image" Target="media/fafbd534482467ca795a619256cc040d809678d7.png"/><Relationship Id="rId31" Type="http://schemas.openxmlformats.org/officeDocument/2006/relationships/image" Target="media/19ed210285c6be503a282437430627d0141bf437.png"/><Relationship Id="rId32" Type="http://schemas.openxmlformats.org/officeDocument/2006/relationships/image" Target="media/a7b6ae8c9d68ff4de6a5ab8636260887f3882ec9.png"/><Relationship Id="rId33" Type="http://schemas.openxmlformats.org/officeDocument/2006/relationships/image" Target="media/49cb5193cf21a99ab8f6c97029a00bf1bad3271a.png"/><Relationship Id="rId34" Type="http://schemas.openxmlformats.org/officeDocument/2006/relationships/image" Target="media/e67035773addbfd0d234ddf7bdbd3703eb7b2d01.png"/><Relationship Id="rId35" Type="http://schemas.openxmlformats.org/officeDocument/2006/relationships/image" Target="media/8d5d972816be1a4f7fb7bd461a82351be911260c.png"/><Relationship Id="rId36" Type="http://schemas.openxmlformats.org/officeDocument/2006/relationships/image" Target="media/1dfa69fe80e24e4114061f8d82f7a15cdf46b836.png"/><Relationship Id="rId37" Type="http://schemas.openxmlformats.org/officeDocument/2006/relationships/image" Target="media/22eea4621d189d2ec2ce3de64049d504827489ba.png"/><Relationship Id="rId38" Type="http://schemas.openxmlformats.org/officeDocument/2006/relationships/image" Target="media/51418d538b6808035e0db5c469ea7ba46dffa8f3.png"/><Relationship Id="rId39" Type="http://schemas.openxmlformats.org/officeDocument/2006/relationships/image" Target="media/46a0f19f17d64fe26b4c36522e53db828d08c0e2.png"/><Relationship Id="rId40" Type="http://schemas.openxmlformats.org/officeDocument/2006/relationships/image" Target="media/be2422664b11cc849ef3d82a92cb61fbd44ff584.png"/><Relationship Id="rId41" Type="http://schemas.openxmlformats.org/officeDocument/2006/relationships/image" Target="media/93dccc242007585c67c314a8ec0d81704fe3501f.png"/><Relationship Id="rId42" Type="http://schemas.openxmlformats.org/officeDocument/2006/relationships/image" Target="media/90572ef349b4e189835e0f13298d23bd222147f4.png"/><Relationship Id="rId43" Type="http://schemas.openxmlformats.org/officeDocument/2006/relationships/image" Target="media/1e2b41f142148e53cebb38d8af332c67607f10e7.png"/><Relationship Id="rId44" Type="http://schemas.openxmlformats.org/officeDocument/2006/relationships/image" Target="media/76e546e477c4da7d3bb36259438ed6a4d3726402.png"/><Relationship Id="rId45" Type="http://schemas.openxmlformats.org/officeDocument/2006/relationships/image" Target="media/271e0b36918d1081cbb0fb919ffdbe0b3739a561.png"/><Relationship Id="rId46" Type="http://schemas.openxmlformats.org/officeDocument/2006/relationships/image" Target="media/63d48754eed442470525e2402aba12e000d32da3.png"/><Relationship Id="rId47" Type="http://schemas.openxmlformats.org/officeDocument/2006/relationships/image" Target="media/f1c2c34bf83df820e0c42dc07d3ff28846823b78.png"/><Relationship Id="rId48" Type="http://schemas.openxmlformats.org/officeDocument/2006/relationships/image" Target="media/3734a7522653812e8f538e943ec35e349d97ca79.png"/><Relationship Id="rId49" Type="http://schemas.openxmlformats.org/officeDocument/2006/relationships/image" Target="media/719dcfc4d1a2bb585edcb893ae4bea494650a0f2.png"/><Relationship Id="rId50" Type="http://schemas.openxmlformats.org/officeDocument/2006/relationships/image" Target="media/e017a7b7068131182508c2f4a525c30806afc22f.png"/><Relationship Id="rId51" Type="http://schemas.openxmlformats.org/officeDocument/2006/relationships/image" Target="media/501b67cbb32f47b51061a57cae996b54871e0ca6.png"/><Relationship Id="rId52" Type="http://schemas.openxmlformats.org/officeDocument/2006/relationships/image" Target="media/5603e99f8f2a7cc1938496761df70c8a63a82ac9.png"/><Relationship Id="rId53" Type="http://schemas.openxmlformats.org/officeDocument/2006/relationships/image" Target="media/05f53dc88ad0943efaead7b4c2d5ab1aa080fc4a.png"/><Relationship Id="rId54" Type="http://schemas.openxmlformats.org/officeDocument/2006/relationships/image" Target="media/2b2144d7fc608f1fdad5d8fbd5bcb05af47ed3a2.png"/><Relationship Id="rId55" Type="http://schemas.openxmlformats.org/officeDocument/2006/relationships/image" Target="media/d5d06d0ed7e79795ab5ed0ed5dbdf50949842418.png"/><Relationship Id="rId56" Type="http://schemas.openxmlformats.org/officeDocument/2006/relationships/image" Target="media/4982395d76e0d33b7f30ab097273feccdf168e04.png"/><Relationship Id="rId57" Type="http://schemas.openxmlformats.org/officeDocument/2006/relationships/image" Target="media/494c0f4a1326e3bbc19667850012a84e52403045.png"/><Relationship Id="rId58" Type="http://schemas.openxmlformats.org/officeDocument/2006/relationships/image" Target="media/f3c6a99e2f66df4dbe72197e44ae37e9973bbd72.png"/><Relationship Id="rId59" Type="http://schemas.openxmlformats.org/officeDocument/2006/relationships/image" Target="media/d539d1be88e22a9ddb39b43fe087de6d95fef4aa.png"/><Relationship Id="rId60" Type="http://schemas.openxmlformats.org/officeDocument/2006/relationships/image" Target="media/7ff803ad906bcfa2ebcbadf7dabb9605bc925441.png"/><Relationship Id="rId61" Type="http://schemas.openxmlformats.org/officeDocument/2006/relationships/image" Target="media/32e4178cfcb0982981bc4df131be60ca723fa475.png"/><Relationship Id="rId62" Type="http://schemas.openxmlformats.org/officeDocument/2006/relationships/image" Target="media/7300a75f1e07f1ea9aec9b51ff08678436fe43ba.png"/><Relationship Id="rId63" Type="http://schemas.openxmlformats.org/officeDocument/2006/relationships/image" Target="media/96ebc6fa69822558c7c239d6a27c23f8a70b39d4.png"/><Relationship Id="rId64" Type="http://schemas.openxmlformats.org/officeDocument/2006/relationships/image" Target="media/29590e30561ea7b950cc1ca528df7a1885be854b.png"/><Relationship Id="rId65" Type="http://schemas.openxmlformats.org/officeDocument/2006/relationships/image" Target="media/c3923270745ec1d61733243ee7111b3b6e68e05d.png"/><Relationship Id="rId66" Type="http://schemas.openxmlformats.org/officeDocument/2006/relationships/image" Target="media/fe9d9a8186638b18fae1e422875fcbe2eb728097.png"/><Relationship Id="rId67" Type="http://schemas.openxmlformats.org/officeDocument/2006/relationships/image" Target="media/b0939dc5f64d9418898980eb654a0547e53d205d.png"/><Relationship Id="rId68" Type="http://schemas.openxmlformats.org/officeDocument/2006/relationships/image" Target="media/2d58dca6be24cc25e139c5a76e2a4aecf89a044f.png"/><Relationship Id="rId69" Type="http://schemas.openxmlformats.org/officeDocument/2006/relationships/image" Target="media/c08708dd425ff7caf905c156d869c26b83ec0603.png"/><Relationship Id="rId70" Type="http://schemas.openxmlformats.org/officeDocument/2006/relationships/image" Target="media/c07c181f6bb574f7b888c1c4f10db1da4b196022.png"/><Relationship Id="rId7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مخطط علاقات جداول قاعدة البيانات</dc:title>
  <dc:creator>Claude</dc:creator>
  <dc:description>مخطط علاقات جداول قاعدة البيانات — BankFas</dc:description>
  <cp:lastModifiedBy>Un-named</cp:lastModifiedBy>
  <cp:revision>1</cp:revision>
  <dcterms:created xsi:type="dcterms:W3CDTF">2026-10-11T07:26:29.457Z</dcterms:created>
  <dcterms:modified xsi:type="dcterms:W3CDTF">2026-10-11T07:26:29.468Z</dcterms:modified>
</cp:coreProperties>
</file>

<file path=docProps/custom.xml><?xml version="1.0" encoding="utf-8"?>
<Properties xmlns="http://schemas.openxmlformats.org/officeDocument/2006/custom-properties" xmlns:vt="http://schemas.openxmlformats.org/officeDocument/2006/docPropsVTypes"/>
</file>