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0.4)</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(الجداول 255 · المخططات 20، من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(الأرقام)</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113">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19">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24">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25">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26">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27">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28">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29">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4731"/>
        <w:gridCol w:w="417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C-21</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(ADR 0023): </w:t>
            </w: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والبرنامج 048 (البناء والاختيار والمقارنة والحراس)، وسبب الإصدار </w:t>
            </w:r>
            <w:r>
              <w:rPr>
                <w:rFonts w:ascii="Courier New" w:cs="Courier New" w:eastAsia="Courier New" w:hAnsi="Courier New"/>
                <w:b w:val="false"/>
                <w:bCs w:val="false"/>
                <w:color w:val="1F2937"/>
                <w:sz w:val="16"/>
                <w:szCs w:val="16"/>
                <w:shd w:fill="F1F3F5" w:color="auto" w:val="clear"/>
                <w:rtl/>
              </w:rPr>
              <w:t xml:space="preserve">‎RESTRUCTURED‎</w:t>
            </w:r>
            <w:r>
              <w:rPr>
                <w:rFonts w:ascii="Arial" w:cs="Arial" w:eastAsia="Arial" w:hAnsi="Arial"/>
                <w:b w:val="false"/>
                <w:bCs w:val="false"/>
                <w:sz w:val="18"/>
                <w:szCs w:val="18"/>
                <w:rtl/>
              </w:rPr>
              <w:t xml:space="preserve">؛ 247 جدولًا (§11.5)</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ج (2026-10-20)</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C-22</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جهة التمويل والإنذار المبكر (ADR 0024): البرنامج 049 بدالتين وأربع واجهات (المواعيد وجاهزيتها، والطلبات، والجدول الزمني، والإنذار اليومي)، والإعداد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بلا جداول جديدة</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د (2026-10-20)</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C-23</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التقديرية (ADR 0025): عمود </w:t>
            </w:r>
            <w:r>
              <w:rPr>
                <w:rFonts w:ascii="Courier New" w:cs="Courier New" w:eastAsia="Courier New" w:hAnsi="Courier New"/>
                <w:b w:val="false"/>
                <w:bCs w:val="false"/>
                <w:color w:val="1F2937"/>
                <w:sz w:val="16"/>
                <w:szCs w:val="16"/>
                <w:shd w:fill="F1F3F5" w:color="auto" w:val="clear"/>
                <w:rtl/>
              </w:rPr>
              <w:t xml:space="preserve">‎Nature‎</w:t>
            </w:r>
            <w:r>
              <w:rPr>
                <w:rFonts w:ascii="Arial" w:cs="Arial" w:eastAsia="Arial" w:hAnsi="Arial"/>
                <w:b w:val="false"/>
                <w:bCs w:val="false"/>
                <w:sz w:val="18"/>
                <w:szCs w:val="18"/>
                <w:rtl/>
              </w:rPr>
              <w:t xml:space="preserve"> (ACTUAL/BUDGET) في </w:t>
            </w:r>
            <w:r>
              <w:rPr>
                <w:rFonts w:ascii="Courier New" w:cs="Courier New" w:eastAsia="Courier New" w:hAnsi="Courier New"/>
                <w:b w:val="false"/>
                <w:bCs w:val="false"/>
                <w:color w:val="1F2937"/>
                <w:sz w:val="16"/>
                <w:szCs w:val="16"/>
                <w:shd w:fill="F1F3F5" w:color="auto" w:val="clear"/>
                <w:rtl/>
              </w:rPr>
              <w:t xml:space="preserve">‎fin.FinancialStatement‎</w:t>
            </w:r>
            <w:r>
              <w:rPr>
                <w:rFonts w:ascii="Arial" w:cs="Arial" w:eastAsia="Arial" w:hAnsi="Arial"/>
                <w:b w:val="false"/>
                <w:bCs w:val="false"/>
                <w:sz w:val="18"/>
                <w:szCs w:val="18"/>
                <w:rtl/>
              </w:rPr>
              <w:t xml:space="preserve"> ومفتاح السلسلة به؛ الموازنة مسودة تُقيَّم تجريبيًا؛ واجهتا المقارنة في 049</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هـ (2026-10-20)</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C-24</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(ADR 0026): </w:t>
            </w: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وواجهتا المقارنة وموضع الافتراق في 049، ويدخل في جاهزية التجديد؛ 248 جدولًا (§11.5)</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و (2026-10-20)</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C-25</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(ADR 0027):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‎JOB-FIN-READINESS‎</w:t>
            </w:r>
            <w:r>
              <w:rPr>
                <w:rFonts w:ascii="Arial" w:cs="Arial" w:eastAsia="Arial" w:hAnsi="Arial"/>
                <w:b w:val="false"/>
                <w:bCs w:val="false"/>
                <w:sz w:val="18"/>
                <w:szCs w:val="18"/>
                <w:rtl/>
              </w:rPr>
              <w:t xml:space="preserve"> والإجراء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في 051، ودالة الإنذار بتاريخ في 049؛ 249 جدولًا (§11.5)</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C-26</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(ADR 0028): حدثان أحمر وأصفر، وسبب الجاهزية </w:t>
            </w:r>
            <w:r>
              <w:rPr>
                <w:rFonts w:ascii="Courier New" w:cs="Courier New" w:eastAsia="Courier New" w:hAnsi="Courier New"/>
                <w:b w:val="false"/>
                <w:bCs w:val="false"/>
                <w:color w:val="1F2937"/>
                <w:sz w:val="16"/>
                <w:szCs w:val="16"/>
                <w:shd w:fill="F1F3F5" w:color="auto" w:val="clear"/>
                <w:rtl/>
              </w:rPr>
              <w:t xml:space="preserve">‎ReasonCode‎</w:t>
            </w:r>
            <w:r>
              <w:rPr>
                <w:rFonts w:ascii="Arial" w:cs="Arial" w:eastAsia="Arial" w:hAnsi="Arial"/>
                <w:b w:val="false"/>
                <w:bCs w:val="false"/>
                <w:sz w:val="18"/>
                <w:szCs w:val="18"/>
                <w:rtl/>
              </w:rPr>
              <w:t xml:space="preserve"> في 049 وفي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وقيم القوالب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(051)، وأول حزمة للمشترك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يفحصها </w:t>
            </w:r>
            <w:r>
              <w:rPr>
                <w:rFonts w:ascii="Courier New" w:cs="Courier New" w:eastAsia="Courier New" w:hAnsi="Courier New"/>
                <w:b w:val="false"/>
                <w:bCs w:val="false"/>
                <w:color w:val="1F2937"/>
                <w:sz w:val="16"/>
                <w:szCs w:val="16"/>
                <w:shd w:fill="F1F3F5" w:color="auto" w:val="clear"/>
                <w:rtl/>
              </w:rPr>
              <w:t xml:space="preserve">‎tools/dbgen/ntf_pack.py‎</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C-27</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المراجعة المعمارية 3.0 (ADR 0029): تصديق التقييم للاستعمال خارج الشركة (</w:t>
            </w:r>
            <w:r>
              <w:rPr>
                <w:rFonts w:ascii="Courier New" w:cs="Courier New" w:eastAsia="Courier New" w:hAnsi="Courier New"/>
                <w:b w:val="false"/>
                <w:bCs w:val="false"/>
                <w:color w:val="1F2937"/>
                <w:sz w:val="16"/>
                <w:szCs w:val="16"/>
                <w:shd w:fill="F1F3F5" w:color="auto" w:val="clear"/>
                <w:rtl/>
              </w:rPr>
              <w:t xml:space="preserve">‎EndorsedBy‎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‎EndorsedOn‎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‎EndorsementNote‎</w:t>
            </w:r>
            <w:r>
              <w:rPr>
                <w:rFonts w:ascii="Arial" w:cs="Arial" w:eastAsia="Arial" w:hAnsi="Arial"/>
                <w:b w:val="false"/>
                <w:bCs w:val="false"/>
                <w:sz w:val="18"/>
                <w:szCs w:val="18"/>
                <w:rtl/>
              </w:rPr>
              <w:t xml:space="preserve"> والإجراء في 052 والصلاحية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وسبب الاختيار </w:t>
            </w:r>
            <w:r>
              <w:rPr>
                <w:rFonts w:ascii="Courier New" w:cs="Courier New" w:eastAsia="Courier New" w:hAnsi="Courier New"/>
                <w:b w:val="false"/>
                <w:bCs w:val="false"/>
                <w:color w:val="1F2937"/>
                <w:sz w:val="16"/>
                <w:szCs w:val="16"/>
                <w:shd w:fill="F1F3F5" w:color="auto" w:val="clear"/>
                <w:rtl/>
              </w:rPr>
              <w:t xml:space="preserve">‎ChoiceReason‎</w:t>
            </w:r>
            <w:r>
              <w:rPr>
                <w:rFonts w:ascii="Arial" w:cs="Arial" w:eastAsia="Arial" w:hAnsi="Arial"/>
                <w:b w:val="false"/>
                <w:bCs w:val="false"/>
                <w:sz w:val="18"/>
                <w:szCs w:val="18"/>
                <w:rtl/>
              </w:rPr>
              <w:t xml:space="preserve"> على نسخة العرض، والمعايرة المتراكمة </w:t>
            </w:r>
            <w:r>
              <w:rPr>
                <w:rFonts w:ascii="Courier New" w:cs="Courier New" w:eastAsia="Courier New" w:hAnsi="Courier New"/>
                <w:b w:val="false"/>
                <w:bCs w:val="false"/>
                <w:color w:val="1F2937"/>
                <w:sz w:val="16"/>
                <w:szCs w:val="16"/>
                <w:shd w:fill="F1F3F5" w:color="auto" w:val="clear"/>
                <w:rtl/>
              </w:rPr>
              <w:t xml:space="preserve">‎fin.v_LenderRatingCalibration‎</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 </w:t>
            </w:r>
            <w:r>
              <w:rPr>
                <w:rFonts w:ascii="Courier New" w:cs="Courier New" w:eastAsia="Courier New" w:hAnsi="Courier New"/>
                <w:b w:val="false"/>
                <w:bCs w:val="false"/>
                <w:color w:val="1F2937"/>
                <w:sz w:val="16"/>
                <w:szCs w:val="16"/>
                <w:shd w:fill="F1F3F5" w:color="auto" w:val="clear"/>
                <w:rtl/>
              </w:rPr>
              <w:t xml:space="preserve">‎docs/37‎</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C-28</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دراسة المراجعة 4.0 (ADR 0030، القرار 35): تجميد الأرقام الشهرية المؤكدة وإعادة فتحها، و</w:t>
            </w:r>
            <w:r>
              <w:rPr>
                <w:rFonts w:ascii="Courier New" w:cs="Courier New" w:eastAsia="Courier New" w:hAnsi="Courier New"/>
                <w:b w:val="false"/>
                <w:bCs w:val="false"/>
                <w:color w:val="1F2937"/>
                <w:sz w:val="16"/>
                <w:szCs w:val="16"/>
                <w:shd w:fill="F1F3F5" w:color="auto" w:val="clear"/>
                <w:rtl/>
              </w:rPr>
              <w:t xml:space="preserve">‎fin.AssessmentEvidencePack‎</w:t>
            </w:r>
            <w:r>
              <w:rPr>
                <w:rFonts w:ascii="Arial" w:cs="Arial" w:eastAsia="Arial" w:hAnsi="Arial"/>
                <w:b w:val="false"/>
                <w:bCs w:val="false"/>
                <w:sz w:val="18"/>
                <w:szCs w:val="18"/>
                <w:rtl/>
              </w:rPr>
              <w:t xml:space="preserve"> وحزمة الأدلة، والمعايرة في الجاهزية، وإنذار المصدِّقين، والدور RK، و</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251 جدولًا (§11.5)</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35 (2026-10-20)، </w:t>
            </w:r>
            <w:r>
              <w:rPr>
                <w:rFonts w:ascii="Courier New" w:cs="Courier New" w:eastAsia="Courier New" w:hAnsi="Courier New"/>
                <w:b w:val="false"/>
                <w:bCs w:val="false"/>
                <w:color w:val="1F2937"/>
                <w:sz w:val="16"/>
                <w:szCs w:val="16"/>
                <w:shd w:fill="F1F3F5" w:color="auto" w:val="clear"/>
                <w:rtl/>
              </w:rPr>
              <w:t xml:space="preserve">‎docs/38‎</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C-29</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فترات الشركة اختياريًا (ADR 0031): </w:t>
            </w:r>
            <w:r>
              <w:rPr>
                <w:rFonts w:ascii="Courier New" w:cs="Courier New" w:eastAsia="Courier New" w:hAnsi="Courier New"/>
                <w:b w:val="false"/>
                <w:bCs w:val="false"/>
                <w:color w:val="1F2937"/>
                <w:sz w:val="16"/>
                <w:szCs w:val="16"/>
                <w:shd w:fill="F1F3F5" w:color="auto" w:val="clear"/>
                <w:rtl/>
              </w:rPr>
              <w:t xml:space="preserve">‎fin.ReportingPeriodLock‎</w:t>
            </w:r>
            <w:r>
              <w:rPr>
                <w:rFonts w:ascii="Arial" w:cs="Arial" w:eastAsia="Arial" w:hAnsi="Arial"/>
                <w:b w:val="false"/>
                <w:bCs w:val="false"/>
                <w:sz w:val="18"/>
                <w:szCs w:val="18"/>
                <w:rtl/>
              </w:rPr>
              <w:t xml:space="preserve"> والإقفال وإعادة الفتح والقوادح في 053، والصلاحية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252 جدولًا (§11.5)</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 البند 2 من </w:t>
            </w:r>
            <w:r>
              <w:rPr>
                <w:rFonts w:ascii="Courier New" w:cs="Courier New" w:eastAsia="Courier New" w:hAnsi="Courier New"/>
                <w:b w:val="false"/>
                <w:bCs w:val="false"/>
                <w:color w:val="1F2937"/>
                <w:sz w:val="16"/>
                <w:szCs w:val="16"/>
                <w:shd w:fill="F1F3F5" w:color="auto" w:val="clear"/>
                <w:rtl/>
              </w:rPr>
              <w:t xml:space="preserve">‎docs/38‎</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C-30</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المراجعة الخارجية 5.0 الثلاثة (2026-10-21): بقية DR-20 بقوادح حالة المفتاح في 054 (ADR 0032)؛ سلسلة بصمات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تكتبها 055 مع </w:t>
            </w:r>
            <w:r>
              <w:rPr>
                <w:rFonts w:ascii="Courier New" w:cs="Courier New" w:eastAsia="Courier New" w:hAnsi="Courier New"/>
                <w:b w:val="false"/>
                <w:bCs w:val="false"/>
                <w:color w:val="1F2937"/>
                <w:sz w:val="16"/>
                <w:szCs w:val="16"/>
                <w:shd w:fill="F1F3F5" w:color="auto" w:val="clear"/>
                <w:rtl/>
              </w:rPr>
              <w:t xml:space="preserve">‎aud.AuditChainHead‎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‎aud.AuditChainAnchor‎</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‎JOB-PLT-AUDIT-CHAIN‎</w:t>
            </w:r>
            <w:r>
              <w:rPr>
                <w:rFonts w:ascii="Arial" w:cs="Arial" w:eastAsia="Arial" w:hAnsi="Arial"/>
                <w:b w:val="false"/>
                <w:bCs w:val="false"/>
                <w:sz w:val="18"/>
                <w:szCs w:val="18"/>
                <w:rtl/>
              </w:rPr>
              <w:t xml:space="preserve"> (ADR 0033)؛ دفتر الترحيلات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وبصمة المخطط في 056 و</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وصار 010 قابلًا لإعادة التشغيل (ADR 0034)؛ 255 جدولًا</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C-31</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المشترك CORE.ROLES (ADR 0035): أدوار النظام الثمانية و393 ربطًا مولَّدة من مصفوفات الأدوار، يطبّقها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أثناء التهيئة؛ ومنها RK بصلاحية التصديق (E2 من المراجعة 5.0،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C-32</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أداء القاعدة (ADR 0036، </w:t>
            </w:r>
            <w:r>
              <w:rPr>
                <w:rFonts w:ascii="Courier New" w:cs="Courier New" w:eastAsia="Courier New" w:hAnsi="Courier New"/>
                <w:b w:val="false"/>
                <w:bCs w:val="false"/>
                <w:color w:val="1F2937"/>
                <w:sz w:val="16"/>
                <w:szCs w:val="16"/>
                <w:shd w:fill="F1F3F5" w:color="auto" w:val="clear"/>
                <w:rtl/>
              </w:rPr>
              <w:t xml:space="preserve">‎docs/40‎</w:t>
            </w:r>
            <w:r>
              <w:rPr>
                <w:rFonts w:ascii="Arial" w:cs="Arial" w:eastAsia="Arial" w:hAnsi="Arial"/>
                <w:b w:val="false"/>
                <w:bCs w:val="false"/>
                <w:sz w:val="18"/>
                <w:szCs w:val="18"/>
                <w:rtl/>
              </w:rPr>
              <w:t xml:space="preserve">): أدوات </w:t>
            </w:r>
            <w:r>
              <w:rPr>
                <w:rFonts w:ascii="Courier New" w:cs="Courier New" w:eastAsia="Courier New" w:hAnsi="Courier New"/>
                <w:b w:val="false"/>
                <w:bCs w:val="false"/>
                <w:color w:val="1F2937"/>
                <w:sz w:val="16"/>
                <w:szCs w:val="16"/>
                <w:shd w:fill="F1F3F5" w:color="auto" w:val="clear"/>
                <w:rtl/>
              </w:rPr>
              <w:t xml:space="preserve">‎tools/perf‎</w:t>
            </w:r>
            <w:r>
              <w:rPr>
                <w:rFonts w:ascii="Arial" w:cs="Arial" w:eastAsia="Arial" w:hAnsi="Arial"/>
                <w:b w:val="false"/>
                <w:bCs w:val="false"/>
                <w:sz w:val="18"/>
                <w:szCs w:val="18"/>
                <w:rtl/>
              </w:rPr>
              <w:t xml:space="preserve">، وكل مسارات القاعدة داخل أهدافها؛ وفحص سلسلة التدقيق اليومي صار من المرساة والكامل أسبوعيًا، وفلتر السلسلة يبحث في فهرسه (055)</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 البند 1 من </w:t>
            </w:r>
            <w:r>
              <w:rPr>
                <w:rFonts w:ascii="Courier New" w:cs="Courier New" w:eastAsia="Courier New" w:hAnsi="Courier New"/>
                <w:b w:val="false"/>
                <w:bCs w:val="false"/>
                <w:color w:val="1F2937"/>
                <w:sz w:val="16"/>
                <w:szCs w:val="16"/>
                <w:shd w:fill="F1F3F5" w:color="auto" w:val="clear"/>
                <w:rtl/>
              </w:rPr>
              <w:t xml:space="preserve">‎docs/39‎</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C-33</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الداخلية v6 (</w:t>
            </w:r>
            <w:r>
              <w:rPr>
                <w:rFonts w:ascii="Courier New" w:cs="Courier New" w:eastAsia="Courier New" w:hAnsi="Courier New"/>
                <w:b w:val="false"/>
                <w:bCs w:val="false"/>
                <w:color w:val="1F2937"/>
                <w:sz w:val="16"/>
                <w:szCs w:val="16"/>
                <w:shd w:fill="F1F3F5" w:color="auto" w:val="clear"/>
                <w:rtl/>
              </w:rPr>
              <w:t xml:space="preserve">‎docs/41‎</w:t>
            </w:r>
            <w:r>
              <w:rPr>
                <w:rFonts w:ascii="Arial" w:cs="Arial" w:eastAsia="Arial" w:hAnsi="Arial"/>
                <w:b w:val="false"/>
                <w:bCs w:val="false"/>
                <w:sz w:val="18"/>
                <w:szCs w:val="18"/>
                <w:rtl/>
              </w:rPr>
              <w:t xml:space="preserve">): فصل المُعِدّ عن المعتمِد بهوية الجلسة وما تجمّده الفترة المغلقة (058، ADR 0037)؛ تصحيحات المحرك (ADR 0038)؛ المخزن هو الحَكَم في المراسي، والترحيل بحساب النشر داخل نافذة، والبصمة بالعضوية والمنح وقوادح DDL، ودورة حياة المفتاح، وحارس CI (ADR 0039)؛ عمود </w:t>
            </w:r>
            <w:r>
              <w:rPr>
                <w:rFonts w:ascii="Courier New" w:cs="Courier New" w:eastAsia="Courier New" w:hAnsi="Courier New"/>
                <w:b w:val="false"/>
                <w:bCs w:val="false"/>
                <w:color w:val="1F2937"/>
                <w:sz w:val="16"/>
                <w:szCs w:val="16"/>
                <w:shd w:fill="F1F3F5" w:color="auto" w:val="clear"/>
                <w:rtl/>
              </w:rPr>
              <w:t xml:space="preserve">‎plat.SchemaMigration.ChangeRef‎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‎fin.ReceivableLossRate.PreparedBy‎</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 تقييم داخلي شامل قبل التسليم</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255</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4,202 مُعرَّفة في النماذج + الأعمدة الآلية = </w:t>
            </w:r>
            <w:r>
              <w:rPr>
                <w:rFonts w:ascii="Arial" w:cs="Arial" w:eastAsia="Arial" w:hAnsi="Arial"/>
                <w:b/>
                <w:bCs/>
                <w:sz w:val="18"/>
                <w:szCs w:val="18"/>
                <w:rtl/>
              </w:rPr>
              <w:t xml:space="preserve">4,823</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937</w:t>
            </w:r>
            <w:r>
              <w:rPr>
                <w:rFonts w:ascii="Arial" w:cs="Arial" w:eastAsia="Arial" w:hAnsi="Arial"/>
                <w:b w:val="false"/>
                <w:bCs w:val="false"/>
                <w:sz w:val="18"/>
                <w:szCs w:val="18"/>
                <w:rtl/>
              </w:rPr>
              <w:t xml:space="preserve"> = 212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597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+ 128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804 غير مجمّع (236 مصفّاة · 52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1,501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507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+ 155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210 (207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الـ45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العالمية المحجوبة الخمسة والداخلية الثلاثة (§3.3)، ورأس سلسلة التدقيق ومراسيها ودفتر الترحيلات (ADR 0033، ADR 0034)؛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الـ596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207</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‎aud.AuditChainHead‎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‎aud.AuditChainAnchor‎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 055)، أو أداة الترحيل بحساب النشر (ADR 0034)</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77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(173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منفّذة (2026-10-21، ADR 0033):</w:t>
      </w:r>
      <w:r>
        <w:rPr>
          <w:rFonts w:ascii="Arial" w:cs="Arial" w:eastAsia="Arial" w:hAnsi="Arial"/>
          <w:b w:val="false"/>
          <w:bCs w:val="false"/>
          <w:sz w:val="21"/>
          <w:szCs w:val="21"/>
          <w:rtl/>
        </w:rPr>
        <w:t xml:space="preserve"> يكتب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السلسلة عند كل إدراج، وتسجّل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المراسي، ويحفظها </w:t>
      </w:r>
      <w:r>
        <w:rPr>
          <w:rFonts w:ascii="Courier New" w:cs="Courier New" w:eastAsia="Courier New" w:hAnsi="Courier New"/>
          <w:b w:val="false"/>
          <w:bCs w:val="false"/>
          <w:color w:val="1F2937"/>
          <w:sz w:val="18"/>
          <w:szCs w:val="18"/>
          <w:shd w:fill="F1F3F5" w:color="auto" w:val="clear"/>
          <w:rtl/>
        </w:rPr>
        <w:t xml:space="preserve">‎tools/deploy/audit_anchor.sh‎</w:t>
      </w:r>
      <w:r>
        <w:rPr>
          <w:rFonts w:ascii="Arial" w:cs="Arial" w:eastAsia="Arial" w:hAnsi="Arial"/>
          <w:b w:val="false"/>
          <w:bCs w:val="false"/>
          <w:sz w:val="21"/>
          <w:szCs w:val="21"/>
          <w:rtl/>
        </w:rPr>
        <w:t xml:space="preserve"> خارج القاعدة ويتحقق منها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596 مفهرسًا و129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 و</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(051، ADR 0027)، و</w:t>
            </w:r>
            <w:r>
              <w:rPr>
                <w:rFonts w:ascii="Courier New" w:cs="Courier New" w:eastAsia="Courier New" w:hAnsi="Courier New"/>
                <w:b w:val="false"/>
                <w:bCs w:val="false"/>
                <w:color w:val="1F2937"/>
                <w:sz w:val="16"/>
                <w:szCs w:val="16"/>
                <w:shd w:fill="F1F3F5" w:color="auto" w:val="clear"/>
                <w:rtl/>
              </w:rPr>
              <w:t xml:space="preserve">‎aud.usp_TakeAuditAnchors‎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‎aud.usp_VerifyAuditChain‎</w:t>
            </w:r>
            <w:r>
              <w:rPr>
                <w:rFonts w:ascii="Arial" w:cs="Arial" w:eastAsia="Arial" w:hAnsi="Arial"/>
                <w:b w:val="false"/>
                <w:bCs w:val="false"/>
                <w:sz w:val="18"/>
                <w:szCs w:val="18"/>
                <w:rtl/>
              </w:rPr>
              <w:t xml:space="preserve"> (055، ADR 0033)، و</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ADR 0035)</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(الترحيلات يشغّلها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بحساب النشر، ADR 0034)،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ERD والمواصفات التفصيلية حسب الوحدة</w:t>
      </w:r>
      <w:bookmarkEnd w:id="31"/>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2" w:id="32"/>
      <w:r>
        <w:rPr>
          <w:rFonts w:ascii="Arial" w:cs="Arial" w:eastAsia="Arial" w:hAnsi="Arial"/>
          <w:b/>
          <w:bCs/>
          <w:color w:val="2B5C8A"/>
          <w:sz w:val="26"/>
          <w:szCs w:val="26"/>
          <w:rtl/>
        </w:rPr>
        <w:t xml:space="preserve">10.1 خريطة المخططات (Schema Map)</w:t>
      </w:r>
      <w:bookmarkEnd w:id="32"/>
    </w:p>
    <w:p>
      <w:pPr>
        <w:keepNext/>
        <w:bidi/>
        <w:spacing w:after="60" w:before="160"/>
        <w:jc w:val="center"/>
      </w:pPr>
      <w:r>
        <w:drawing>
          <wp:inline distT="0" distB="0" distL="0" distR="0">
            <wp:extent cx="6096000" cy="1771650"/>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3" w:id="33"/>
      <w:r>
        <w:rPr>
          <w:rFonts w:ascii="Arial" w:cs="Arial" w:eastAsia="Arial" w:hAnsi="Arial"/>
          <w:b/>
          <w:bCs/>
          <w:color w:val="2B5C8A"/>
          <w:sz w:val="26"/>
          <w:szCs w:val="26"/>
          <w:rtl/>
        </w:rPr>
        <w:t xml:space="preserve">10.2 قراءة المخططات</w:t>
      </w:r>
      <w:bookmarkEnd w:id="33"/>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4" w:id="34"/>
      <w:r>
        <w:rPr>
          <w:rFonts w:ascii="Arial" w:cs="Arial" w:eastAsia="Arial" w:hAnsi="Arial"/>
          <w:b/>
          <w:bCs/>
          <w:color w:val="2B5C8A"/>
          <w:sz w:val="26"/>
          <w:szCs w:val="26"/>
          <w:rtl/>
        </w:rPr>
        <w:t xml:space="preserve">10.3 م0 · المنصة والهوية والتدقيق</w:t>
      </w:r>
      <w:bookmarkEnd w:id="34"/>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(1/3)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(2/3)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621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1562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1537"/>
        <w:gridCol w:w="2314"/>
        <w:gridCol w:w="837"/>
        <w:gridCol w:w="837"/>
        <w:gridCol w:w="837"/>
        <w:gridCol w:w="837"/>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‎plat.SchemaMigration‎</w:t>
            </w:r>
          </w:p>
        </w:tc>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 of the schema scripts applied to this database (DOC-B11 section 6)</w:t>
            </w:r>
          </w:p>
        </w:tc>
        <w:tc>
          <w:tcPr>
            <w:tcW w:type="dxa" w:w="2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SchemaMigrationId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المشترك والاشتراكات والمشغّلون (3/3)</w:t>
      </w:r>
      <w:bookmarkEnd w:id="37"/>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47637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1476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0"/>
        <w:gridCol w:w="2696"/>
        <w:gridCol w:w="1712"/>
        <w:gridCol w:w="844"/>
        <w:gridCol w:w="844"/>
        <w:gridCol w:w="844"/>
        <w:gridCol w:w="844"/>
      </w:tblGrid>
      <w:tr>
        <w:trPr>
          <w:cantSplit/>
          <w:tblHeader/>
        </w:trPr>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1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(1/2)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الهوية والصلاحيات (2/2)</w:t>
      </w:r>
      <w:bookmarkEnd w:id="39"/>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(1/2)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الجلسات والمفاتيح والمحاولات (2/2)</w:t>
      </w:r>
      <w:bookmarkEnd w:id="41"/>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9812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19812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Connection binding for the row filters (O-16)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‎sec.SessionBinding.BoundTenantId‎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‎sec.SessionBinding.BoundOperatorId‎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(1/2)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7642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1876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6"/>
        <w:gridCol w:w="1658"/>
        <w:gridCol w:w="2312"/>
        <w:gridCol w:w="837"/>
        <w:gridCol w:w="837"/>
        <w:gridCol w:w="837"/>
        <w:gridCol w:w="837"/>
      </w:tblGrid>
      <w:tr>
        <w:trPr>
          <w:cantSplit/>
          <w:tblHeader/>
        </w:trPr>
        <w:tc>
          <w:tcPr>
            <w:tcW w:type="dxa" w:w="25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‎aud.AuditChainAnchor‎</w:t>
            </w:r>
          </w:p>
        </w:tc>
        <w:tc>
          <w:tcPr>
            <w:tcW w:type="dxa" w:w="1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Anchor of an audit chain: its head at a moment, also kept outside the database (DOC-S12 section 5.3)</w:t>
            </w:r>
          </w:p>
        </w:tc>
        <w:tc>
          <w:tcPr>
            <w:tcW w:type="dxa" w:w="2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AuditChainAnchorId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‎aud.AuditChainHead‎</w:t>
            </w:r>
          </w:p>
        </w:tc>
        <w:tc>
          <w:tcPr>
            <w:tcW w:type="dxa" w:w="1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Head of each audit hash chain: its last sequence number and hash (FR-PLT-025)</w:t>
            </w:r>
          </w:p>
        </w:tc>
        <w:tc>
          <w:tcPr>
            <w:tcW w:type="dxa" w:w="2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ChainKey</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التدقيق والمستندات (2/2)</w:t>
      </w:r>
      <w:bookmarkEnd w:id="43"/>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41433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4143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1"/>
        <w:gridCol w:w="1872"/>
        <w:gridCol w:w="889"/>
        <w:gridCol w:w="889"/>
        <w:gridCol w:w="889"/>
        <w:gridCol w:w="889"/>
        <w:gridCol w:w="985"/>
      </w:tblGrid>
      <w:tr>
        <w:trPr>
          <w:cantSplit/>
          <w:tblHeader/>
        </w:trPr>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(1/4)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(2/4)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(3/4)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م0 · الإعدادات والمهام الخلفية (4/4)</w:t>
      </w:r>
      <w:bookmarkEnd w:id="47"/>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10.4 م1 · الهيكل المؤسسي والأشخاص</w:t>
      </w:r>
      <w:bookmarkEnd w:id="48"/>
    </w:p>
    <w:p>
      <w:pPr>
        <w:pStyle w:val="Heading3"/>
        <w:bidi/>
      </w:pPr>
      <w:bookmarkStart w:name="_sec49" w:id="49"/>
      <w:r>
        <w:rPr>
          <w:rFonts w:ascii="Arial" w:cs="Arial" w:eastAsia="Arial" w:hAnsi="Arial"/>
          <w:b/>
          <w:bCs/>
          <w:color w:val="2B5C8A"/>
          <w:sz w:val="23"/>
          <w:szCs w:val="23"/>
          <w:rtl/>
        </w:rPr>
        <w:t xml:space="preserve">م1 · الشركات والحوكمة (1/2)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62375"/>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762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2"/>
        <w:gridCol w:w="1872"/>
        <w:gridCol w:w="888"/>
        <w:gridCol w:w="888"/>
        <w:gridCol w:w="888"/>
        <w:gridCol w:w="888"/>
        <w:gridCol w:w="888"/>
      </w:tblGrid>
      <w:tr>
        <w:trPr>
          <w:cantSplit/>
          <w:tblHeader/>
        </w:trPr>
        <w:tc>
          <w:tcPr>
            <w:tcW w:type="dxa" w:w="3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‎org.Company.IndustryId‎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‎org.Shareholding.IntermediatePartyId‎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الشركات والحوكمة (2/2)</w:t>
      </w:r>
      <w:bookmarkEnd w:id="50"/>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(1/2)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ملف الشركة و KYC (2/2)</w:t>
      </w:r>
      <w:bookmarkEnd w:id="52"/>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(1/3)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(2/3)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5" w:id="55"/>
      <w:r>
        <w:rPr>
          <w:rFonts w:ascii="Arial" w:cs="Arial" w:eastAsia="Arial" w:hAnsi="Arial"/>
          <w:b/>
          <w:bCs/>
          <w:color w:val="2B5C8A"/>
          <w:sz w:val="23"/>
          <w:szCs w:val="23"/>
          <w:rtl/>
        </w:rPr>
        <w:t xml:space="preserve">م1 · الأشخاص والهوية و KYC (3/3)</w:t>
      </w:r>
      <w:bookmarkEnd w:id="55"/>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10.5 م2–م3 · الجهات المالية والحسابات</w:t>
      </w:r>
      <w:bookmarkEnd w:id="56"/>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(1/3)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(2/3)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م2–م3 · الجهات المالية والحسابات والمفوّضون (3/3)</w:t>
      </w:r>
      <w:bookmarkEnd w:id="59"/>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0" w:id="60"/>
      <w:r>
        <w:rPr>
          <w:rFonts w:ascii="Arial" w:cs="Arial" w:eastAsia="Arial" w:hAnsi="Arial"/>
          <w:b/>
          <w:bCs/>
          <w:color w:val="2B5C8A"/>
          <w:sz w:val="26"/>
          <w:szCs w:val="26"/>
          <w:rtl/>
        </w:rPr>
        <w:t xml:space="preserve">10.6 م4 · الكتالوجات والمراجع</w:t>
      </w:r>
      <w:bookmarkEnd w:id="60"/>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(1/3)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(2/3)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المنتجات والرسوم والتمويل والضمانات (3/3)</w:t>
      </w:r>
      <w:bookmarkEnd w:id="63"/>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(1/2)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الكتالوجات المرجعية (2/2)</w:t>
      </w:r>
      <w:bookmarkEnd w:id="65"/>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(1/2)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الأسعار المرجعية والقوائم (2/2)</w:t>
      </w:r>
      <w:bookmarkEnd w:id="67"/>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8" w:id="68"/>
      <w:r>
        <w:rPr>
          <w:rFonts w:ascii="Arial" w:cs="Arial" w:eastAsia="Arial" w:hAnsi="Arial"/>
          <w:b/>
          <w:bCs/>
          <w:color w:val="2B5C8A"/>
          <w:sz w:val="23"/>
          <w:szCs w:val="23"/>
          <w:rtl/>
        </w:rPr>
        <w:t xml:space="preserve">م4 · المراجع العامة (ref) (1/2)</w:t>
      </w:r>
      <w:bookmarkEnd w:id="68"/>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04950"/>
            <wp:effectExtent t="0" r="0" b="0" l="0"/>
            <wp:docPr id="1" name="diagrams/erd/m4_global_ref_1.png" descr="م4 · المراجع العامة (ref) (1/2)" title="م4 · المراجع العامة (ref)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504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2598"/>
        <w:gridCol w:w="1677"/>
        <w:gridCol w:w="894"/>
        <w:gridCol w:w="894"/>
        <w:gridCol w:w="894"/>
        <w:gridCol w:w="894"/>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economic activity of the Saudi classification of economic activities (GASTAT, ISIC Rev.4): section and division; a company's main activity (docs/35 section 5)</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2"/>
        <w:gridCol w:w="1780"/>
        <w:gridCol w:w="1038"/>
        <w:gridCol w:w="1038"/>
        <w:gridCol w:w="962"/>
        <w:gridCol w:w="962"/>
        <w:gridCol w:w="962"/>
      </w:tblGrid>
      <w:tr>
        <w:trPr>
          <w:cantSplit/>
          <w:tblHeader/>
        </w:trPr>
        <w:tc>
          <w:tcPr>
            <w:tcW w:type="dxa" w:w="3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‎ref.Industry.ParentId‎</w:t>
            </w:r>
          </w:p>
        </w:tc>
        <w:tc>
          <w:tcPr>
            <w:tcW w:type="dxa" w:w="17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م4 · المراجع العامة (ref) (2/2)</w:t>
      </w:r>
      <w:bookmarkEnd w:id="69"/>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343150"/>
            <wp:effectExtent t="0" r="0" b="0" l="0"/>
            <wp:docPr id="1" name="diagrams/erd/m4_global_ref_2.png" descr="م4 · المراجع العامة (ref) (2/2)" title="م4 · المراجع العامة (ref)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2343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2250"/>
        <w:gridCol w:w="1886"/>
        <w:gridCol w:w="882"/>
        <w:gridCol w:w="882"/>
        <w:gridCol w:w="882"/>
        <w:gridCol w:w="882"/>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70" w:id="70"/>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70"/>
    </w:p>
    <w:p>
      <w:pPr>
        <w:pStyle w:val="Heading3"/>
        <w:bidi/>
      </w:pPr>
      <w:bookmarkStart w:name="_sec71" w:id="71"/>
      <w:r>
        <w:rPr>
          <w:rFonts w:ascii="Arial" w:cs="Arial" w:eastAsia="Arial" w:hAnsi="Arial"/>
          <w:b/>
          <w:bCs/>
          <w:color w:val="2B5C8A"/>
          <w:sz w:val="23"/>
          <w:szCs w:val="23"/>
          <w:rtl/>
        </w:rPr>
        <w:t xml:space="preserve">م5 · التسهيلات والمراجعات (1/2)</w:t>
      </w:r>
      <w:bookmarkEnd w:id="71"/>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4"/>
        <w:gridCol w:w="1609"/>
        <w:gridCol w:w="856"/>
        <w:gridCol w:w="856"/>
        <w:gridCol w:w="856"/>
        <w:gridCol w:w="856"/>
        <w:gridCol w:w="1207"/>
      </w:tblGrid>
      <w:tr>
        <w:trPr>
          <w:cantSplit/>
          <w:tblHeader/>
        </w:trPr>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التسهيلات والمراجعات (2/2)</w:t>
      </w:r>
      <w:bookmarkEnd w:id="72"/>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181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1181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FacilityLenderDecisionId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27"/>
        <w:gridCol w:w="1487"/>
        <w:gridCol w:w="869"/>
        <w:gridCol w:w="869"/>
        <w:gridCol w:w="869"/>
        <w:gridCol w:w="869"/>
        <w:gridCol w:w="874"/>
      </w:tblGrid>
      <w:tr>
        <w:trPr>
          <w:cantSplit/>
          <w:tblHeader/>
        </w:trPr>
        <w:tc>
          <w:tcPr>
            <w:tcW w:type="dxa" w:w="4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‎fac.FacilityLenderDecision.FacilityId‎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‎fac.FacilityLenderDecision.LenderInstitutionId‎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‎fac.FacilityLenderDecision.VerifiedBy‎</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‎fac.FacilityLenderDecision.ConflictId‎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الحدود والاستخدام والحجوزات (1/2)</w:t>
      </w:r>
      <w:bookmarkEnd w:id="73"/>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27"/>
        <w:gridCol w:w="1749"/>
        <w:gridCol w:w="869"/>
        <w:gridCol w:w="869"/>
        <w:gridCol w:w="869"/>
        <w:gridCol w:w="869"/>
        <w:gridCol w:w="1312"/>
      </w:tblGrid>
      <w:tr>
        <w:trPr>
          <w:cantSplit/>
          <w:tblHeader/>
        </w:trPr>
        <w:tc>
          <w:tcPr>
            <w:tcW w:type="dxa" w:w="3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الحدود والاستخدام والحجوزات (2/2)</w:t>
      </w:r>
      <w:bookmarkEnd w:id="74"/>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486727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8672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0"/>
        <w:gridCol w:w="1505"/>
        <w:gridCol w:w="847"/>
        <w:gridCol w:w="847"/>
        <w:gridCol w:w="847"/>
        <w:gridCol w:w="847"/>
        <w:gridCol w:w="1731"/>
      </w:tblGrid>
      <w:tr>
        <w:trPr>
          <w:cantSplit/>
          <w:tblHeader/>
        </w:trPr>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TransferredToFacilityId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التسعير وشروط المقارنة (1/2)</w:t>
      </w:r>
      <w:bookmarkEnd w:id="75"/>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2"/>
        <w:gridCol w:w="1728"/>
        <w:gridCol w:w="867"/>
        <w:gridCol w:w="867"/>
        <w:gridCol w:w="867"/>
        <w:gridCol w:w="867"/>
        <w:gridCol w:w="1296"/>
      </w:tblGrid>
      <w:tr>
        <w:trPr>
          <w:cantSplit/>
          <w:tblHeader/>
        </w:trPr>
        <w:tc>
          <w:tcPr>
            <w:tcW w:type="dxa" w:w="3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التسعير وشروط المقارنة (2/2)</w:t>
      </w:r>
      <w:bookmarkEnd w:id="76"/>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1891"/>
        <w:gridCol w:w="882"/>
        <w:gridCol w:w="882"/>
        <w:gridCol w:w="882"/>
        <w:gridCol w:w="882"/>
        <w:gridCol w:w="1418"/>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الضمانات (1/2)</w:t>
      </w:r>
      <w:bookmarkEnd w:id="77"/>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الضمانات (2/2)</w:t>
      </w:r>
      <w:bookmarkEnd w:id="78"/>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الالتزامات والتعهدات (1/3)</w:t>
      </w:r>
      <w:bookmarkEnd w:id="79"/>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1.png" descr="م5 · الالتزامات والتعهدات (1/3)" title="م5 · الالتزامات والتعهد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1"/>
        <w:gridCol w:w="2104"/>
        <w:gridCol w:w="1661"/>
        <w:gridCol w:w="832"/>
        <w:gridCol w:w="832"/>
        <w:gridCol w:w="832"/>
        <w:gridCol w:w="832"/>
      </w:tblGrid>
      <w:tr>
        <w:trPr>
          <w:cantSplit/>
          <w:tblHeader/>
        </w:trPr>
        <w:tc>
          <w:tcPr>
            <w:tcW w:type="dxa" w:w="2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an evaluated test changes only by its review (044, DR-39) (FR-OBL-011, FR-FIN-012/013, BR-OBL-006/007, section 8)</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statements an automatic evaluation read: written by the database from the test's snapshot, never by the application, so the breach report and a restatement find them by key (FR-FIN-017, BR-FIN-015)</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CovenantTestId, StatementId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6"/>
        <w:gridCol w:w="1711"/>
        <w:gridCol w:w="851"/>
        <w:gridCol w:w="851"/>
        <w:gridCol w:w="851"/>
        <w:gridCol w:w="851"/>
        <w:gridCol w:w="1633"/>
      </w:tblGrid>
      <w:tr>
        <w:trPr>
          <w:cantSplit/>
          <w:tblHeader/>
        </w:trPr>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6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FormulaResultUnit, FormulaUsesStatements</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‎obl.CovenantTest.FormulaId‎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‎obl.CovenantTestStatement.CovenantTestId‎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‎obl.CovenantTestStatement.StatementId‎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الالتزامات والتعهدات (2/3)</w:t>
      </w:r>
      <w:bookmarkEnd w:id="80"/>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543425"/>
            <wp:effectExtent t="0" r="0" b="0" l="0"/>
            <wp:docPr id="1" name="diagrams/erd/m5_obligations_2.png" descr="م5 · الالتزامات والتعهدات (2/3)" title="م5 · الالتزامات والتعهد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543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8"/>
        <w:gridCol w:w="2254"/>
        <w:gridCol w:w="2040"/>
        <w:gridCol w:w="828"/>
        <w:gridCol w:w="828"/>
        <w:gridCol w:w="828"/>
        <w:gridCol w:w="828"/>
      </w:tblGrid>
      <w:tr>
        <w:trPr>
          <w:cantSplit/>
          <w:tblHeader/>
        </w:trPr>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 a final status stays (044, DR-39)</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1610"/>
        <w:gridCol w:w="837"/>
        <w:gridCol w:w="837"/>
        <w:gridCol w:w="837"/>
        <w:gridCol w:w="837"/>
        <w:gridCol w:w="1750"/>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TestPeriodEnd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‎obl.ObligationBreach.WaiverApprovedBy‎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1" w:id="81"/>
      <w:r>
        <w:rPr>
          <w:rFonts w:ascii="Arial" w:cs="Arial" w:eastAsia="Arial" w:hAnsi="Arial"/>
          <w:b/>
          <w:bCs/>
          <w:color w:val="2B5C8A"/>
          <w:sz w:val="23"/>
          <w:szCs w:val="23"/>
          <w:rtl/>
        </w:rPr>
        <w:t xml:space="preserve">م5 · الالتزامات والتعهدات (3/3)</w:t>
      </w:r>
      <w:bookmarkEnd w:id="81"/>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028950"/>
            <wp:effectExtent t="0" r="0" b="0" l="0"/>
            <wp:docPr id="1" name="diagrams/erd/m5_obligations_3.png" descr="م5 · الالتزامات والتعهدات (3/3)" title="م5 · الالتزامات والتعهد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028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744"/>
        <w:gridCol w:w="2289"/>
        <w:gridCol w:w="830"/>
        <w:gridCol w:w="830"/>
        <w:gridCol w:w="830"/>
        <w:gridCol w:w="830"/>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7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26"/>
        <w:gridCol w:w="1829"/>
        <w:gridCol w:w="854"/>
        <w:gridCol w:w="854"/>
        <w:gridCol w:w="854"/>
        <w:gridCol w:w="854"/>
        <w:gridCol w:w="1193"/>
      </w:tblGrid>
      <w:tr>
        <w:trPr>
          <w:cantSplit/>
          <w:tblHeader/>
        </w:trPr>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82" w:id="82"/>
      <w:r>
        <w:rPr>
          <w:rFonts w:ascii="Arial" w:cs="Arial" w:eastAsia="Arial" w:hAnsi="Arial"/>
          <w:b/>
          <w:bCs/>
          <w:color w:val="2B5C8A"/>
          <w:sz w:val="23"/>
          <w:szCs w:val="23"/>
          <w:rtl/>
        </w:rPr>
        <w:t xml:space="preserve">م5 · البيانات المالية والأرصدة (1/15)</w:t>
      </w:r>
      <w:bookmarkEnd w:id="8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619250"/>
            <wp:effectExtent t="0" r="0" b="0" l="0"/>
            <wp:docPr id="1" name="diagrams/erd/m5_financials_1.png" descr="م5 · البيانات المالية والأرصدة (1/15)" title="م5 · البيانات المالية والأرصدة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1619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‎fin.AssessmentEvidencePack‎</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sealed evidence pack of an endorsed assessment, built for an auditor or a lender: the assessment, its statement versions and lines, findings, reconciliation, calibration and audit rows in one JSON document whose SHA-256 is kept here; the same content gives the same hash (ADR 0030)</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AssessmentEvidencePackId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product or service line of a company for a fiscal year: its category, share of revenue and of inventory, and its sales channels; read by the credit assessment for the quality of cash flows and the liquidity of the inventory (docs/35 section 5)</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CompanyProductLineId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7"/>
        <w:gridCol w:w="1686"/>
        <w:gridCol w:w="863"/>
        <w:gridCol w:w="863"/>
        <w:gridCol w:w="863"/>
        <w:gridCol w:w="863"/>
        <w:gridCol w:w="1349"/>
      </w:tblGrid>
      <w:tr>
        <w:trPr>
          <w:cantSplit/>
          <w:tblHeader/>
        </w:trPr>
        <w:tc>
          <w:tcPr>
            <w:tcW w:type="dxa" w:w="33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‎fin.AccountMonthlyStat.EnteredBy‎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‎fin.AccountMonthlyStat.ConfirmedBy‎</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‎fin.AccountMonthlyStat.LastReopenedBy‎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‎fin.AssessmentEvidencePack.AssessmentId‎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‎fin.AssessmentEvidencePack.GeneratedBy‎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‎fin.BankFlowEntry.FlowKindListId‎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FlowKindListCode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FlowKindListId</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‎fin.BankFlowEntry.EnteredBy‎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‎fin.BankFlowEntry.ConfirmedBy‎</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‎fin.BankFlowEntry.LastReopenedBy‎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‎fin.CompanyProductLine.CompanyId‎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‎fin.CompanyProductLine.ProductCategoryId‎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م5 · البيانات المالية والأرصدة (2/15)</w:t>
      </w:r>
      <w:bookmarkEnd w:id="8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62250"/>
            <wp:effectExtent t="0" r="0" b="0" l="0"/>
            <wp:docPr id="1" name="diagrams/erd/m5_financials_2.png" descr="م5 · البيانات المالية والأرصدة (2/15)" title="م5 · البيانات المالية والأرصدة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2762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unit of a holding's consolidated statement: the parent, each subsidiary, associate and joint venture, with its method and ownership (FR-FIN-015, BR-FIN-013; owner request 2026-10-18)</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ConsolidationMemberId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city or region of a country and how much more or less its property falls, and how exposed it is to conflict, than its country (docs/35 section 14)</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CountryRegionId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CountryRiskProfileId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3"/>
        <w:gridCol w:w="1730"/>
        <w:gridCol w:w="853"/>
        <w:gridCol w:w="853"/>
        <w:gridCol w:w="853"/>
        <w:gridCol w:w="853"/>
        <w:gridCol w:w="1179"/>
      </w:tblGrid>
      <w:tr>
        <w:trPr>
          <w:cantSplit/>
          <w:tblHeader/>
        </w:trPr>
        <w:tc>
          <w:tcPr>
            <w:tcW w:type="dxa" w:w="3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‎fin.ConsolidationMember.StatementId‎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StatementBasis</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‎fin.ConsolidationMember.MemberCompanyId‎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‎fin.ConsolidationMember.MemberStatementId‎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MemberCompanyId</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‎fin.CountryRegion.CountryId‎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‎fin.CountryRiskProfile.CountryId‎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‎fin.CountryRiskProfile.SovereignRatingGradeId‎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‎fin.CountryRiskProfile.CeilingGradeId‎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‎fin.CreditAssessment.CompanyId‎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‎fin.CreditAssessment.StatementId‎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‎fin.CreditAssessment.PriorStatementId‎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‎fin.CreditAssessment.ScorecardId‎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‎fin.CreditAssessment.UsedPriorStatementId‎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‎fin.CreditAssessment.FinancialGradeId‎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‎fin.CreditAssessment.IndicatedGradeId‎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‎fin.CreditAssessment.CapGradeId‎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‎fin.CreditAssessment.StandaloneGradeId‎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‎fin.CreditAssessment.FinalGradeId‎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‎fin.CreditAssessment.PreparedBy‎</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‎fin.CreditAssessment.ApprovedBy‎</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‎fin.CreditAssessment.EndorsedBy‎</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‎fin.CreditAssessment.IndustryId‎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‎fin.CreditAssessment.MarketCountryId‎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‎fin.CreditAssessment.AnchorGradeId‎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‎fin.CreditAssessment.CountryCeilingGradeId‎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م5 · البيانات المالية والأرصدة (3/15)</w:t>
      </w:r>
      <w:bookmarkEnd w:id="8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904875"/>
            <wp:effectExtent t="0" r="0" b="0" l="0"/>
            <wp:docPr id="1" name="diagrams/erd/m5_financials_3.png" descr="م5 · البيانات المالية والأرصدة (3/15)" title="م5 · البيانات المالية والأرصدة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904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(3/15)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company's SIMAH commercial credit report the analyst read: exposure at all lenders, payment behaviour, defaults, bounced cheques, judgments (docs/35 section 10); changes only while the assessment is a draft</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CreditAssessmentBureauId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facility of the company read from the platform on the assessment date: its limit, outstanding, lender, commitment, expiry and collateral cover, in the statement currency; written by fin.usp_ComputeCreditAssessment only (docs/35 section 10)</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CreditAssessmentFacilityId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scorecard metric of an assessment: its value, its score on the linear continuum, its grade, weight and contribution; written by fin.usp_ComputeCreditAssessment only (BR-FIN-018, BR-FIN-019)</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CreditAssessmentFactorId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CreditAssessmentFindingId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24"/>
        <w:gridCol w:w="2015"/>
        <w:gridCol w:w="825"/>
        <w:gridCol w:w="825"/>
        <w:gridCol w:w="825"/>
        <w:gridCol w:w="825"/>
        <w:gridCol w:w="825"/>
      </w:tblGrid>
      <w:tr>
        <w:trPr>
          <w:cantSplit/>
          <w:tblHeader/>
        </w:trPr>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‎fin.CreditAssessmentBureau.DocumentId‎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‎fin.CreditAssessmentFacility.FacilityId‎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‎fin.CreditAssessmentFacility.LenderInstitutionId‎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‎fin.CreditAssessmentFacility.CurrencyId‎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‎fin.CreditAssessmentFacility.LenderDecisionId‎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‎fin.CreditAssessmentFactor.AssessmentId‎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‎fin.CreditAssessmentFactor.MetricId‎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‎fin.CreditAssessmentFactor.GradeId‎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م5 · البيانات المالية والأرصدة (4/15)</w:t>
      </w:r>
      <w:bookmarkEnd w:id="8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266825"/>
            <wp:effectExtent t="0" r="0" b="0" l="0"/>
            <wp:docPr id="1" name="diagrams/erd/m5_financials_4.png" descr="م5 · البيانات المالية والأرصدة (4/15)" title="م5 · البيانات المالية والأرصدة (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266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(4/15)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2383"/>
        <w:gridCol w:w="2074"/>
        <w:gridCol w:w="795"/>
        <w:gridCol w:w="795"/>
        <w:gridCol w:w="795"/>
        <w:gridCol w:w="795"/>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guarantor of the company's facilities with the net worth statement the analyst read: partners' solvency for the facility grade (docs/35 section 10); changes only while the assessment is a draft</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CreditAssessmentGuarantorId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analyst's inputs to an assessment: the grade of a qualitative factor, group support or an override, each with its justification; they change only while the assessment is a draft (BR-FIN-021, BR-FIN-022)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CreditAssessmentInputId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strengthening plan computed for the assessment when the customer asked for one: the grade at its end and whether the balance sheet stayed balanced; written by fin.usp_ComputeCreditAssessment only (docs/35 section 12)</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strengthening plan: the remedy applied, the amount it moved and the grade after it</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CreditAssessmentPlanStepId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0"/>
        <w:gridCol w:w="1884"/>
        <w:gridCol w:w="842"/>
        <w:gridCol w:w="842"/>
        <w:gridCol w:w="842"/>
        <w:gridCol w:w="842"/>
        <w:gridCol w:w="842"/>
      </w:tblGrid>
      <w:tr>
        <w:trPr>
          <w:cantSplit/>
          <w:tblHeader/>
        </w:trPr>
        <w:tc>
          <w:tcPr>
            <w:tcW w:type="dxa" w:w="3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‎fin.CreditAssessmentGuarantor.PartyId‎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‎fin.CreditAssessmentGuarantor.DocumentId‎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‎fin.CreditAssessmentInput.MetricId‎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‎fin.CreditAssessmentInput.SubfactorId‎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‎fin.CreditAssessmentInput.CurrencyId‎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‎fin.CreditAssessmentInput.GradeId‎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‎fin.CreditAssessmentInput.ParentAssessmentId‎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‎fin.CreditAssessmentInput.DocumentId‎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‎fin.CreditAssessmentInput.EnteredBy‎</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‎fin.CreditAssessmentPlan.PlanId‎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‎fin.CreditAssessmentPlan.FinalGradeId‎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‎fin.CreditAssessmentPlanStep.PlanId‎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‎fin.CreditAssessmentPlanStep.RemedyId‎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‎fin.CreditAssessmentPlanStep.GradeId‎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م5 · البيانات المالية والأرصدة (5/15)</w:t>
      </w:r>
      <w:bookmarkEnd w:id="86"/>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7700"/>
            <wp:effectExtent t="0" r="0" b="0" l="0"/>
            <wp:docPr id="1" name="diagrams/erd/m5_financials_5.png" descr="م5 · البيانات المالية والأرصدة (5/15)" title="م5 · البيانات المالية والأرصدة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647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(5/15)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row of the reconciliation of the analytical statement: a standard adjustment that moved an amount of a reported line to an analytical bucket; written by fin.usp_ComputeCreditAssessment only (docs/35 section 6)</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CreditAssessmentReclassId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with the finding it answers and the grade the pro-forma statement would get; written by fin.usp_ComputeCreditAssessment only (docs/35 section 12)</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CreditAssessmentRemedyId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assessment recomputed on the statement under each macro scenario, with the stress applied: the grade, the liquidity label and the notches lost; written by fin.usp_ComputeCreditAssessment only (docs/35 section 13)</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CreditAssessmentScenarioId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What would move the scorecard grade one notch: the value of a metric at which the weighted score crosses to the grade above or below, the other metrics unchanged (docs/35 section 15)</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CreditAssessmentTriggerId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758"/>
        <w:gridCol w:w="847"/>
        <w:gridCol w:w="847"/>
        <w:gridCol w:w="847"/>
        <w:gridCol w:w="847"/>
        <w:gridCol w:w="847"/>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‎fin.CreditAssessmentRemedy.RemedyId‎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‎fin.CreditAssessmentRemedy.ProFormaGradeId‎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‎fin.CreditAssessmentScenario.MacroScenarioId‎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‎fin.CreditAssessmentScenario.GradeId‎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‎fin.CreditAssessmentTrigger.MetricId‎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م5 · البيانات المالية والأرصدة (6/15)</w:t>
      </w:r>
      <w:bookmarkEnd w:id="87"/>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5_financials_6.png" descr="م5 · البيانات المالية والأرصدة (6/15)" title="م5 · البيانات المالية والأرصدة (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(6/15)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metric dictionary of the credit assessment: how each ratio is computed from the statement lines, its unit and direction, and the texts of its strength and weakness (docs/35 section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CreditMetricId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against a finding: a real action, or a presentation that follows the legal substance and needs its evidence, with the change it makes to the statement for the pro-forma grade (docs/35 section 12)</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remedy's pro-forma: an amount, a share of a reference line capped by what the lines decreased hold, taken from up to three lines and added to up to three</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CreditRemedyStepId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a remedy answers: a metric or an adjustment code</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CreditRemedyTriggerId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7"/>
        <w:gridCol w:w="1792"/>
        <w:gridCol w:w="897"/>
        <w:gridCol w:w="897"/>
        <w:gridCol w:w="897"/>
        <w:gridCol w:w="897"/>
        <w:gridCol w:w="897"/>
      </w:tblGrid>
      <w:tr>
        <w:trPr>
          <w:cantSplit/>
          <w:tblHeader/>
        </w:trPr>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‎fin.CreditRemedyStep.RemedyId‎</w:t>
            </w:r>
          </w:p>
        </w:tc>
        <w:tc>
          <w:tcPr>
            <w:tcW w:type="dxa" w:w="17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‎fin.CreditRemedyTrigger.RemedyId‎</w:t>
            </w:r>
          </w:p>
        </w:tc>
        <w:tc>
          <w:tcPr>
            <w:tcW w:type="dxa" w:w="17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م5 · البيانات المالية والأرصدة (7/15)</w:t>
      </w:r>
      <w:bookmarkEnd w:id="88"/>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952500"/>
            <wp:effectExtent t="0" r="0" b="0" l="0"/>
            <wp:docPr id="1" name="diagrams/erd/m5_financials_7.png" descr="م5 · البيانات المالية والأرصدة (7/15)" title="م5 · البيانات المالية والأرصدة (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952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(7/15)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‎fin.CreditText‎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text of the credit report: the reconciliation rows, the disclosures and data the report asks for, the outlook rules and views, the liquidity labels, the resilience and the funding kinds (docs/35)</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CreditTextId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early warning the job JOB-FIN-READINESS issued: a lender date of the company within the lead time that is not ready, once per stage of the time left and readiness, so a run after a stop or a second run of the day repeats nothing; written by the database only, with the notification request in the outbox, FIN.READINESS_RED or FIN.READINESS_AMBER (docs/36 F4, ADR 0027, ADR 0028)</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EarlyWarningAlertId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IndustryProfileId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7"/>
        <w:gridCol w:w="1949"/>
        <w:gridCol w:w="871"/>
        <w:gridCol w:w="871"/>
        <w:gridCol w:w="871"/>
        <w:gridCol w:w="871"/>
        <w:gridCol w:w="974"/>
      </w:tblGrid>
      <w:tr>
        <w:trPr>
          <w:cantSplit/>
          <w:tblHeader/>
        </w:trPr>
        <w:tc>
          <w:tcPr>
            <w:tcW w:type="dxa" w:w="3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‎fin.EarlyWarningAlert.AssessmentId‎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 Nature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‎fin.IndustryProfile.CeilingGradeId‎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م5 · البيانات المالية والأرصدة (8/15)</w:t>
      </w:r>
      <w:bookmarkEnd w:id="89"/>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190750"/>
            <wp:effectExtent t="0" r="0" b="0" l="0"/>
            <wp:docPr id="1" name="diagrams/erd/m5_financials_8.png" descr="م5 · البيانات المالية والأرصدة (8/15)" title="م5 · البيانات المالية والأرصدة (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190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(8/15)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3"/>
        <w:gridCol w:w="1818"/>
        <w:gridCol w:w="2271"/>
        <w:gridCol w:w="823"/>
        <w:gridCol w:w="823"/>
        <w:gridCol w:w="823"/>
        <w:gridCol w:w="823"/>
      </w:tblGrid>
      <w:tr>
        <w:trPr>
          <w:cantSplit/>
          <w:tblHeader/>
        </w:trPr>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w:t>
            </w:r>
          </w:p>
        </w:tc>
        <w:tc>
          <w:tcPr>
            <w:tcW w:type="dxa" w:w="1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sensitivity 0 (none) to 5 (extreme) of an activity to a driver of stress (docs/35 section 14)</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IndustrySensitivityId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w:t>
            </w:r>
          </w:p>
        </w:tc>
        <w:tc>
          <w:tcPr>
            <w:tcW w:type="dxa" w:w="1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rating of the company that a lender communicated to it: the lender's own grade and its equivalent on the 21-grade scale (given by the lender or mapped by the treasury), with what the lender said; compared with the company's assessment of that date (docs/36 F6, ADR 0026)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LenderRatingId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51 items seeded, twelve of them for the credit assessment; system items used in formulas cannot be deleted (FR-FIN-001, FR-FIN-020, CatalogBase)</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3"/>
        <w:gridCol w:w="1741"/>
        <w:gridCol w:w="854"/>
        <w:gridCol w:w="854"/>
        <w:gridCol w:w="854"/>
        <w:gridCol w:w="854"/>
        <w:gridCol w:w="854"/>
      </w:tblGrid>
      <w:tr>
        <w:trPr>
          <w:cantSplit/>
          <w:tblHeader/>
        </w:trPr>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‎fin.IndustrySensitivity.IndustryId‎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‎fin.IndustrySensitivity.ShockDriverId‎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‎fin.LenderRating.CompanyId‎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‎fin.LenderRating.LenderInstitutionId‎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‎fin.LenderRating.GradeId‎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‎fin.LenderRating.SourceDocumentId‎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‎fin.LenderRating.VerifiedBy‎</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‎fin.LenderRating.ConflictId‎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0" w:id="90"/>
      <w:r>
        <w:rPr>
          <w:rFonts w:ascii="Arial" w:cs="Arial" w:eastAsia="Arial" w:hAnsi="Arial"/>
          <w:b/>
          <w:bCs/>
          <w:color w:val="2B5C8A"/>
          <w:sz w:val="23"/>
          <w:szCs w:val="23"/>
          <w:rtl/>
        </w:rPr>
        <w:t xml:space="preserve">م5 · البيانات المالية والأرصدة (9/15)</w:t>
      </w:r>
      <w:bookmarkEnd w:id="90"/>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81325"/>
            <wp:effectExtent t="0" r="0" b="0" l="0"/>
            <wp:docPr id="1" name="diagrams/erd/m5_financials_9.png" descr="م5 · البيانات المالية والأرصدة (9/15)" title="م5 · البيانات المالية والأرصدة (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2981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(9/15)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24"/>
        <w:gridCol w:w="1745"/>
        <w:gridCol w:w="2327"/>
        <w:gridCol w:w="817"/>
        <w:gridCol w:w="817"/>
        <w:gridCol w:w="817"/>
        <w:gridCol w:w="817"/>
      </w:tblGrid>
      <w:tr>
        <w:trPr>
          <w:cantSplit/>
          <w:tblHeader/>
        </w:trPr>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multiplier of a macro scenario's stress for a country it hits more or less than others; a country without a row takes the scenario's OtherCountryMult (docs/35 section 14, ADR 0020)</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MacroScenarioCountryId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intensity 0 to 1 of a driver in a macro scenario (docs/35 section 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MacroScenarioIntensityId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6"/>
        <w:gridCol w:w="1673"/>
        <w:gridCol w:w="857"/>
        <w:gridCol w:w="857"/>
        <w:gridCol w:w="857"/>
        <w:gridCol w:w="857"/>
        <w:gridCol w:w="857"/>
      </w:tblGrid>
      <w:tr>
        <w:trPr>
          <w:cantSplit/>
          <w:tblHeader/>
        </w:trPr>
        <w:tc>
          <w:tcPr>
            <w:tcW w:type="dxa" w:w="3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‎fin.MacroScenarioCountry.MacroScenarioId‎</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‎fin.MacroScenarioCountry.CountryId‎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‎fin.MacroScenarioIntensity.MacroScenarioId‎</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‎fin.MacroScenarioIntensity.ShockDriverId‎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1" w:id="91"/>
      <w:r>
        <w:rPr>
          <w:rFonts w:ascii="Arial" w:cs="Arial" w:eastAsia="Arial" w:hAnsi="Arial"/>
          <w:b/>
          <w:bCs/>
          <w:color w:val="2B5C8A"/>
          <w:sz w:val="23"/>
          <w:szCs w:val="23"/>
          <w:rtl/>
        </w:rPr>
        <w:t xml:space="preserve">م5 · البيانات المالية والأرصدة (10/15)</w:t>
      </w:r>
      <w:bookmarkEnd w:id="91"/>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00400"/>
            <wp:effectExtent t="0" r="0" b="0" l="0"/>
            <wp:docPr id="1" name="diagrams/erd/m5_financials_10.png" descr="م5 · البيانات المالية والأرصدة (10/15)" title="م5 · البيانات المالية والأرصدة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3200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(10/15)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6"/>
        <w:gridCol w:w="1671"/>
        <w:gridCol w:w="2371"/>
        <w:gridCol w:w="814"/>
        <w:gridCol w:w="814"/>
        <w:gridCol w:w="814"/>
        <w:gridCol w:w="814"/>
      </w:tblGrid>
      <w:tr>
        <w:trPr>
          <w:cantSplit/>
          <w:tblHeader/>
        </w:trPr>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PresentationVersionId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the methodology the company chose for a presentation version, in order, with the document that supports it; the amount it moved is written by the build (docs/36 F2, ADR 0023)</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PresentationVersionStepId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category of products or services and its credit behaviour: cash-flow quality, revenue sensitivity, inventory sale value and time to sell in normal, stagnant and crisis markets (docs/35 section 5)</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21 grades of the Moody's long-term scale, their range on the scorecard continuum and their risk band (docs/35 section 2, BR-FIN-018)</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RatingGradeId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8"/>
        <w:gridCol w:w="1996"/>
        <w:gridCol w:w="844"/>
        <w:gridCol w:w="844"/>
        <w:gridCol w:w="844"/>
        <w:gridCol w:w="844"/>
        <w:gridCol w:w="844"/>
      </w:tblGrid>
      <w:tr>
        <w:trPr>
          <w:cantSplit/>
          <w:tblHeader/>
        </w:trPr>
        <w:tc>
          <w:tcPr>
            <w:tcW w:type="dxa" w:w="3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‎fin.PresentationVersion.SourceStatementId‎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‎fin.PresentationVersion.SourceAssessmentId‎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‎fin.PresentationVersion.ResultStatementId‎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‎fin.PresentationVersion.TrialAssessmentId‎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‎fin.PresentationVersion.PreparedBy‎</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‎fin.PresentationVersion.ChosenBy‎</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‎fin.PresentationVersionStep.VersionId‎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‎fin.PresentationVersionStep.RemedyId‎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‎fin.PresentationVersionStep.DocumentId‎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م5 · البيانات المالية والأرصدة (11/15)</w:t>
      </w:r>
      <w:bookmarkEnd w:id="9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038225"/>
            <wp:effectExtent t="0" r="0" b="0" l="0"/>
            <wp:docPr id="1" name="diagrams/erd/m5_financials_11.png" descr="م5 · البيانات المالية والأرصدة (11/15)" title="م5 · البيانات المالية والأرصدة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1038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‎fin.ReceivableLossRate‎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loss rate of a receivables ageing bucket for the provision matrix the company compares its recorded allowance with (a provision matrix in the manner of the simplified approach for trade receivables, a check of the allowance and not a measurement under IFRS 9; owner decision 35, ADR 0030); the defaults of the pack FIN.PROVISION are for the treasury to approve or change</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ReceivableLossRateId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close of a company's reporting periods: through LockedThrough no actual statement, version, monthly balance or bank flow of the company is added, changed or removed; locked once its figures are approved or confirmed, reopened with a reason by someone other than the one who locked it (optional for each company; docs/38 item 2, ADR 0031)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ReportingPeriodLockId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 revenue estimate for a fiscal year, used by a revenue-share covenant with RevenueBasisRule MANUAL_ESTIMATE (Q-FIN-05, BR-FIN-008, self-review B4)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RevenueEstimateId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‎fin.RiskAnchor‎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anchor of a company's business risk from its country risk and its industry risk, a notch of the 21-grade scale: the computed sector risk sub-factor and the centre of the expected range (docs/35 section 13)</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RiskAnchorId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392"/>
        <w:gridCol w:w="905"/>
        <w:gridCol w:w="905"/>
        <w:gridCol w:w="905"/>
        <w:gridCol w:w="905"/>
        <w:gridCol w:w="90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‎fin.ReceivableLossRate.PreparedBy‎</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‎fin.ReceivableLossRate.ApprovedBy‎</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‎fin.ReportingPeriodLock.CompanyId‎</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‎fin.ReportingPeriodLock.LockedBy‎</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‎fin.ReportingPeriodLock.ReopenedBy‎</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‎fin.RevenueEstimate.CompanyId‎</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‎fin.RevenueEstimate.CurrencyId‎</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‎fin.RevenueEstimate.DocumentId‎</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‎fin.RevenueEstimate.PreparedBy‎</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‎fin.RevenueEstimate.ApprovedBy‎</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م5 · البيانات المالية والأرصدة (12/15)</w:t>
      </w:r>
      <w:bookmarkEnd w:id="9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00250"/>
            <wp:effectExtent t="0" r="0" b="0" l="0"/>
            <wp:docPr id="1" name="diagrams/erd/m5_financials_12.png" descr="م5 · البيانات المالية والأرصدة (12/15)" title="م5 · البيانات المالية والأرصدة (1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2000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sector scorecard of the credit assessment and its version; approved, it never changes and a change is a new version (docs/35 section 5, BR-FIN-023)</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adjustment of a scorecard: notches down, a standalone cap or an absolute cap on the best grade, applied in that order around group support and the override (docs/35 section 7)</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ScorecardAdjustmentId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balance-sheet item rule of a scorecard: the item, its metric and the thresholds of LOW, MODERATE, ELEVATED, HIGH and CRITICAL; a value on a threshold belongs to the worse level (docs/35 section 6)</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ScorecardItemRuleId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metric of a scorecard: its factor, its weight and the nine boundaries of its grid (best cap, Aaa|Aa, Aa|A, A|Baa, Baa|Ba, Ba|B, B|Caa, Caa|Ca, worst cap); a qualitative metric has no grid (docs/35 section 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ScorecardMetricId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4"/>
        <w:gridCol w:w="1705"/>
        <w:gridCol w:w="885"/>
        <w:gridCol w:w="885"/>
        <w:gridCol w:w="885"/>
        <w:gridCol w:w="885"/>
        <w:gridCol w:w="885"/>
      </w:tblGrid>
      <w:tr>
        <w:trPr>
          <w:cantSplit/>
          <w:tblHeader/>
        </w:trPr>
        <w:tc>
          <w:tcPr>
            <w:tcW w:type="dxa" w:w="3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‎fin.Scorecard.CurrencyId‎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‎fin.ScorecardAdjustment.CapGradeId‎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‎fin.ScorecardItemRule.MetricId‎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‎fin.ScorecardMetric.MetricId‎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م5 · البيانات المالية والأرصدة (13/15)</w:t>
      </w:r>
      <w:bookmarkEnd w:id="9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57225"/>
            <wp:effectExtent t="0" r="0" b="0" l="0"/>
            <wp:docPr id="1" name="diagrams/erd/m5_financials_13.png" descr="م5 · البيانات المالية والأرصدة (13/15)" title="م5 · البيانات المالية والأرصدة (1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657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(13/15)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645"/>
        <w:gridCol w:w="1887"/>
        <w:gridCol w:w="814"/>
        <w:gridCol w:w="814"/>
        <w:gridCol w:w="814"/>
        <w:gridCol w:w="814"/>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parameter of a scorecard version: a haircut of the break-up test, a collateral haircut, a band of the loss given default, a liquidity threshold, a cost rule; frozen with its scorecard (docs/35 sections 5, 9 and 10)</w:t>
            </w:r>
          </w:p>
        </w:tc>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ScorecardParameterId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sub-factor of a qualitative factor of a scorecard, with its grading guide; the factor's grade is the average of the graded sub-factors when the analyst grades them (docs/35 section 5)</w:t>
            </w:r>
          </w:p>
        </w:tc>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ScorecardSubfactorId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driver of stress: private demand, government spending, real estate, conflict, oil, credit, imports and currency; its effect at full intensity on revenue, gross margin and collection days (docs/35 section 14, ADR 0019)</w:t>
            </w:r>
          </w:p>
        </w:tc>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ShockDriverId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6"/>
        <w:gridCol w:w="1733"/>
        <w:gridCol w:w="889"/>
        <w:gridCol w:w="889"/>
        <w:gridCol w:w="889"/>
        <w:gridCol w:w="889"/>
        <w:gridCol w:w="889"/>
      </w:tblGrid>
      <w:tr>
        <w:trPr>
          <w:cantSplit/>
          <w:tblHeader/>
        </w:trPr>
        <w:tc>
          <w:tcPr>
            <w:tcW w:type="dxa" w:w="3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‎fin.ScorecardParameter.ScorecardId‎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‎fin.ScorecardSubfactor.ScorecardId‎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‎fin.ScorecardSubfactor.MetricId‎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م5 · البيانات المالية والأرصدة (14/15)</w:t>
      </w:r>
      <w:bookmarkEnd w:id="9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5_financials_14.png" descr="م5 · البيانات المالية والأرصدة (14/15)" title="م5 · البيانات المالية والأرصدة (1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(14/15)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3"/>
        <w:gridCol w:w="1994"/>
        <w:gridCol w:w="2151"/>
        <w:gridCol w:w="834"/>
        <w:gridCol w:w="834"/>
        <w:gridCol w:w="834"/>
        <w:gridCol w:w="834"/>
      </w:tblGrid>
      <w:tr>
        <w:trPr>
          <w:cantSplit/>
          <w:tblHeader/>
        </w:trPr>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‎fin.StandardLineTotal‎</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components of a standard total and their sign, so a total is recomputed after a pro-forma change (docs/35 section 12)</w:t>
            </w:r>
          </w:p>
        </w:tc>
        <w:tc>
          <w:tcPr>
            <w:tcW w:type="dxa" w:w="2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StandardLineTotalId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2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analysis measure computed on an approved statement, for the study of the balance sheet; written by the engine (FR-FIN-016, BR-FIN-014)</w:t>
            </w:r>
          </w:p>
        </w:tc>
        <w:tc>
          <w:tcPr>
            <w:tcW w:type="dxa" w:w="2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StatementRatioId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ready-made plan to strengthen the statements: a package of remedies applied one after another, or the best plan the engine builds step by step from the remedies the findings call for (docs/35 section 12)</w:t>
            </w:r>
          </w:p>
        </w:tc>
        <w:tc>
          <w:tcPr>
            <w:tcW w:type="dxa" w:w="2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99"/>
        <w:gridCol w:w="2135"/>
        <w:gridCol w:w="866"/>
        <w:gridCol w:w="866"/>
        <w:gridCol w:w="866"/>
        <w:gridCol w:w="866"/>
        <w:gridCol w:w="866"/>
      </w:tblGrid>
      <w:tr>
        <w:trPr>
          <w:cantSplit/>
          <w:tblHeader/>
        </w:trPr>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‎fin.StatementRatio.FormulaId‎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6" w:id="96"/>
      <w:r>
        <w:rPr>
          <w:rFonts w:ascii="Arial" w:cs="Arial" w:eastAsia="Arial" w:hAnsi="Arial"/>
          <w:b/>
          <w:bCs/>
          <w:color w:val="2B5C8A"/>
          <w:sz w:val="23"/>
          <w:szCs w:val="23"/>
          <w:rtl/>
        </w:rPr>
        <w:t xml:space="preserve">م5 · البيانات المالية والأرصدة (15/15)</w:t>
      </w:r>
      <w:bookmarkEnd w:id="96"/>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90825"/>
            <wp:effectExtent t="0" r="0" b="0" l="0"/>
            <wp:docPr id="1" name="diagrams/erd/m5_financials_15.png" descr="م5 · البيانات المالية والأرصدة (15/15)" title="م5 · البيانات المالية والأرصدة (1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2790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(15/15)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2"/>
        <w:gridCol w:w="924"/>
        <w:gridCol w:w="2702"/>
        <w:gridCol w:w="829"/>
        <w:gridCol w:w="829"/>
        <w:gridCol w:w="829"/>
        <w:gridCol w:w="829"/>
      </w:tblGrid>
      <w:tr>
        <w:trPr>
          <w:cantSplit/>
          <w:tblHeader/>
        </w:trPr>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a package plan, in the order the plan applies it</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StrengtheningPlanMemberId</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96"/>
        <w:gridCol w:w="2038"/>
        <w:gridCol w:w="866"/>
        <w:gridCol w:w="866"/>
        <w:gridCol w:w="866"/>
        <w:gridCol w:w="866"/>
        <w:gridCol w:w="866"/>
      </w:tblGrid>
      <w:tr>
        <w:trPr>
          <w:cantSplit/>
          <w:tblHeader/>
        </w:trPr>
        <w:tc>
          <w:tcPr>
            <w:tcW w:type="dxa" w:w="3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‎fin.StrengtheningPlanMember.PlanId‎</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‎fin.StrengtheningPlanMember.RemedyId‎</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7" w:id="97"/>
      <w:r>
        <w:rPr>
          <w:rFonts w:ascii="Arial" w:cs="Arial" w:eastAsia="Arial" w:hAnsi="Arial"/>
          <w:b/>
          <w:bCs/>
          <w:color w:val="2B5C8A"/>
          <w:sz w:val="26"/>
          <w:szCs w:val="26"/>
          <w:rtl/>
        </w:rPr>
        <w:t xml:space="preserve">10.8 م6 · الطلبات ودورات العمل والإشعارات</w:t>
      </w:r>
      <w:bookmarkEnd w:id="97"/>
    </w:p>
    <w:p>
      <w:pPr>
        <w:pStyle w:val="Heading3"/>
        <w:bidi/>
      </w:pPr>
      <w:bookmarkStart w:name="_sec98" w:id="98"/>
      <w:r>
        <w:rPr>
          <w:rFonts w:ascii="Arial" w:cs="Arial" w:eastAsia="Arial" w:hAnsi="Arial"/>
          <w:b/>
          <w:bCs/>
          <w:color w:val="2B5C8A"/>
          <w:sz w:val="23"/>
          <w:szCs w:val="23"/>
          <w:rtl/>
        </w:rPr>
        <w:t xml:space="preserve">م6 · قوالب دورات العمل (1/3)</w:t>
      </w:r>
      <w:bookmarkEnd w:id="98"/>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 its template is the current WorkflowTemplate of the type and its index fields the IndexRole fields of that template (DR-49)</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and its parts change only while it is a draft (044, DR-41)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9" w:id="99"/>
      <w:r>
        <w:rPr>
          <w:rFonts w:ascii="Arial" w:cs="Arial" w:eastAsia="Arial" w:hAnsi="Arial"/>
          <w:b/>
          <w:bCs/>
          <w:color w:val="2B5C8A"/>
          <w:sz w:val="23"/>
          <w:szCs w:val="23"/>
          <w:rtl/>
        </w:rPr>
        <w:t xml:space="preserve">م6 · قوالب دورات العمل (2/3)</w:t>
      </w:r>
      <w:bookmarkEnd w:id="99"/>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م6 · قوالب دورات العمل (3/3)</w:t>
      </w:r>
      <w:bookmarkEnd w:id="100"/>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م6 · الطلبات وإجراءاتها (1/3)</w:t>
      </w:r>
      <w:bookmarkEnd w:id="101"/>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م6 · الطلبات وإجراءاتها (2/3)</w:t>
      </w:r>
      <w:bookmarkEnd w:id="102"/>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م6 · الطلبات وإجراءاتها (3/3)</w:t>
      </w:r>
      <w:bookmarkEnd w:id="103"/>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م6 · الإشعارات (1/2)</w:t>
      </w:r>
      <w:bookmarkEnd w:id="104"/>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5" w:id="105"/>
      <w:r>
        <w:rPr>
          <w:rFonts w:ascii="Arial" w:cs="Arial" w:eastAsia="Arial" w:hAnsi="Arial"/>
          <w:b/>
          <w:bCs/>
          <w:color w:val="2B5C8A"/>
          <w:sz w:val="23"/>
          <w:szCs w:val="23"/>
          <w:rtl/>
        </w:rPr>
        <w:t xml:space="preserve">م6 · الإشعارات (2/2)</w:t>
      </w:r>
      <w:bookmarkEnd w:id="105"/>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06" w:id="106"/>
      <w:r>
        <w:rPr>
          <w:rFonts w:ascii="Arial" w:cs="Arial" w:eastAsia="Arial" w:hAnsi="Arial"/>
          <w:b/>
          <w:bCs/>
          <w:color w:val="2B5C8A"/>
          <w:sz w:val="26"/>
          <w:szCs w:val="26"/>
          <w:rtl/>
        </w:rPr>
        <w:t xml:space="preserve">10.9 م7/م8 · الاعتمادات المستندية والبروفورما</w:t>
      </w:r>
      <w:bookmarkEnd w:id="106"/>
    </w:p>
    <w:p>
      <w:pPr>
        <w:pStyle w:val="Heading3"/>
        <w:bidi/>
      </w:pPr>
      <w:bookmarkStart w:name="_sec107" w:id="107"/>
      <w:r>
        <w:rPr>
          <w:rFonts w:ascii="Arial" w:cs="Arial" w:eastAsia="Arial" w:hAnsi="Arial"/>
          <w:b/>
          <w:bCs/>
          <w:color w:val="2B5C8A"/>
          <w:sz w:val="23"/>
          <w:szCs w:val="23"/>
          <w:rtl/>
        </w:rPr>
        <w:t xml:space="preserve">م7/م8 · شروط الاعتماد والنماذج (1/3)</w:t>
      </w:r>
      <w:bookmarkEnd w:id="107"/>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م7/م8 · شروط الاعتماد والنماذج (2/3)</w:t>
      </w:r>
      <w:bookmarkEnd w:id="108"/>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2"/>
        <w:gridCol w:w="1770"/>
        <w:gridCol w:w="2360"/>
        <w:gridCol w:w="818"/>
        <w:gridCol w:w="818"/>
        <w:gridCol w:w="818"/>
        <w:gridCol w:w="818"/>
      </w:tblGrid>
      <w:tr>
        <w:trPr>
          <w:cantSplit/>
          <w:tblHeader/>
        </w:trPr>
        <w:tc>
          <w:tcPr>
            <w:tcW w:type="dxa" w:w="24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 a locked version changes only in its treasury fields until TreasuryHash (044, DR-41)</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written only while the terms are a draft (044, DR-41) (FR-LCT-018, BR-LCT-012)</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written only while the terms are a draft (044, DR-41) (FR-LCT-020, BR-LCT-014)</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م7/م8 · شروط الاعتماد والنماذج (3/3)</w:t>
      </w:r>
      <w:bookmarkEnd w:id="109"/>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م7/م8 · الاعتمادات والبروفورما (1/3)</w:t>
      </w:r>
      <w:bookmarkEnd w:id="110"/>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19800"/>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6019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‎lc.LcAmendment.WithdrawalDocumentId‎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م7/م8 · الاعتمادات والبروفورما (2/3)</w:t>
      </w:r>
      <w:bookmarkEnd w:id="111"/>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م7/م8 · الاعتمادات والبروفورما (3/3)</w:t>
      </w:r>
      <w:bookmarkEnd w:id="112"/>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2"/>
        <w:gridCol w:w="1605"/>
        <w:gridCol w:w="2423"/>
        <w:gridCol w:w="826"/>
        <w:gridCol w:w="826"/>
        <w:gridCol w:w="826"/>
        <w:gridCol w:w="826"/>
      </w:tblGrid>
      <w:tr>
        <w:trPr>
          <w:cantSplit/>
          <w:tblHeader/>
        </w:trPr>
        <w:tc>
          <w:tcPr>
            <w:tcW w:type="dxa" w:w="2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in one statement, never updated; the totals match the lines (044, DR-41)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11. أنماط التصميم للمجالات الرئيسية</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114" w:id="114"/>
      <w:r>
        <w:rPr>
          <w:rFonts w:ascii="Arial" w:cs="Arial" w:eastAsia="Arial" w:hAnsi="Arial"/>
          <w:b/>
          <w:bCs/>
          <w:color w:val="2B5C8A"/>
          <w:sz w:val="26"/>
          <w:szCs w:val="26"/>
          <w:rtl/>
        </w:rPr>
        <w:t xml:space="preserve">11.1 إقفال دورة العمل بيد إدارة الخزينة (C-7)</w:t>
      </w:r>
      <w:bookmarkEnd w:id="114"/>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115" w:id="115"/>
      <w:r>
        <w:rPr>
          <w:rFonts w:ascii="Arial" w:cs="Arial" w:eastAsia="Arial" w:hAnsi="Arial"/>
          <w:b/>
          <w:bCs/>
          <w:color w:val="2B5C8A"/>
          <w:sz w:val="26"/>
          <w:szCs w:val="26"/>
          <w:rtl/>
        </w:rPr>
        <w:t xml:space="preserve">11.2 الملكية المتعددة والمراجع المركّبة (DR-04 · DR-06 · DR-09 · DR-10)</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11.3 الكتالوجات المملوكة للمشترك (DR-03 · DR-05 · DR-07)</w:t>
      </w:r>
      <w:bookmarkEnd w:id="116"/>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117" w:id="117"/>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118" w:id="118"/>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119" w:id="119"/>
      <w:r>
        <w:rPr>
          <w:rFonts w:ascii="Arial" w:cs="Arial" w:eastAsia="Arial" w:hAnsi="Arial"/>
          <w:b/>
          <w:bCs/>
          <w:color w:val="1F3A5F"/>
          <w:sz w:val="32"/>
          <w:szCs w:val="32"/>
          <w:rtl/>
        </w:rPr>
        <w:t xml:space="preserve">12. النشر وإدارة التغيير</w:t>
      </w:r>
      <w:bookmarkEnd w:id="119"/>
    </w:p>
    <w:p>
      <w:pPr>
        <w:pStyle w:val="Heading2"/>
        <w:bidi/>
      </w:pPr>
      <w:bookmarkStart w:name="_sec120" w:id="120"/>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2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 → </w:t>
      </w:r>
      <w:r>
        <w:rPr>
          <w:rFonts w:ascii="Courier New" w:cs="Courier New" w:eastAsia="Courier New" w:hAnsi="Courier New"/>
          <w:b w:val="false"/>
          <w:bCs w:val="false"/>
          <w:color w:val="1F2937"/>
          <w:sz w:val="18"/>
          <w:szCs w:val="18"/>
          <w:shd w:fill="F1F3F5" w:color="auto" w:val="clear"/>
          <w:rtl/>
        </w:rPr>
        <w:t xml:space="preserve">‎048_presentation_versions‎</w:t>
      </w:r>
      <w:r>
        <w:rPr>
          <w:rFonts w:ascii="Arial" w:cs="Arial" w:eastAsia="Arial" w:hAnsi="Arial"/>
          <w:b w:val="false"/>
          <w:bCs w:val="false"/>
          <w:sz w:val="21"/>
          <w:szCs w:val="21"/>
          <w:rtl/>
        </w:rPr>
        <w:t xml:space="preserve"> (نسخ العرض البديلة، ADR 0023) → </w:t>
      </w:r>
      <w:r>
        <w:rPr>
          <w:rFonts w:ascii="Courier New" w:cs="Courier New" w:eastAsia="Courier New" w:hAnsi="Courier New"/>
          <w:b w:val="false"/>
          <w:bCs w:val="false"/>
          <w:color w:val="1F2937"/>
          <w:sz w:val="18"/>
          <w:szCs w:val="18"/>
          <w:shd w:fill="F1F3F5" w:color="auto" w:val="clear"/>
          <w:rtl/>
        </w:rPr>
        <w:t xml:space="preserve">‎049_credit_readiness‎</w:t>
      </w:r>
      <w:r>
        <w:rPr>
          <w:rFonts w:ascii="Arial" w:cs="Arial" w:eastAsia="Arial" w:hAnsi="Arial"/>
          <w:b w:val="false"/>
          <w:bCs w:val="false"/>
          <w:sz w:val="21"/>
          <w:szCs w:val="21"/>
          <w:rtl/>
        </w:rPr>
        <w:t xml:space="preserve"> (ملف الجاهزية والإنذار المبكر، ADR 0024)</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‎051_early_warning_job‎</w:t>
      </w:r>
      <w:r>
        <w:rPr>
          <w:rFonts w:ascii="Arial" w:cs="Arial" w:eastAsia="Arial" w:hAnsi="Arial"/>
          <w:b w:val="false"/>
          <w:bCs w:val="false"/>
          <w:sz w:val="21"/>
          <w:szCs w:val="21"/>
          <w:rtl/>
        </w:rPr>
        <w:t xml:space="preserve"> (مهمة الإنذار المبكر، ADR 0027) → </w:t>
      </w:r>
      <w:r>
        <w:rPr>
          <w:rFonts w:ascii="Courier New" w:cs="Courier New" w:eastAsia="Courier New" w:hAnsi="Courier New"/>
          <w:b w:val="false"/>
          <w:bCs w:val="false"/>
          <w:color w:val="1F2937"/>
          <w:sz w:val="18"/>
          <w:szCs w:val="18"/>
          <w:shd w:fill="F1F3F5" w:color="auto" w:val="clear"/>
          <w:rtl/>
        </w:rPr>
        <w:t xml:space="preserve">‎052_review_controls‎</w:t>
      </w:r>
      <w:r>
        <w:rPr>
          <w:rFonts w:ascii="Arial" w:cs="Arial" w:eastAsia="Arial" w:hAnsi="Arial"/>
          <w:b w:val="false"/>
          <w:bCs w:val="false"/>
          <w:sz w:val="21"/>
          <w:szCs w:val="21"/>
          <w:rtl/>
        </w:rPr>
        <w:t xml:space="preserve"> (ضوابط المراجعة v3.0، ADR 0029) → </w:t>
      </w:r>
      <w:r>
        <w:rPr>
          <w:rFonts w:ascii="Courier New" w:cs="Courier New" w:eastAsia="Courier New" w:hAnsi="Courier New"/>
          <w:b w:val="false"/>
          <w:bCs w:val="false"/>
          <w:color w:val="1F2937"/>
          <w:sz w:val="18"/>
          <w:szCs w:val="18"/>
          <w:shd w:fill="F1F3F5" w:color="auto" w:val="clear"/>
          <w:rtl/>
        </w:rPr>
        <w:t xml:space="preserve">‎053_period_close‎</w:t>
      </w:r>
      <w:r>
        <w:rPr>
          <w:rFonts w:ascii="Arial" w:cs="Arial" w:eastAsia="Arial" w:hAnsi="Arial"/>
          <w:b w:val="false"/>
          <w:bCs w:val="false"/>
          <w:sz w:val="21"/>
          <w:szCs w:val="21"/>
          <w:rtl/>
        </w:rPr>
        <w:t xml:space="preserve"> (إقفال الفترات، ADR 0031) → </w:t>
      </w:r>
      <w:r>
        <w:rPr>
          <w:rFonts w:ascii="Courier New" w:cs="Courier New" w:eastAsia="Courier New" w:hAnsi="Courier New"/>
          <w:b w:val="false"/>
          <w:bCs w:val="false"/>
          <w:color w:val="1F2937"/>
          <w:sz w:val="18"/>
          <w:szCs w:val="18"/>
          <w:shd w:fill="F1F3F5" w:color="auto" w:val="clear"/>
          <w:rtl/>
        </w:rPr>
        <w:t xml:space="preserve">‎054_key_guard‎</w:t>
      </w:r>
      <w:r>
        <w:rPr>
          <w:rFonts w:ascii="Arial" w:cs="Arial" w:eastAsia="Arial" w:hAnsi="Arial"/>
          <w:b w:val="false"/>
          <w:bCs w:val="false"/>
          <w:sz w:val="21"/>
          <w:szCs w:val="21"/>
          <w:rtl/>
        </w:rPr>
        <w:t xml:space="preserve"> (حارس حالة المفتاح، ADR 0032) → </w:t>
      </w:r>
      <w:r>
        <w:rPr>
          <w:rFonts w:ascii="Courier New" w:cs="Courier New" w:eastAsia="Courier New" w:hAnsi="Courier New"/>
          <w:b w:val="false"/>
          <w:bCs w:val="false"/>
          <w:color w:val="1F2937"/>
          <w:sz w:val="18"/>
          <w:szCs w:val="18"/>
          <w:shd w:fill="F1F3F5" w:color="auto" w:val="clear"/>
          <w:rtl/>
        </w:rPr>
        <w:t xml:space="preserve">‎055_audit_chain‎</w:t>
      </w:r>
      <w:r>
        <w:rPr>
          <w:rFonts w:ascii="Arial" w:cs="Arial" w:eastAsia="Arial" w:hAnsi="Arial"/>
          <w:b w:val="false"/>
          <w:bCs w:val="false"/>
          <w:sz w:val="21"/>
          <w:szCs w:val="21"/>
          <w:rtl/>
        </w:rPr>
        <w:t xml:space="preserve"> (سلسلة التدقيق ومراسيها، ADR 0033) → </w:t>
      </w:r>
      <w:r>
        <w:rPr>
          <w:rFonts w:ascii="Courier New" w:cs="Courier New" w:eastAsia="Courier New" w:hAnsi="Courier New"/>
          <w:b w:val="false"/>
          <w:bCs w:val="false"/>
          <w:color w:val="1F2937"/>
          <w:sz w:val="18"/>
          <w:szCs w:val="18"/>
          <w:shd w:fill="F1F3F5" w:color="auto" w:val="clear"/>
          <w:rtl/>
        </w:rPr>
        <w:t xml:space="preserve">‎056_schema_fingerprint‎</w:t>
      </w:r>
      <w:r>
        <w:rPr>
          <w:rFonts w:ascii="Arial" w:cs="Arial" w:eastAsia="Arial" w:hAnsi="Arial"/>
          <w:b w:val="false"/>
          <w:bCs w:val="false"/>
          <w:sz w:val="21"/>
          <w:szCs w:val="21"/>
          <w:rtl/>
        </w:rPr>
        <w:t xml:space="preserve"> (بصمة المخطط، ADR 0034) → </w:t>
      </w:r>
      <w:r>
        <w:rPr>
          <w:rFonts w:ascii="Courier New" w:cs="Courier New" w:eastAsia="Courier New" w:hAnsi="Courier New"/>
          <w:b w:val="false"/>
          <w:bCs w:val="false"/>
          <w:color w:val="1F2937"/>
          <w:sz w:val="18"/>
          <w:szCs w:val="18"/>
          <w:shd w:fill="F1F3F5" w:color="auto" w:val="clear"/>
          <w:rtl/>
        </w:rPr>
        <w:t xml:space="preserve">‎057_core_roles‎</w:t>
      </w:r>
      <w:r>
        <w:rPr>
          <w:rFonts w:ascii="Arial" w:cs="Arial" w:eastAsia="Arial" w:hAnsi="Arial"/>
          <w:b w:val="false"/>
          <w:bCs w:val="false"/>
          <w:sz w:val="21"/>
          <w:szCs w:val="21"/>
          <w:rtl/>
        </w:rPr>
        <w:t xml:space="preserve"> (حزمة الأدوار CORE.ROLES، ADR 0035)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ومسار الترحيل بين الإصدارات هو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مع 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وبصمة المخطط (O-2، ADR 0034).</w:t>
      </w:r>
    </w:p>
    <w:p>
      <w:pPr>
        <w:pStyle w:val="Heading2"/>
        <w:bidi/>
      </w:pPr>
      <w:bookmarkStart w:name="_sec121" w:id="121"/>
      <w:r>
        <w:rPr>
          <w:rFonts w:ascii="Arial" w:cs="Arial" w:eastAsia="Arial" w:hAnsi="Arial"/>
          <w:b/>
          <w:bCs/>
          <w:color w:val="2B5C8A"/>
          <w:sz w:val="26"/>
          <w:szCs w:val="26"/>
          <w:rtl/>
        </w:rPr>
        <w:t xml:space="preserve">12.2 تغيير النموذج</w:t>
      </w:r>
      <w:bookmarkEnd w:id="121"/>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22" w:id="122"/>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22"/>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23" w:id="123"/>
      <w:r>
        <w:rPr>
          <w:rFonts w:ascii="Arial" w:cs="Arial" w:eastAsia="Arial" w:hAnsi="Arial"/>
          <w:b/>
          <w:bCs/>
          <w:color w:val="2B5C8A"/>
          <w:sz w:val="26"/>
          <w:szCs w:val="26"/>
          <w:rtl/>
        </w:rPr>
        <w:t xml:space="preserve">12.4 الأداء والحمل</w:t>
      </w:r>
      <w:bookmarkEnd w:id="123"/>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24" w:id="124"/>
      <w:r>
        <w:rPr>
          <w:rFonts w:ascii="Arial" w:cs="Arial" w:eastAsia="Arial" w:hAnsi="Arial"/>
          <w:b/>
          <w:bCs/>
          <w:color w:val="1F3A5F"/>
          <w:sz w:val="32"/>
          <w:szCs w:val="32"/>
          <w:rtl/>
        </w:rPr>
        <w:t xml:space="preserve">13. البذور وتهيئة المشترك</w:t>
      </w:r>
      <w:bookmarkEnd w:id="1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4017"/>
        <w:gridCol w:w="4850"/>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(11 إعدادًا: سبعة أمنية وبداية يوم العمل ونهايته وإعدادا المعايرة والجاهزية </w:t>
            </w:r>
            <w:r>
              <w:rPr>
                <w:rFonts w:ascii="Courier New" w:cs="Courier New" w:eastAsia="Courier New" w:hAnsi="Courier New"/>
                <w:b w:val="false"/>
                <w:bCs w:val="false"/>
                <w:color w:val="1F2937"/>
                <w:sz w:val="16"/>
                <w:szCs w:val="16"/>
                <w:shd w:fill="F1F3F5" w:color="auto" w:val="clear"/>
                <w:rtl/>
              </w:rPr>
              <w:t xml:space="preserve">‎fin.calibration.max_age_months‎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34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(144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تطبّق مهمة التهيئة JOB-PLT-ONBOARD حزمة الأدوار CORE.ROLES بـ</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ADR 0035، CR1–CR6)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وحزمتا NTF.BASE وFIN.PROVISION في </w:t>
            </w:r>
            <w:r>
              <w:rPr>
                <w:rFonts w:ascii="Courier New" w:cs="Courier New" w:eastAsia="Courier New" w:hAnsi="Courier New"/>
                <w:b w:val="false"/>
                <w:bCs w:val="false"/>
                <w:color w:val="1F2937"/>
                <w:sz w:val="16"/>
                <w:szCs w:val="16"/>
                <w:shd w:fill="F1F3F5" w:color="auto" w:val="clear"/>
                <w:rtl/>
              </w:rPr>
              <w:t xml:space="preserve">‎db/seed/packs‎</w:t>
            </w:r>
            <w:r>
              <w:rPr>
                <w:rFonts w:ascii="Arial" w:cs="Arial" w:eastAsia="Arial" w:hAnsi="Arial"/>
                <w:b w:val="false"/>
                <w:bCs w:val="false"/>
                <w:sz w:val="18"/>
                <w:szCs w:val="18"/>
                <w:rtl/>
              </w:rPr>
              <w:t xml:space="preserve"> يحمّلهما باذر المشترك في التطبيق</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25" w:id="125"/>
      <w:r>
        <w:rPr>
          <w:rFonts w:ascii="Arial" w:cs="Arial" w:eastAsia="Arial" w:hAnsi="Arial"/>
          <w:b/>
          <w:bCs/>
          <w:color w:val="1F3A5F"/>
          <w:sz w:val="32"/>
          <w:szCs w:val="32"/>
          <w:rtl/>
        </w:rPr>
        <w:t xml:space="preserve">14. أدلة التحقق وحدودها (بصراحة)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255 جدولًا / 4,202 عمود؛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255 جدولًا، 338 منحة مولّدة، 157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596 مفهرسًا، 130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و121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22f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(ومنها 19b إلى 19d و22b إلى 22f):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23 (حسابات المستخدمين وإعدادات المشترك وما يحتاجه التطبيق قبل الربط، ADR 0003 و0004 و0040)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12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6 (ADR 0004 و0040)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31 (CA1–CA31، ADR 0017 إلى 0031؛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148 (74 حالة مولَّدة CE وتحققاتها CV الـ74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 </w:t>
            </w:r>
            <w:r>
              <w:rPr>
                <w:rFonts w:ascii="Courier New" w:cs="Courier New" w:eastAsia="Courier New" w:hAnsi="Courier New"/>
                <w:b w:val="false"/>
                <w:bCs w:val="false"/>
                <w:color w:val="1F2937"/>
                <w:sz w:val="16"/>
                <w:szCs w:val="16"/>
                <w:shd w:fill="F1F3F5" w:color="auto" w:val="clear"/>
                <w:rtl/>
              </w:rPr>
              <w:t xml:space="preserve">‎integrity_tests.sql‎</w:t>
            </w:r>
            <w:r>
              <w:rPr>
                <w:rFonts w:ascii="Arial" w:cs="Arial" w:eastAsia="Arial" w:hAnsi="Arial"/>
                <w:b w:val="false"/>
                <w:bCs w:val="false"/>
                <w:sz w:val="18"/>
                <w:szCs w:val="18"/>
                <w:rtl/>
              </w:rPr>
              <w:t xml:space="preserve"> 17 (KG1–KG7 وAC1–AC10، ADR 0032 و0033 و0039، الخطوة 22b) · </w:t>
            </w:r>
            <w:r>
              <w:rPr>
                <w:rFonts w:ascii="Courier New" w:cs="Courier New" w:eastAsia="Courier New" w:hAnsi="Courier New"/>
                <w:b w:val="false"/>
                <w:bCs w:val="false"/>
                <w:color w:val="1F2937"/>
                <w:sz w:val="16"/>
                <w:szCs w:val="16"/>
                <w:shd w:fill="F1F3F5" w:color="auto" w:val="clear"/>
                <w:rtl/>
              </w:rPr>
              <w:t xml:space="preserve">‎tools/ci/audit_anchor_check.sh‎</w:t>
            </w:r>
            <w:r>
              <w:rPr>
                <w:rFonts w:ascii="Arial" w:cs="Arial" w:eastAsia="Arial" w:hAnsi="Arial"/>
                <w:b w:val="false"/>
                <w:bCs w:val="false"/>
                <w:sz w:val="18"/>
                <w:szCs w:val="18"/>
                <w:rtl/>
              </w:rPr>
              <w:t xml:space="preserve"> 7 (AA1–AA7، ADR 0039، الخطوة 22c) · </w:t>
            </w:r>
            <w:r>
              <w:rPr>
                <w:rFonts w:ascii="Courier New" w:cs="Courier New" w:eastAsia="Courier New" w:hAnsi="Courier New"/>
                <w:b w:val="false"/>
                <w:bCs w:val="false"/>
                <w:color w:val="1F2937"/>
                <w:sz w:val="16"/>
                <w:szCs w:val="16"/>
                <w:shd w:fill="F1F3F5" w:color="auto" w:val="clear"/>
                <w:rtl/>
              </w:rPr>
              <w:t xml:space="preserve">‎tools/ci/migration_check.sh‎</w:t>
            </w:r>
            <w:r>
              <w:rPr>
                <w:rFonts w:ascii="Arial" w:cs="Arial" w:eastAsia="Arial" w:hAnsi="Arial"/>
                <w:b w:val="false"/>
                <w:bCs w:val="false"/>
                <w:sz w:val="18"/>
                <w:szCs w:val="18"/>
                <w:rtl/>
              </w:rPr>
              <w:t xml:space="preserve"> 12 (MG1–MG12، ADR 0034 و0039، الخطوة 22d) · </w:t>
            </w:r>
            <w:r>
              <w:rPr>
                <w:rFonts w:ascii="Courier New" w:cs="Courier New" w:eastAsia="Courier New" w:hAnsi="Courier New"/>
                <w:b w:val="false"/>
                <w:bCs w:val="false"/>
                <w:color w:val="1F2937"/>
                <w:sz w:val="16"/>
                <w:szCs w:val="16"/>
                <w:shd w:fill="F1F3F5" w:color="auto" w:val="clear"/>
                <w:rtl/>
              </w:rPr>
              <w:t xml:space="preserve">‎core_roles_tests.sql‎</w:t>
            </w:r>
            <w:r>
              <w:rPr>
                <w:rFonts w:ascii="Arial" w:cs="Arial" w:eastAsia="Arial" w:hAnsi="Arial"/>
                <w:b w:val="false"/>
                <w:bCs w:val="false"/>
                <w:sz w:val="18"/>
                <w:szCs w:val="18"/>
                <w:rtl/>
              </w:rPr>
              <w:t xml:space="preserve"> 9 (CR1–CR9، ADR 0035، الخطوة 22e) · </w:t>
            </w:r>
            <w:r>
              <w:rPr>
                <w:rFonts w:ascii="Courier New" w:cs="Courier New" w:eastAsia="Courier New" w:hAnsi="Courier New"/>
                <w:b w:val="false"/>
                <w:bCs w:val="false"/>
                <w:color w:val="1F2937"/>
                <w:sz w:val="16"/>
                <w:szCs w:val="16"/>
                <w:shd w:fill="F1F3F5" w:color="auto" w:val="clear"/>
                <w:rtl/>
              </w:rPr>
              <w:t xml:space="preserve">‎finance_controls_tests.sql‎</w:t>
            </w:r>
            <w:r>
              <w:rPr>
                <w:rFonts w:ascii="Arial" w:cs="Arial" w:eastAsia="Arial" w:hAnsi="Arial"/>
                <w:b w:val="false"/>
                <w:bCs w:val="false"/>
                <w:sz w:val="18"/>
                <w:szCs w:val="18"/>
                <w:rtl/>
              </w:rPr>
              <w:t xml:space="preserve"> 14 (FC1–FC14، ADR 0037، الخطوة 22f)؛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26" w:id="126"/>
      <w:r>
        <w:rPr>
          <w:rFonts w:ascii="Arial" w:cs="Arial" w:eastAsia="Arial" w:hAnsi="Arial"/>
          <w:b/>
          <w:bCs/>
          <w:color w:val="1F3A5F"/>
          <w:sz w:val="32"/>
          <w:szCs w:val="32"/>
          <w:rtl/>
        </w:rPr>
        <w:t xml:space="preserve">15. القرارات المتخذة (تُعتمد ما لم تعترض)</w:t>
      </w:r>
      <w:bookmarkEnd w:id="1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27" w:id="127"/>
      <w:r>
        <w:rPr>
          <w:rFonts w:ascii="Arial" w:cs="Arial" w:eastAsia="Arial" w:hAnsi="Arial"/>
          <w:b/>
          <w:bCs/>
          <w:color w:val="1F3A5F"/>
          <w:sz w:val="32"/>
          <w:szCs w:val="32"/>
          <w:rtl/>
        </w:rPr>
        <w:t xml:space="preserve">16. حدود معروفة ونقاط مفتوحة</w:t>
      </w:r>
      <w:bookmarkEnd w:id="1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الـ34 من 0 إلى 24 مع 4b و19b–19d و22b–22f،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محلول (2026-10-21، ADR 0034):</w:t>
            </w:r>
            <w:r>
              <w:rPr>
                <w:rFonts w:ascii="Arial" w:cs="Arial" w:eastAsia="Arial" w:hAnsi="Arial"/>
                <w:b w:val="false"/>
                <w:bCs w:val="false"/>
                <w:sz w:val="18"/>
                <w:szCs w:val="18"/>
                <w:rtl/>
              </w:rPr>
              <w:t xml:space="preserve"> 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وبصمة المخطط (056)، و</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بسكربتات مرقّمة في </w:t>
            </w:r>
            <w:r>
              <w:rPr>
                <w:rFonts w:ascii="Courier New" w:cs="Courier New" w:eastAsia="Courier New" w:hAnsi="Courier New"/>
                <w:b w:val="false"/>
                <w:bCs w:val="false"/>
                <w:color w:val="1F2937"/>
                <w:sz w:val="16"/>
                <w:szCs w:val="16"/>
                <w:shd w:fill="F1F3F5" w:color="auto" w:val="clear"/>
                <w:rtl/>
              </w:rPr>
              <w:t xml:space="preserve">‎db/migrations‎</w:t>
            </w:r>
            <w:r>
              <w:rPr>
                <w:rFonts w:ascii="Arial" w:cs="Arial" w:eastAsia="Arial" w:hAnsi="Arial"/>
                <w:b w:val="false"/>
                <w:bCs w:val="false"/>
                <w:sz w:val="18"/>
                <w:szCs w:val="18"/>
                <w:rtl/>
              </w:rPr>
              <w:t xml:space="preserve"> وسكربتات متكررة تُعاد بلا تغيير في البصمة (MG1 إلى MG7). بقي فحص التكافؤ بين النشر الجديد والقاعدة المرقّاة، ويدخل مع أول سكربت مرقّم</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الأدوار CORE.ROLES تطبّقها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من مهمة التهيئة JOB-PLT-ONBOARD (ADR 0035، CR1–CR6)، وحزمتا NTF.BASE وFIN.PROVISION مبنيتان في </w:t>
            </w:r>
            <w:r>
              <w:rPr>
                <w:rFonts w:ascii="Courier New" w:cs="Courier New" w:eastAsia="Courier New" w:hAnsi="Courier New"/>
                <w:b w:val="false"/>
                <w:bCs w:val="false"/>
                <w:color w:val="1F2937"/>
                <w:sz w:val="16"/>
                <w:szCs w:val="16"/>
                <w:shd w:fill="F1F3F5" w:color="auto" w:val="clear"/>
                <w:rtl/>
              </w:rPr>
              <w:t xml:space="preserve">‎db/seed/packs‎</w:t>
            </w:r>
            <w:r>
              <w:rPr>
                <w:rFonts w:ascii="Arial" w:cs="Arial" w:eastAsia="Arial" w:hAnsi="Arial"/>
                <w:b w:val="false"/>
                <w:bCs w:val="false"/>
                <w:sz w:val="18"/>
                <w:szCs w:val="18"/>
                <w:rtl/>
              </w:rPr>
              <w:t xml:space="preserve">. باقٍ: باذر المشترك في التطبيق لبقية الحزم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محلول في القاعدة (2026-10-21، ADR 0033):</w:t>
            </w:r>
            <w:r>
              <w:rPr>
                <w:rFonts w:ascii="Arial" w:cs="Arial" w:eastAsia="Arial" w:hAnsi="Arial"/>
                <w:b w:val="false"/>
                <w:bCs w:val="false"/>
                <w:sz w:val="18"/>
                <w:szCs w:val="18"/>
                <w:rtl/>
              </w:rPr>
              <w:t xml:space="preserve"> السلسلة والمراسي والتحقق (AC1 إلى AC7، AA1 إلى AA3)؛ ويبقى اختيار المخزن نفسه قرارًا تشغيليًا (DQ-S12-2)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وأُغلق المؤجَّلان في 2026-10-21: مرساة البصمة الخارجية (O-13، ADR 0033) وفحص المفاتيح المتقاعدة (DR-20، ADR 0032)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128" w:id="128"/>
      <w:r>
        <w:rPr>
          <w:rFonts w:ascii="Arial" w:cs="Arial" w:eastAsia="Arial" w:hAnsi="Arial"/>
          <w:b/>
          <w:bCs/>
          <w:color w:val="1F3A5F"/>
          <w:sz w:val="32"/>
          <w:szCs w:val="32"/>
          <w:rtl/>
        </w:rPr>
        <w:t xml:space="preserve">17. الخطوة التالية</w:t>
      </w:r>
      <w:bookmarkEnd w:id="128"/>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29" w:id="129"/>
      <w:r>
        <w:rPr>
          <w:rFonts w:ascii="Arial" w:cs="Arial" w:eastAsia="Arial" w:hAnsi="Arial"/>
          <w:b/>
          <w:bCs/>
          <w:color w:val="1F3A5F"/>
          <w:sz w:val="32"/>
          <w:szCs w:val="32"/>
          <w:rtl/>
        </w:rPr>
        <w:t xml:space="preserve">18. مراجعة التصميم (Design review)</w:t>
      </w:r>
      <w:bookmarkEnd w:id="129"/>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30" w:id="130"/>
      <w:r>
        <w:rPr>
          <w:rFonts w:ascii="Arial" w:cs="Arial" w:eastAsia="Arial" w:hAnsi="Arial"/>
          <w:b/>
          <w:bCs/>
          <w:color w:val="2B5C8A"/>
          <w:sz w:val="26"/>
          <w:szCs w:val="26"/>
          <w:rtl/>
        </w:rPr>
        <w:t xml:space="preserve">18.1 النتائج الحرجة</w:t>
      </w:r>
      <w:bookmarkEnd w:id="1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31" w:id="131"/>
      <w:r>
        <w:rPr>
          <w:rFonts w:ascii="Arial" w:cs="Arial" w:eastAsia="Arial" w:hAnsi="Arial"/>
          <w:b/>
          <w:bCs/>
          <w:color w:val="2B5C8A"/>
          <w:sz w:val="26"/>
          <w:szCs w:val="26"/>
          <w:rtl/>
        </w:rPr>
        <w:t xml:space="preserve">18.2 النتائج الرئيسية والطفيفة</w:t>
      </w:r>
      <w:bookmarkEnd w:id="1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18.3 القرار</w:t>
      </w:r>
      <w:bookmarkEnd w:id="132"/>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والدفعة (ب)، شروط دخول الشرائح S1 إلى S4، مُطبَّقة كلها في اليوم نفسه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الاختبارات RF19 إلى RF34)، وDR-20 محلولة بـ DR-02. المؤجَّل: مرساة البصمة الخارجية (مع O-13) وفحص المفاتيح المتقاعدة.</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‎ddl_metrics.py‎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v0.4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45fd9f2102b93e7044f7df47e020b85ebd49f493.png"/><Relationship Id="rId13" Type="http://schemas.openxmlformats.org/officeDocument/2006/relationships/image" Target="media/c842c9051cd134a0e972866c6c1d833dc2e2fa86.png"/><Relationship Id="rId14" Type="http://schemas.openxmlformats.org/officeDocument/2006/relationships/image" Target="media/538fa95cf95a63485c0d2ac955e11539578724f9.png"/><Relationship Id="rId15" Type="http://schemas.openxmlformats.org/officeDocument/2006/relationships/image" Target="media/fe6284a18f8b41141e7d95a844b68490ef34ec22.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d6665d07fece00dd3fe5bb946c0903a642ff0b53.png"/><Relationship Id="rId20" Type="http://schemas.openxmlformats.org/officeDocument/2006/relationships/image" Target="media/2bc17afbc184ebe7e32dd25ae4b00b77c415c5aa.png"/><Relationship Id="rId21" Type="http://schemas.openxmlformats.org/officeDocument/2006/relationships/image" Target="media/8bf64e697f011e0517277f515e0547131bce8b4c.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0897fb5e94d7be20ea6b54eed1c8a697e7aefed3.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2fef311dde876660aa5f62b8872d0700a5c44c5b.png"/><Relationship Id="rId44" Type="http://schemas.openxmlformats.org/officeDocument/2006/relationships/image" Target="media/fb199ca54ee96b0e4379ab4821a39333de51d204.png"/><Relationship Id="rId45" Type="http://schemas.openxmlformats.org/officeDocument/2006/relationships/image" Target="media/271e0b36918d1081cbb0fb919ffdbe0b3739a561.png"/><Relationship Id="rId46" Type="http://schemas.openxmlformats.org/officeDocument/2006/relationships/image" Target="media/99b58e910e865ffe46f5c344d33fad6cc823d5af.png"/><Relationship Id="rId47" Type="http://schemas.openxmlformats.org/officeDocument/2006/relationships/image" Target="media/f1c2c34bf83df820e0c42dc07d3ff28846823b78.png"/><Relationship Id="rId48" Type="http://schemas.openxmlformats.org/officeDocument/2006/relationships/image" Target="media/e7206aece210a18d152c06ed614c4fd81914d74c.png"/><Relationship Id="rId49" Type="http://schemas.openxmlformats.org/officeDocument/2006/relationships/image" Target="media/719dcfc4d1a2bb585edcb893ae4bea494650a0f2.png"/><Relationship Id="rId50" Type="http://schemas.openxmlformats.org/officeDocument/2006/relationships/image" Target="media/e017a7b7068131182508c2f4a525c30806afc22f.png"/><Relationship Id="rId51" Type="http://schemas.openxmlformats.org/officeDocument/2006/relationships/image" Target="media/501b67cbb32f47b51061a57cae996b54871e0ca6.png"/><Relationship Id="rId52" Type="http://schemas.openxmlformats.org/officeDocument/2006/relationships/image" Target="media/5603e99f8f2a7cc1938496761df70c8a63a82ac9.png"/><Relationship Id="rId53" Type="http://schemas.openxmlformats.org/officeDocument/2006/relationships/image" Target="media/d32931f60476832bc70843e9d8df92e774a5e348.png"/><Relationship Id="rId54" Type="http://schemas.openxmlformats.org/officeDocument/2006/relationships/image" Target="media/22b7151060330cba0d5582b3c50d902f273639b0.png"/><Relationship Id="rId55" Type="http://schemas.openxmlformats.org/officeDocument/2006/relationships/image" Target="media/ff2cc8eda57f36b5a409b0d74edbdd1205d90248.png"/><Relationship Id="rId56" Type="http://schemas.openxmlformats.org/officeDocument/2006/relationships/image" Target="media/8471e7a19babb753c698b8e42061b4e076298eb5.png"/><Relationship Id="rId57" Type="http://schemas.openxmlformats.org/officeDocument/2006/relationships/image" Target="media/3d549d2c91aebe767b10c4fc39a5f3e4ff6c9a56.png"/><Relationship Id="rId58" Type="http://schemas.openxmlformats.org/officeDocument/2006/relationships/image" Target="media/6ebc9baf3c34dafa6cccedfc52ffb93b2747c945.png"/><Relationship Id="rId59" Type="http://schemas.openxmlformats.org/officeDocument/2006/relationships/image" Target="media/f0d0d1cd59ec3891c045ac4dbd1e12ffb153fe7a.png"/><Relationship Id="rId60" Type="http://schemas.openxmlformats.org/officeDocument/2006/relationships/image" Target="media/d8f0caef02c4ff2308ef0505e4ab72095c800def.png"/><Relationship Id="rId61" Type="http://schemas.openxmlformats.org/officeDocument/2006/relationships/image" Target="media/5c9559eee4bace99e7b8b06620d4e6afb37d90fc.png"/><Relationship Id="rId62" Type="http://schemas.openxmlformats.org/officeDocument/2006/relationships/image" Target="media/b9ad5375b0573153e5cc1d6e84395ddf84284bc9.png"/><Relationship Id="rId63" Type="http://schemas.openxmlformats.org/officeDocument/2006/relationships/image" Target="media/af65d6abbb8c9e7fddfe3d35016a1cf7c2e5e337.png"/><Relationship Id="rId64" Type="http://schemas.openxmlformats.org/officeDocument/2006/relationships/image" Target="media/427c839a9918a81e7c13dcf5fee630d5fe19fed1.png"/><Relationship Id="rId65" Type="http://schemas.openxmlformats.org/officeDocument/2006/relationships/image" Target="media/d912fa68b4e6dac80f847d27a22e286f259031e4.png"/><Relationship Id="rId66" Type="http://schemas.openxmlformats.org/officeDocument/2006/relationships/image" Target="media/ee6593e1617ac118cb6dca739daf6d927022f84c.png"/><Relationship Id="rId67" Type="http://schemas.openxmlformats.org/officeDocument/2006/relationships/image" Target="media/3e4166a6800de4338368c576072d2c6c8aac6427.png"/><Relationship Id="rId68" Type="http://schemas.openxmlformats.org/officeDocument/2006/relationships/image" Target="media/95b5f4c861c700abc49961c38ae8fe021da4f6e3.png"/><Relationship Id="rId69" Type="http://schemas.openxmlformats.org/officeDocument/2006/relationships/image" Target="media/2b6baf523dbaf54ff577594d57b9a3534ab41cd3.png"/><Relationship Id="rId70" Type="http://schemas.openxmlformats.org/officeDocument/2006/relationships/image" Target="media/443f13dce9f7b96bfbc7e0153b540944737fa9f7.png"/><Relationship Id="rId71" Type="http://schemas.openxmlformats.org/officeDocument/2006/relationships/image" Target="media/494c0f4a1326e3bbc19667850012a84e52403045.png"/><Relationship Id="rId72" Type="http://schemas.openxmlformats.org/officeDocument/2006/relationships/image" Target="media/f3c6a99e2f66df4dbe72197e44ae37e9973bbd72.png"/><Relationship Id="rId73" Type="http://schemas.openxmlformats.org/officeDocument/2006/relationships/image" Target="media/d539d1be88e22a9ddb39b43fe087de6d95fef4aa.png"/><Relationship Id="rId74" Type="http://schemas.openxmlformats.org/officeDocument/2006/relationships/image" Target="media/7ff803ad906bcfa2ebcbadf7dabb9605bc925441.png"/><Relationship Id="rId75" Type="http://schemas.openxmlformats.org/officeDocument/2006/relationships/image" Target="media/32e4178cfcb0982981bc4df131be60ca723fa475.png"/><Relationship Id="rId76" Type="http://schemas.openxmlformats.org/officeDocument/2006/relationships/image" Target="media/7300a75f1e07f1ea9aec9b51ff08678436fe43ba.png"/><Relationship Id="rId77" Type="http://schemas.openxmlformats.org/officeDocument/2006/relationships/image" Target="media/96ebc6fa69822558c7c239d6a27c23f8a70b39d4.png"/><Relationship Id="rId78" Type="http://schemas.openxmlformats.org/officeDocument/2006/relationships/image" Target="media/29590e30561ea7b950cc1ca528df7a1885be854b.png"/><Relationship Id="rId79" Type="http://schemas.openxmlformats.org/officeDocument/2006/relationships/image" Target="media/c3923270745ec1d61733243ee7111b3b6e68e05d.png"/><Relationship Id="rId80" Type="http://schemas.openxmlformats.org/officeDocument/2006/relationships/image" Target="media/fe9d9a8186638b18fae1e422875fcbe2eb728097.png"/><Relationship Id="rId81" Type="http://schemas.openxmlformats.org/officeDocument/2006/relationships/image" Target="media/b0939dc5f64d9418898980eb654a0547e53d205d.png"/><Relationship Id="rId82" Type="http://schemas.openxmlformats.org/officeDocument/2006/relationships/image" Target="media/539a0e0258e41a6d83d02cbbc473021e62781cba.png"/><Relationship Id="rId83" Type="http://schemas.openxmlformats.org/officeDocument/2006/relationships/image" Target="media/c08708dd425ff7caf905c156d869c26b83ec0603.png"/><Relationship Id="rId84" Type="http://schemas.openxmlformats.org/officeDocument/2006/relationships/image" Target="media/c07c181f6bb574f7b888c1c4f10db1da4b196022.png"/><Relationship Id="rId85" Type="http://schemas.openxmlformats.org/officeDocument/2006/relationships/image" Target="media/7008bc244f86ea28562c3e07ecd466b89506f6b3.png"/><Relationship Id="rId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2026-10-21T20:24:08.519Z</dcterms:created>
  <dcterms:modified xsi:type="dcterms:W3CDTF">2026-10-21T20:24:08.519Z</dcterms:modified>
</cp:coreProperties>
</file>

<file path=docProps/custom.xml><?xml version="1.0" encoding="utf-8"?>
<Properties xmlns="http://schemas.openxmlformats.org/officeDocument/2006/custom-properties" xmlns:vt="http://schemas.openxmlformats.org/officeDocument/2006/docPropsVTypes"/>
</file>