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وبدأ بناء التطبيق (المرحلة الثانية، الدفعة S0، 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وكود التطبيق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3">
        <w:r>
          <w:rPr>
            <w:rFonts w:ascii="Arial" w:cs="Arial" w:eastAsia="Arial" w:hAnsi="Arial"/>
            <w:b/>
            <w:bCs/>
            <w:color w:val="1F3A5F"/>
            <w:sz w:val="20"/>
            <w:szCs w:val="20"/>
            <w:rtl/>
          </w:rPr>
          <w:t xml:space="preserve">5. الأدلة</w:t>
        </w:r>
      </w:hyperlink>
    </w:p>
    <w:p>
      <w:pPr>
        <w:bidi/>
        <w:spacing w:after="50" w:before="0"/>
        <w:ind w:left="0"/>
      </w:pPr>
      <w:hyperlink w:history="1" w:anchor="_sec14">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5">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6">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7">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bCs/>
          <w:sz w:val="21"/>
          <w:szCs w:val="21"/>
          <w:rtl/>
        </w:rPr>
        <w:t xml:space="preserve">أحدث تغيير: بدء المرحلة الثانية، بناء التطبيق (2026-10-21، </w:t>
      </w:r>
      <w:r>
        <w:rPr>
          <w:rFonts w:ascii="Courier New" w:cs="Courier New" w:eastAsia="Courier New" w:hAnsi="Courier New"/>
          <w:b/>
          <w:bCs/>
          <w:color w:val="1F2937"/>
          <w:sz w:val="18"/>
          <w:szCs w:val="18"/>
          <w:shd w:fill="F1F3F5" w:color="auto" w:val="clear"/>
          <w:rtl/>
        </w:rPr>
        <w:t xml:space="preserve">‎docs/42-phase2-s0-build.md‎</w:t>
      </w:r>
      <w:r>
        <w:rPr>
          <w:rFonts w:ascii="Arial" w:cs="Arial" w:eastAsia="Arial" w:hAnsi="Arial"/>
          <w:b/>
          <w:bCs/>
          <w:sz w:val="21"/>
          <w:szCs w:val="21"/>
          <w:rtl/>
        </w:rPr>
        <w:t xml:space="preserve">، ADR 0040، قرار المالك 37).</w:t>
      </w:r>
      <w:r>
        <w:rPr>
          <w:rFonts w:ascii="Arial" w:cs="Arial" w:eastAsia="Arial" w:hAnsi="Arial"/>
          <w:b w:val="false"/>
          <w:bCs w:val="false"/>
          <w:sz w:val="21"/>
          <w:szCs w:val="21"/>
          <w:rtl/>
        </w:rPr>
        <w:t xml:space="preserve"> الواجهة الأمامية React مع TypeScript، والخادم .NET 10. وأول ما بُني مسار الخروج من S0 (AC-PLT-5):</w:t>
      </w:r>
    </w:p>
    <w:p>
      <w:pPr>
        <w:pStyle w:val="ListParagraph"/>
        <w:numPr>
          <w:ilvl w:val="0"/>
          <w:numId w:val="3"/>
        </w:numPr>
        <w:bidi/>
        <w:spacing w:after="70" w:before="0" w:line="300"/>
      </w:pPr>
      <w:r>
        <w:rPr>
          <w:rFonts w:ascii="Arial" w:cs="Arial" w:eastAsia="Arial" w:hAnsi="Arial"/>
          <w:b w:val="false"/>
          <w:bCs w:val="false"/>
          <w:sz w:val="21"/>
          <w:szCs w:val="21"/>
          <w:rtl/>
        </w:rPr>
        <w:t xml:space="preserve">ينشئ المشغّل مشتركًا بتحقق إضافي برمز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يجهّزه عامل المهام: المفاتيح، والأدوار الثمانية، ودعوة المدير الأول بالبريد.</w:t>
      </w:r>
    </w:p>
    <w:p>
      <w:pPr>
        <w:pStyle w:val="ListParagraph"/>
        <w:numPr>
          <w:ilvl w:val="0"/>
          <w:numId w:val="3"/>
        </w:numPr>
        <w:bidi/>
        <w:spacing w:after="70" w:before="0" w:line="300"/>
      </w:pPr>
      <w:r>
        <w:rPr>
          <w:rFonts w:ascii="Arial" w:cs="Arial" w:eastAsia="Arial" w:hAnsi="Arial"/>
          <w:b w:val="false"/>
          <w:bCs w:val="false"/>
          <w:sz w:val="21"/>
          <w:szCs w:val="21"/>
          <w:rtl/>
        </w:rPr>
        <w:t xml:space="preserve">يقبل المدير الدعوة، ويضبط تطبيق المصادقة، ويدخل.</w:t>
      </w:r>
    </w:p>
    <w:p>
      <w:pPr>
        <w:bidi/>
        <w:spacing w:after="60" w:before="0"/>
      </w:pPr>
    </w:p>
    <w:p>
      <w:pPr>
        <w:bidi/>
        <w:spacing w:after="110" w:before="0" w:line="312"/>
      </w:pPr>
      <w:r>
        <w:rPr>
          <w:rFonts w:ascii="Arial" w:cs="Arial" w:eastAsia="Arial" w:hAnsi="Arial"/>
          <w:b w:val="false"/>
          <w:bCs w:val="false"/>
          <w:sz w:val="21"/>
          <w:szCs w:val="21"/>
          <w:rtl/>
        </w:rPr>
        <w:t xml:space="preserve">ويمر هذا المسار في اختبار تكامل واحد على القاعدة المنشورة في CI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ونواة الأمن مختبرة بمتجهات مرجعية: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Argon2id مطابق للتنفيذ المرجعي بايتًا ببايت؛</w:t>
      </w:r>
    </w:p>
    <w:p>
      <w:pPr>
        <w:pStyle w:val="ListParagraph"/>
        <w:numPr>
          <w:ilvl w:val="0"/>
          <w:numId w:val="4"/>
        </w:numPr>
        <w:bidi/>
        <w:spacing w:after="70" w:before="0" w:line="300"/>
      </w:pPr>
      <w:r>
        <w:rPr>
          <w:rFonts w:ascii="Arial" w:cs="Arial" w:eastAsia="Arial" w:hAnsi="Arial"/>
          <w:b w:val="false"/>
          <w:bCs w:val="false"/>
          <w:sz w:val="21"/>
          <w:szCs w:val="21"/>
          <w:rtl/>
        </w:rPr>
        <w:t xml:space="preserve">TOTP بمتجهات RFC 6238؛</w:t>
      </w:r>
    </w:p>
    <w:p>
      <w:pPr>
        <w:pStyle w:val="ListParagraph"/>
        <w:numPr>
          <w:ilvl w:val="0"/>
          <w:numId w:val="4"/>
        </w:numPr>
        <w:bidi/>
        <w:spacing w:after="70" w:before="0" w:line="300"/>
      </w:pPr>
      <w:r>
        <w:rPr>
          <w:rFonts w:ascii="Arial" w:cs="Arial" w:eastAsia="Arial" w:hAnsi="Arial"/>
          <w:b w:val="false"/>
          <w:bCs w:val="false"/>
          <w:sz w:val="21"/>
          <w:szCs w:val="21"/>
          <w:rtl/>
        </w:rPr>
        <w:t xml:space="preserve">غلاف AES-256-GCM ببيانات مرتبطة تذكر المشترك والجدول والصف.</w:t>
      </w:r>
    </w:p>
    <w:p>
      <w:pPr>
        <w:bidi/>
        <w:spacing w:after="60" w:before="0"/>
      </w:pPr>
    </w:p>
    <w:p>
      <w:pPr>
        <w:bidi/>
        <w:spacing w:after="110" w:before="0" w:line="312"/>
      </w:pPr>
      <w:r>
        <w:rPr>
          <w:rFonts w:ascii="Arial" w:cs="Arial" w:eastAsia="Arial" w:hAnsi="Arial"/>
          <w:b w:val="false"/>
          <w:bCs w:val="false"/>
          <w:sz w:val="21"/>
          <w:szCs w:val="21"/>
          <w:rtl/>
        </w:rPr>
        <w:t xml:space="preserve">وسُدّت ثماني ثغرات في القاعدة كانت توقف المسار، لكل منها اختبار: GAP-1 وGAP-2 وGAP-3 وGAP-4 وGAP-7 وGAP-8 وGAP-10 وGAP-13. وصار الرمز بلا رقم خطوته فشلًا محسوبًا في القفل. ويرحب الفريق بأن يتحقق الخبير من:</w:t>
      </w:r>
    </w:p>
    <w:p>
      <w:pPr>
        <w:pStyle w:val="ListParagraph"/>
        <w:numPr>
          <w:ilvl w:val="0"/>
          <w:numId w:val="4"/>
        </w:numPr>
        <w:bidi/>
        <w:spacing w:after="70" w:before="0" w:line="300"/>
      </w:pPr>
      <w:r>
        <w:rPr>
          <w:rFonts w:ascii="Arial" w:cs="Arial" w:eastAsia="Arial" w:hAnsi="Arial"/>
          <w:b w:val="false"/>
          <w:bCs w:val="false"/>
          <w:sz w:val="21"/>
          <w:szCs w:val="21"/>
          <w:rtl/>
        </w:rPr>
        <w:t xml:space="preserve">ربط الجلسة لكل طلب وقراءة المستخدم من سياق القاعدة لا من الطلب (</w:t>
      </w:r>
      <w:r>
        <w:rPr>
          <w:rFonts w:ascii="Courier New" w:cs="Courier New" w:eastAsia="Courier New" w:hAnsi="Courier New"/>
          <w:b w:val="false"/>
          <w:bCs w:val="false"/>
          <w:color w:val="1F2937"/>
          <w:sz w:val="18"/>
          <w:szCs w:val="18"/>
          <w:shd w:fill="F1F3F5" w:color="auto" w:val="clear"/>
          <w:rtl/>
        </w:rPr>
        <w:t xml:space="preserve">‎TenantAuthProcedures.BindUserAsync‎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البيانات المرتبطة في الغلاف، والاختيار الموثق لأسرار المشغّلين بلا معرّف صف (ADR 0040 §3)؛</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التهيئة وإعادة تشغيلها دون أثر (</w:t>
      </w:r>
      <w:r>
        <w:rPr>
          <w:rFonts w:ascii="Courier New" w:cs="Courier New" w:eastAsia="Courier New" w:hAnsi="Courier New"/>
          <w:b w:val="false"/>
          <w:bCs w:val="false"/>
          <w:color w:val="1F2937"/>
          <w:sz w:val="18"/>
          <w:szCs w:val="18"/>
          <w:shd w:fill="F1F3F5" w:color="auto" w:val="clear"/>
          <w:rtl/>
        </w:rPr>
        <w:t xml:space="preserve">‎OnboardingJob‎</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ما بقي من S0 في </w:t>
      </w:r>
      <w:r>
        <w:rPr>
          <w:rFonts w:ascii="Courier New" w:cs="Courier New" w:eastAsia="Courier New" w:hAnsi="Courier New"/>
          <w:b w:val="false"/>
          <w:bCs w:val="false"/>
          <w:color w:val="1F2937"/>
          <w:sz w:val="18"/>
          <w:szCs w:val="18"/>
          <w:shd w:fill="F1F3F5" w:color="auto" w:val="clear"/>
          <w:rtl/>
        </w:rPr>
        <w:t xml:space="preserve">‎docs/42‎</w:t>
      </w:r>
      <w:r>
        <w:rPr>
          <w:rFonts w:ascii="Arial" w:cs="Arial" w:eastAsia="Arial" w:hAnsi="Arial"/>
          <w:b w:val="false"/>
          <w:bCs w:val="false"/>
          <w:sz w:val="21"/>
          <w:szCs w:val="21"/>
          <w:rtl/>
        </w:rPr>
        <w:t xml:space="preserve"> §8.</w:t>
      </w:r>
    </w:p>
    <w:p>
      <w:pPr>
        <w:bidi/>
        <w:spacing w:after="60" w:before="0"/>
      </w:pPr>
    </w:p>
    <w:p>
      <w:pPr>
        <w:bidi/>
        <w:spacing w:after="110" w:before="0" w:line="312"/>
      </w:pPr>
      <w:r>
        <w:rPr>
          <w:rFonts w:ascii="Arial" w:cs="Arial" w:eastAsia="Arial" w:hAnsi="Arial"/>
          <w:b/>
          <w:bCs/>
          <w:sz w:val="21"/>
          <w:szCs w:val="21"/>
          <w:rtl/>
        </w:rPr>
        <w:t xml:space="preserve">ما سبقه: المراجعة الداخلية v6 (2026-10-21، </w:t>
      </w:r>
      <w:r>
        <w:rPr>
          <w:rFonts w:ascii="Courier New" w:cs="Courier New" w:eastAsia="Courier New" w:hAnsi="Courier New"/>
          <w:b/>
          <w:bCs/>
          <w:color w:val="1F2937"/>
          <w:sz w:val="18"/>
          <w:szCs w:val="18"/>
          <w:shd w:fill="F1F3F5" w:color="auto" w:val="clear"/>
          <w:rtl/>
        </w:rPr>
        <w:t xml:space="preserve">‎docs/41-internal-review-v6.md‎</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قبل التسليم طلب المالك تقييمًا داخليًا شاملًا، فراجعت النظام خمس عدسات، كل واحدة وكيل ذكاء اصطناعي لا خبير بشري. العدسات هي شيفرة القاعدة، والاختبارات وCI، والوثائق مقابل ما بُني، والأمن والتشغيل، والمالية والائتمان. وُجدت 114 ملاحظة، وتُحقق من كل واحدة مقابل الشيفرة قبل إصلاحها. أُصلح ما ثبت، وسُجّل لما بقي سببه. والقرارات في ADR 0037 وADR 0038 وADR 0039. ويرحب الفريق بأن يتحقق الخبير من هذه الإصلاحات تحديدًا: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المخزن هو الحَكَم في مراسي سلسلة التدقيق (AA1–AA7)؛</w:t>
      </w:r>
    </w:p>
    <w:p>
      <w:pPr>
        <w:pStyle w:val="ListParagraph"/>
        <w:numPr>
          <w:ilvl w:val="0"/>
          <w:numId w:val="4"/>
        </w:numPr>
        <w:bidi/>
        <w:spacing w:after="70" w:before="0" w:line="300"/>
      </w:pPr>
      <w:r>
        <w:rPr>
          <w:rFonts w:ascii="Arial" w:cs="Arial" w:eastAsia="Arial" w:hAnsi="Arial"/>
          <w:b w:val="false"/>
          <w:bCs w:val="false"/>
          <w:sz w:val="21"/>
          <w:szCs w:val="21"/>
          <w:rtl/>
        </w:rPr>
        <w:t xml:space="preserve">فصل المُعِدّ عن المعتمِد مختوم بهوية الجلسة (FC1–FC14)؛</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قراءة مراجعات التسهيل وتاريخ التقييم في المحرك (CA13)؛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الترحيل بحساب النشر داخل نافذة بعد نسخة احتياطية (MG1–MG12).</w:t>
      </w:r>
    </w:p>
    <w:p>
      <w:pPr>
        <w:bidi/>
        <w:spacing w:after="60" w:before="0"/>
      </w:pPr>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4"/>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4"/>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4"/>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4"/>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4"/>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4"/>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4"/>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4"/>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4"/>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4"/>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4"/>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4"/>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4"/>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142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4"/>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4"/>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4"/>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4"/>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4"/>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4"/>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4"/>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‎docs/adr/0001…0040‎</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(المرحلة الثانية)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والتقرير </w:t>
            </w:r>
            <w:r>
              <w:rPr>
                <w:rFonts w:ascii="Courier New" w:cs="Courier New" w:eastAsia="Courier New" w:hAnsi="Courier New"/>
                <w:b w:val="false"/>
                <w:bCs w:val="false"/>
                <w:color w:val="1F2937"/>
                <w:sz w:val="16"/>
                <w:szCs w:val="16"/>
                <w:shd w:fill="F1F3F5" w:color="auto" w:val="clear"/>
                <w:rtl/>
              </w:rPr>
              <w:t xml:space="preserve">‎docs/42-phase2-s0-build.md‎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‎docs/42-PHASE2-S0-BUILD.docx‎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‎BankFas.Data‎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‎BankFas.Worker‎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w:t>
            </w:r>
            <w:r>
              <w:rPr>
                <w:rFonts w:ascii="Arial" w:cs="Arial" w:eastAsia="Arial" w:hAnsi="Arial"/>
                <w:b w:val="false"/>
                <w:bCs w:val="false"/>
                <w:sz w:val="18"/>
                <w:szCs w:val="18"/>
                <w:rtl/>
              </w:rPr>
              <w:t xml:space="preserve"> والاختبارات؛ ADR 0040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على بيانات اصطناعية بـ300 مشترك، ونتائجه في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(البند 1 من دراسة المراجعة 5.0)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والمعتمِد هما مستخدم الجلسة بصلاحيته، وما تجمّده الفترة المغلقة بطرق غير مباشرة (المراجعة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تصحيحات محرك الائتمان: المراجعات، وتاريخ التقييم، والتعهدات والتناسب، والقوائم المرحلية، وعمر تقرير سمة، ومقارنة المرجع (المراجعة الداخلية v6)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هو الحَكَم في مراسي سلسلة التدقيق، والترحيل كما في الإنتاج، ودورة حياة المفتاح، وحارس CI (المراجعة الداخلية v6)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0040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معمارية التطبيق في المرحلة الثانية، ونواة الأمن، وثغرات القاعدة الثماني التي احتاجها مسار S0 الأول</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4"/>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4"/>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34 خطوة (0 إلى 24 و4ب و19ب–19د و22ب–22و)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4765"/>
        <w:gridCol w:w="3649"/>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و4,202 عمود في النموذج</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و51 من 51 حالة ضغط في مدى المراجع</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و112 مقياسًا و16 بطاقة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937 مفتاحًا أجنبيًا، 662 قيد تفرّد، 1,501 قيد فحص، 804 فهارس، 210 سياسات RLS، 61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121 قادحًا ولا معطَّل منها، ولا دالة داخلية مفتوحة لأدوار القراءة، وحساب النشر معطَّل</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و12 و7 و6 و8 و2 و4 و4 و7 و7 و6</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(CA1–CA31): المثال المحلول مطابقًا لـ Python، والتعديلات وترتيبها، والدعم والتجاوز، والصلاحيات ومنع كتابة النتائج، وتجميد البطاقة المعتمدة، وما بُني بعدها حتى إقفال الفترات (ADR 0031)</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19د</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رقمًا برقم (CE وCV)، بمقارنة لا تتسامح مع قيمة مجهولة في جانب واحد (ADR 0038)</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22ب–22و</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(KG1–KG7 وAC1–AC10)، ومراسي السلسلة خارج القاعدة والمخزن هو الحَكَم (AA1–AA7)، والترحيلات المتزايدة بحساب النشر داخل نافذة (MG1–MG12)، وأدوار الحزمة CORE.ROLES (CR1–CR9)، والفاعلون في السجلات المالية وما تجمّده الفترة المغلقة (FC1–FC14)</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و7 و12 و9 و14</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متبقٍّ (يُعدّ قبل الحذف)، ولا قيد غير موثوق ولا قادح أو مرشح معطَّل، ولا مشترك متبقٍّ</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(ADR 0036)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نتيجة، والسلسلة سليمة بعد الكتّاب المتزامنين، وJ2 وJ4 سليمان</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4.4 التطبيق</w:t>
      </w:r>
      <w:bookmarkEnd w:id="12"/>
    </w:p>
    <w:p>
      <w:pPr>
        <w:bidi/>
        <w:spacing w:after="110" w:before="0" w:line="312"/>
      </w:pPr>
      <w:r>
        <w:rPr>
          <w:rFonts w:ascii="Arial" w:cs="Arial" w:eastAsia="Arial" w:hAnsi="Arial"/>
          <w:b w:val="false"/>
          <w:bCs w:val="false"/>
          <w:sz w:val="21"/>
          <w:szCs w:val="21"/>
          <w:rtl/>
        </w:rPr>
        <w:t xml:space="preserve">بعد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على الخادم نفسه:</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tools/ci/app_ci.sh</w:t>
      </w:r>
    </w:p>
    <w:p>
      <w:pPr>
        <w:bidi/>
        <w:spacing w:after="110" w:before="0" w:line="312"/>
      </w:pPr>
      <w:r>
        <w:rPr>
          <w:rFonts w:ascii="Arial" w:cs="Arial" w:eastAsia="Arial" w:hAnsi="Arial"/>
          <w:b w:val="false"/>
          <w:bCs w:val="false"/>
          <w:sz w:val="21"/>
          <w:szCs w:val="21"/>
          <w:rtl/>
        </w:rPr>
        <w:t xml:space="preserve">يلزم .NET SDK 10.0.112 (</w:t>
      </w:r>
      <w:r>
        <w:rPr>
          <w:rFonts w:ascii="Courier New" w:cs="Courier New" w:eastAsia="Courier New" w:hAnsi="Courier New"/>
          <w:b w:val="false"/>
          <w:bCs w:val="false"/>
          <w:color w:val="1F2937"/>
          <w:sz w:val="18"/>
          <w:szCs w:val="18"/>
          <w:shd w:fill="F1F3F5" w:color="auto" w:val="clear"/>
          <w:rtl/>
        </w:rPr>
        <w:t xml:space="preserve">‎app/global.json‎</w:t>
      </w:r>
      <w:r>
        <w:rPr>
          <w:rFonts w:ascii="Arial" w:cs="Arial" w:eastAsia="Arial" w:hAnsi="Arial"/>
          <w:b w:val="false"/>
          <w:bCs w:val="false"/>
          <w:sz w:val="21"/>
          <w:szCs w:val="21"/>
          <w:rtl/>
        </w:rPr>
        <w:t xml:space="preserve">) وNode.js 22. ويعمل السكربت على هذا الترتيب:</w:t>
      </w:r>
    </w:p>
    <w:p>
      <w:pPr>
        <w:pStyle w:val="ListParagraph"/>
        <w:numPr>
          <w:ilvl w:val="0"/>
          <w:numId w:val="5"/>
        </w:numPr>
        <w:bidi/>
        <w:spacing w:after="70" w:before="0" w:line="300"/>
      </w:pPr>
      <w:r>
        <w:rPr>
          <w:rFonts w:ascii="Arial" w:cs="Arial" w:eastAsia="Arial" w:hAnsi="Arial"/>
          <w:b w:val="false"/>
          <w:bCs w:val="false"/>
          <w:sz w:val="21"/>
          <w:szCs w:val="21"/>
          <w:rtl/>
        </w:rPr>
        <w:t xml:space="preserve">يبني الحل ويشغّل اختبارات الوحدة الـ32.</w:t>
      </w:r>
    </w:p>
    <w:p>
      <w:pPr>
        <w:pStyle w:val="ListParagraph"/>
        <w:numPr>
          <w:ilvl w:val="0"/>
          <w:numId w:val="5"/>
        </w:numPr>
        <w:bidi/>
        <w:spacing w:after="70" w:before="0" w:line="300"/>
      </w:pPr>
      <w:r>
        <w:rPr>
          <w:rFonts w:ascii="Arial" w:cs="Arial" w:eastAsia="Arial" w:hAnsi="Arial"/>
          <w:b w:val="false"/>
          <w:bCs w:val="false"/>
          <w:sz w:val="21"/>
          <w:szCs w:val="21"/>
          <w:rtl/>
        </w:rPr>
        <w:t xml:space="preserve">يبني الواجهة الأمامية.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ينشئ حسابات الخدمة في مجلد مؤقت.</w:t>
      </w:r>
    </w:p>
    <w:p>
      <w:pPr>
        <w:pStyle w:val="ListParagraph"/>
        <w:numPr>
          <w:ilvl w:val="0"/>
          <w:numId w:val="5"/>
        </w:numPr>
        <w:bidi/>
        <w:spacing w:after="70" w:before="0" w:line="300"/>
      </w:pPr>
      <w:r>
        <w:rPr>
          <w:rFonts w:ascii="Arial" w:cs="Arial" w:eastAsia="Arial" w:hAnsi="Arial"/>
          <w:b w:val="false"/>
          <w:bCs w:val="false"/>
          <w:sz w:val="21"/>
          <w:szCs w:val="21"/>
          <w:rtl/>
        </w:rPr>
        <w:t xml:space="preserve">يشغّل اختبار التكامل على القاعدة، ثم يحذف الحسابات.</w:t>
      </w:r>
    </w:p>
    <w:p>
      <w:pPr>
        <w:bidi/>
        <w:spacing w:after="60" w:before="0"/>
      </w:pPr>
    </w:p>
    <w:p>
      <w:pPr>
        <w:bidi/>
        <w:spacing w:after="110" w:before="0" w:line="312"/>
      </w:pPr>
      <w:r>
        <w:rPr>
          <w:rFonts w:ascii="Arial" w:cs="Arial" w:eastAsia="Arial" w:hAnsi="Arial"/>
          <w:b w:val="false"/>
          <w:bCs w:val="false"/>
          <w:sz w:val="21"/>
          <w:szCs w:val="21"/>
          <w:rtl/>
        </w:rPr>
        <w:t xml:space="preserve">وينتهي بـ «application CI passed». ويحتاج اختبار التكامل قاعدة لم يُنشأ فيها مشغّل بعد، كالتي ينشرها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w:t>
      </w:r>
    </w:p>
    <w:p>
      <w:pPr>
        <w:pStyle w:val="Heading1"/>
        <w:bidi/>
      </w:pPr>
      <w:bookmarkStart w:name="_sec13" w:id="13"/>
      <w:r>
        <w:rPr>
          <w:rFonts w:ascii="Arial" w:cs="Arial" w:eastAsia="Arial" w:hAnsi="Arial"/>
          <w:b/>
          <w:bCs/>
          <w:color w:val="1F3A5F"/>
          <w:sz w:val="32"/>
          <w:szCs w:val="32"/>
          <w:rtl/>
        </w:rPr>
        <w:t xml:space="preserve">5. الأدلة</w:t>
      </w:r>
      <w:bookmarkEnd w:id="13"/>
    </w:p>
    <w:p>
      <w:pPr>
        <w:pStyle w:val="ListParagraph"/>
        <w:numPr>
          <w:ilvl w:val="0"/>
          <w:numId w:val="6"/>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6"/>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4"/>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4"/>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4"/>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6"/>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6"/>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6"/>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4" w:id="14"/>
      <w:r>
        <w:rPr>
          <w:rFonts w:ascii="Arial" w:cs="Arial" w:eastAsia="Arial" w:hAnsi="Arial"/>
          <w:b/>
          <w:bCs/>
          <w:color w:val="1F3A5F"/>
          <w:sz w:val="32"/>
          <w:szCs w:val="32"/>
          <w:rtl/>
        </w:rPr>
        <w:t xml:space="preserve">6. أنماط تصميم يحسن أن يعرفها المراجع</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7. الحدود المعروفة والمؤجل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في أوله</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مسار S0 الأول وحده؛ وقواعد كثيرة في المواصفات يفرضها التطبيق لم تُبنَ بعد. والقاعدة تفرض البنية والحالات والسلامة المرجعية والعزل. ومنتج KMS ومزوّد البريد لم يُختارا، فالمفاتيح الرئيسية محلية للتطوير والاختبار فقط</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 </w:t>
            </w:r>
            <w:r>
              <w:rPr>
                <w:rFonts w:ascii="Courier New" w:cs="Courier New" w:eastAsia="Courier New" w:hAnsi="Courier New"/>
                <w:b w:val="false"/>
                <w:bCs w:val="false"/>
                <w:color w:val="1F2937"/>
                <w:sz w:val="16"/>
                <w:szCs w:val="16"/>
                <w:shd w:fill="F1F3F5" w:color="auto" w:val="clear"/>
                <w:rtl/>
              </w:rPr>
              <w:t xml:space="preserve">‎docs/42‎</w:t>
            </w:r>
            <w:r>
              <w:rPr>
                <w:rFonts w:ascii="Arial" w:cs="Arial" w:eastAsia="Arial" w:hAnsi="Arial"/>
                <w:b w:val="false"/>
                <w:bCs w:val="false"/>
                <w:sz w:val="18"/>
                <w:szCs w:val="18"/>
                <w:rtl/>
              </w:rPr>
              <w:t xml:space="preserve"> §8</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أسئلة نطلب رأي المراجع فيها</w:t>
      </w:r>
      <w:bookmarkEnd w:id="16"/>
    </w:p>
    <w:p>
      <w:pPr>
        <w:pStyle w:val="ListParagraph"/>
        <w:numPr>
          <w:ilvl w:val="0"/>
          <w:numId w:val="7"/>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7"/>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7"/>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7"/>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7"/>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7"/>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7"/>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7"/>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7"/>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7"/>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7"/>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pStyle w:val="ListParagraph"/>
        <w:numPr>
          <w:ilvl w:val="0"/>
          <w:numId w:val="7"/>
        </w:numPr>
        <w:bidi/>
        <w:spacing w:after="70" w:before="0" w:line="300"/>
      </w:pPr>
      <w:r>
        <w:rPr>
          <w:rFonts w:ascii="Arial" w:cs="Arial" w:eastAsia="Arial" w:hAnsi="Arial"/>
          <w:b/>
          <w:bCs/>
          <w:sz w:val="21"/>
          <w:szCs w:val="21"/>
          <w:rtl/>
        </w:rPr>
        <w:t xml:space="preserve">التطبيق (ADR 0040).</w:t>
      </w:r>
      <w:r>
        <w:rPr>
          <w:rFonts w:ascii="Arial" w:cs="Arial" w:eastAsia="Arial" w:hAnsi="Arial"/>
          <w:b w:val="false"/>
          <w:bCs w:val="false"/>
          <w:sz w:val="21"/>
          <w:szCs w:val="21"/>
          <w:rtl/>
        </w:rPr>
        <w:t xml:space="preserve"> هل يكفي ربط الاتصال لكل طلب بقراءة المستخدم من سياق القاعدة، وإغلاق الاتصال آخر الطلب، مع إبقاء التجميع وإعادة ضبط الاتصال؟ وهل البيانات المرتبطة في الغلاف المشفّر كافية؟ وهل يصح حفظ السر المؤقت لضبط المصادقة في ملف تعريف ارتباط محمي بـ Data Protection عشر دقائق بدل القاعدة؟</w:t>
      </w:r>
    </w:p>
    <w:p>
      <w:pPr>
        <w:bidi/>
        <w:spacing w:after="60" w:before="0"/>
      </w:pPr>
    </w:p>
    <w:p>
      <w:pPr>
        <w:pStyle w:val="Heading1"/>
        <w:bidi/>
      </w:pPr>
      <w:bookmarkStart w:name="_sec17" w:id="17"/>
      <w:r>
        <w:rPr>
          <w:rFonts w:ascii="Arial" w:cs="Arial" w:eastAsia="Arial" w:hAnsi="Arial"/>
          <w:b/>
          <w:bCs/>
          <w:color w:val="1F3A5F"/>
          <w:sz w:val="32"/>
          <w:szCs w:val="32"/>
          <w:rtl/>
        </w:rPr>
        <w:t xml:space="preserve">9. طريقة إرسال النتائج</w:t>
      </w:r>
      <w:bookmarkEnd w:id="17"/>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2026-10-21T20:24:04.489Z</dcterms:created>
  <dcterms:modified xsi:type="dcterms:W3CDTF">2026-10-21T20:24:04.492Z</dcterms:modified>
</cp:coreProperties>
</file>

<file path=docProps/custom.xml><?xml version="1.0" encoding="utf-8"?>
<Properties xmlns="http://schemas.openxmlformats.org/officeDocument/2006/custom-properties" xmlns:vt="http://schemas.openxmlformats.org/officeDocument/2006/docPropsVTypes"/>
</file>