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التقييم الائتماني من منظور الشركة الداخلي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اعتمدها المالك في 2026-10-20 (القرار 34) بمقترحاتها؛ بُنيت المراحل أ وب وج ود، والباقي ينتظر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سببها</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المالك (2026-10-20): النظام للشركات لا للبنوك. الشركة تدرس فيه نفسها من قوائمها المالية وقوتها ومخاطرها وتسهيلاتها والمؤثرات الخارجية، فتعرف وضعها قبل البنك، وتتدارك المخاطر، وتعيد هيكلة قوائمها وتصنيف عناصرها قبل اعتمادها النهائي، مدققة كانت أو داخلية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تراجع</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والقرارات 27 إلى 33 في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وADR 0017 إلى ADR 0021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المنظور الصحيح</w:t>
        </w:r>
      </w:hyperlink>
    </w:p>
    <w:p>
      <w:pPr>
        <w:bidi/>
        <w:spacing w:after="50" w:before="0"/>
        <w:ind w:left="0"/>
      </w:pPr>
      <w:hyperlink w:history="1" w:anchor="_sec2">
        <w:r>
          <w:rPr>
            <w:rFonts w:ascii="Arial" w:cs="Arial" w:eastAsia="Arial" w:hAnsi="Arial"/>
            <w:b/>
            <w:bCs/>
            <w:color w:val="1F3A5F"/>
            <w:sz w:val="20"/>
            <w:szCs w:val="20"/>
            <w:rtl/>
          </w:rPr>
          <w:t xml:space="preserve">2. ما يخدم هذا المنظور فعلًا في النظام الآن</w:t>
        </w:r>
      </w:hyperlink>
    </w:p>
    <w:p>
      <w:pPr>
        <w:bidi/>
        <w:spacing w:after="50" w:before="0"/>
        <w:ind w:left="0"/>
      </w:pPr>
      <w:hyperlink w:history="1" w:anchor="_sec3">
        <w:r>
          <w:rPr>
            <w:rFonts w:ascii="Arial" w:cs="Arial" w:eastAsia="Arial" w:hAnsi="Arial"/>
            <w:b/>
            <w:bCs/>
            <w:color w:val="1F3A5F"/>
            <w:sz w:val="20"/>
            <w:szCs w:val="20"/>
            <w:rtl/>
          </w:rPr>
          <w:t xml:space="preserve">3. ما كُتب من منظور البنك ويُصحَّح</w:t>
        </w:r>
      </w:hyperlink>
    </w:p>
    <w:p>
      <w:pPr>
        <w:bidi/>
        <w:spacing w:after="50" w:before="0"/>
        <w:ind w:left="0"/>
      </w:pPr>
      <w:hyperlink w:history="1" w:anchor="_sec4">
        <w:r>
          <w:rPr>
            <w:rFonts w:ascii="Arial" w:cs="Arial" w:eastAsia="Arial" w:hAnsi="Arial"/>
            <w:b/>
            <w:bCs/>
            <w:color w:val="1F3A5F"/>
            <w:sz w:val="20"/>
            <w:szCs w:val="20"/>
            <w:rtl/>
          </w:rPr>
          <w:t xml:space="preserve">4. الفجوات من المنظور الداخلي</w:t>
        </w:r>
      </w:hyperlink>
    </w:p>
    <w:p>
      <w:pPr>
        <w:bidi/>
        <w:spacing w:after="50" w:before="0"/>
        <w:ind w:left="0"/>
      </w:pPr>
      <w:hyperlink w:history="1" w:anchor="_sec11">
        <w:r>
          <w:rPr>
            <w:rFonts w:ascii="Arial" w:cs="Arial" w:eastAsia="Arial" w:hAnsi="Arial"/>
            <w:b/>
            <w:bCs/>
            <w:color w:val="1F3A5F"/>
            <w:sz w:val="20"/>
            <w:szCs w:val="20"/>
            <w:rtl/>
          </w:rPr>
          <w:t xml:space="preserve">5. ما لن يفعله النظام</w:t>
        </w:r>
      </w:hyperlink>
    </w:p>
    <w:p>
      <w:pPr>
        <w:bidi/>
        <w:spacing w:after="50" w:before="0"/>
        <w:ind w:left="0"/>
      </w:pPr>
      <w:hyperlink w:history="1" w:anchor="_sec12">
        <w:r>
          <w:rPr>
            <w:rFonts w:ascii="Arial" w:cs="Arial" w:eastAsia="Arial" w:hAnsi="Arial"/>
            <w:b/>
            <w:bCs/>
            <w:color w:val="1F3A5F"/>
            <w:sz w:val="20"/>
            <w:szCs w:val="20"/>
            <w:rtl/>
          </w:rPr>
          <w:t xml:space="preserve">6. خطة التنفيذ المقترحة</w:t>
        </w:r>
      </w:hyperlink>
    </w:p>
    <w:p>
      <w:pPr>
        <w:bidi/>
        <w:spacing w:after="50" w:before="0"/>
        <w:ind w:left="0"/>
      </w:pPr>
      <w:hyperlink w:history="1" w:anchor="_sec13">
        <w:r>
          <w:rPr>
            <w:rFonts w:ascii="Arial" w:cs="Arial" w:eastAsia="Arial" w:hAnsi="Arial"/>
            <w:b/>
            <w:bCs/>
            <w:color w:val="1F3A5F"/>
            <w:sz w:val="20"/>
            <w:szCs w:val="20"/>
            <w:rtl/>
          </w:rPr>
          <w:t xml:space="preserve">7. قرارات المالك (2026-10-20، القرار 34)</w:t>
        </w:r>
      </w:hyperlink>
    </w:p>
    <w:p>
      <w:r>
        <w:br w:type="page"/>
      </w:r>
    </w:p>
    <w:p>
      <w:pPr>
        <w:pStyle w:val="Heading1"/>
        <w:bidi/>
      </w:pPr>
      <w:bookmarkStart w:name="_sec1" w:id="1"/>
      <w:r>
        <w:rPr>
          <w:rFonts w:ascii="Arial" w:cs="Arial" w:eastAsia="Arial" w:hAnsi="Arial"/>
          <w:b/>
          <w:bCs/>
          <w:color w:val="1F3A5F"/>
          <w:sz w:val="32"/>
          <w:szCs w:val="32"/>
          <w:rtl/>
        </w:rPr>
        <w:t xml:space="preserve">1. المنظور الصحيح</w:t>
      </w:r>
      <w:bookmarkEnd w:id="1"/>
    </w:p>
    <w:p>
      <w:pPr>
        <w:bidi/>
        <w:spacing w:after="110" w:before="0" w:line="312"/>
      </w:pPr>
      <w:r>
        <w:rPr>
          <w:rFonts w:ascii="Arial" w:cs="Arial" w:eastAsia="Arial" w:hAnsi="Arial"/>
          <w:b w:val="false"/>
          <w:bCs w:val="false"/>
          <w:sz w:val="21"/>
          <w:szCs w:val="21"/>
          <w:rtl/>
        </w:rPr>
        <w:t xml:space="preserve">البنك يملك منظومته الخاصة ولا يحتاج نظامنا. </w:t>
      </w:r>
      <w:r>
        <w:rPr>
          <w:rFonts w:ascii="Arial" w:cs="Arial" w:eastAsia="Arial" w:hAnsi="Arial"/>
          <w:b/>
          <w:bCs/>
          <w:sz w:val="21"/>
          <w:szCs w:val="21"/>
          <w:rtl/>
        </w:rPr>
        <w:t xml:space="preserve">ونظامنا مرآة داخلية للشركة</w:t>
      </w:r>
      <w:r>
        <w:rPr>
          <w:rFonts w:ascii="Arial" w:cs="Arial" w:eastAsia="Arial" w:hAnsi="Arial"/>
          <w:b w:val="false"/>
          <w:bCs w:val="false"/>
          <w:sz w:val="21"/>
          <w:szCs w:val="21"/>
          <w:rtl/>
        </w:rPr>
        <w:t xml:space="preserve">، تُريها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لثلاثة أغراض:</w:t>
      </w:r>
    </w:p>
    <w:p>
      <w:pPr>
        <w:pStyle w:val="ListParagraph"/>
        <w:numPr>
          <w:ilvl w:val="0"/>
          <w:numId w:val="2"/>
        </w:numPr>
        <w:bidi/>
        <w:spacing w:after="70" w:before="0" w:line="300"/>
      </w:pPr>
      <w:r>
        <w:rPr>
          <w:rFonts w:ascii="Arial" w:cs="Arial" w:eastAsia="Arial" w:hAnsi="Arial"/>
          <w:b/>
          <w:bCs/>
          <w:sz w:val="21"/>
          <w:szCs w:val="21"/>
          <w:rtl/>
        </w:rPr>
        <w:t xml:space="preserve">الاستباق.</w:t>
      </w:r>
      <w:r>
        <w:rPr>
          <w:rFonts w:ascii="Arial" w:cs="Arial" w:eastAsia="Arial" w:hAnsi="Arial"/>
          <w:b w:val="false"/>
          <w:bCs w:val="false"/>
          <w:sz w:val="21"/>
          <w:szCs w:val="21"/>
          <w:rtl/>
        </w:rPr>
        <w:t xml:space="preserve"> تعرف الشركة درجتها المتوقعة ونقاط ضعفها ومخاطرها قبل أن تقدّم قوائمها أو تطلب تجديد تسهيلاتها.</w:t>
      </w:r>
    </w:p>
    <w:p>
      <w:pPr>
        <w:pStyle w:val="ListParagraph"/>
        <w:numPr>
          <w:ilvl w:val="0"/>
          <w:numId w:val="2"/>
        </w:numPr>
        <w:bidi/>
        <w:spacing w:after="70" w:before="0" w:line="300"/>
      </w:pPr>
      <w:r>
        <w:rPr>
          <w:rFonts w:ascii="Arial" w:cs="Arial" w:eastAsia="Arial" w:hAnsi="Arial"/>
          <w:b/>
          <w:bCs/>
          <w:sz w:val="21"/>
          <w:szCs w:val="21"/>
          <w:rtl/>
        </w:rPr>
        <w:t xml:space="preserve">التدارك.</w:t>
      </w:r>
      <w:r>
        <w:rPr>
          <w:rFonts w:ascii="Arial" w:cs="Arial" w:eastAsia="Arial" w:hAnsi="Arial"/>
          <w:b w:val="false"/>
          <w:bCs w:val="false"/>
          <w:sz w:val="21"/>
          <w:szCs w:val="21"/>
          <w:rtl/>
        </w:rPr>
        <w:t xml:space="preserve"> تختار الإجراءات الفعلية وإعادة التبويب الصحيحة التي تقوّي موقفها، وترى أثر كل منها قبل تنفيذه.</w:t>
      </w:r>
    </w:p>
    <w:p>
      <w:pPr>
        <w:pStyle w:val="ListParagraph"/>
        <w:numPr>
          <w:ilvl w:val="0"/>
          <w:numId w:val="2"/>
        </w:numPr>
        <w:bidi/>
        <w:spacing w:after="70" w:before="0" w:line="300"/>
      </w:pPr>
      <w:r>
        <w:rPr>
          <w:rFonts w:ascii="Arial" w:cs="Arial" w:eastAsia="Arial" w:hAnsi="Arial"/>
          <w:b/>
          <w:bCs/>
          <w:sz w:val="21"/>
          <w:szCs w:val="21"/>
          <w:rtl/>
        </w:rPr>
        <w:t xml:space="preserve">التجهيز.</w:t>
      </w:r>
      <w:r>
        <w:rPr>
          <w:rFonts w:ascii="Arial" w:cs="Arial" w:eastAsia="Arial" w:hAnsi="Arial"/>
          <w:b w:val="false"/>
          <w:bCs w:val="false"/>
          <w:sz w:val="21"/>
          <w:szCs w:val="21"/>
          <w:rtl/>
        </w:rPr>
        <w:t xml:space="preserve"> تعدّ قوائمها بصيغة أخرى قبل اعتمادها النهائي، مع ملف جاهز لما ستسأل عنه جهات التمويل.</w:t>
      </w:r>
    </w:p>
    <w:p>
      <w:pPr>
        <w:bidi/>
        <w:spacing w:after="60" w:before="0"/>
      </w:pPr>
    </w:p>
    <w:p>
      <w:pPr>
        <w:bidi/>
        <w:spacing w:after="110" w:before="0" w:line="312"/>
      </w:pPr>
      <w:r>
        <w:rPr>
          <w:rFonts w:ascii="Arial" w:cs="Arial" w:eastAsia="Arial" w:hAnsi="Arial"/>
          <w:b w:val="false"/>
          <w:bCs w:val="false"/>
          <w:sz w:val="21"/>
          <w:szCs w:val="21"/>
          <w:rtl/>
        </w:rPr>
        <w:t xml:space="preserve">فكل ما في التقييم يُقرأ من سؤال واحد: </w:t>
      </w:r>
      <w:r>
        <w:rPr>
          <w:rFonts w:ascii="Arial" w:cs="Arial" w:eastAsia="Arial" w:hAnsi="Arial"/>
          <w:b/>
          <w:bCs/>
          <w:sz w:val="21"/>
          <w:szCs w:val="21"/>
          <w:rtl/>
        </w:rPr>
        <w:t xml:space="preserve">ماذا تفعل الشركة الآن لتكون أقوى حين تقف أمام البنك؟</w:t>
      </w:r>
      <w:r>
        <w:rPr>
          <w:rFonts w:ascii="Arial" w:cs="Arial" w:eastAsia="Arial" w:hAnsi="Arial"/>
          <w:b w:val="false"/>
          <w:bCs w:val="false"/>
          <w:sz w:val="21"/>
          <w:szCs w:val="21"/>
          <w:rtl/>
        </w:rPr>
        <w:t xml:space="preserve"> لا من سؤال: ماذا يقرر البنك؟</w:t>
      </w:r>
    </w:p>
    <w:p>
      <w:pPr>
        <w:pStyle w:val="Heading1"/>
        <w:bidi/>
      </w:pPr>
      <w:bookmarkStart w:name="_sec2" w:id="2"/>
      <w:r>
        <w:rPr>
          <w:rFonts w:ascii="Arial" w:cs="Arial" w:eastAsia="Arial" w:hAnsi="Arial"/>
          <w:b/>
          <w:bCs/>
          <w:color w:val="1F3A5F"/>
          <w:sz w:val="32"/>
          <w:szCs w:val="32"/>
          <w:rtl/>
        </w:rPr>
        <w:t xml:space="preserve">2. ما يخدم هذا المنظور فعلًا في النظام الآن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72"/>
        <w:gridCol w:w="5392"/>
      </w:tblGrid>
      <w:tr>
        <w:trPr>
          <w:cantSplit/>
          <w:tblHeader/>
        </w:trPr>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يخدم الشركة</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التحليلية وإعادة التبويب (§5)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كيف تُقرأ بنودها: الإيجار دين، والحسابات الجارية للشركاء دين ما لم تُسند، والنقد المقيد ليس نقدًا. ولكل نقل سطر مطابقة بسببه</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(§8)</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بند خطره وأثره على النقد والملاءة ووزنه، والحل الذي يستدعيه</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وخطط التقوية (§15)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ضعف حل بدرجته التقديرية، وخطط جاهزة تطبق الحلول بالتتابع، وتبقى الميزانية متوازنة بعد كل خطوة. ويفرّق النظام بين </w:t>
            </w:r>
            <w:r>
              <w:rPr>
                <w:rFonts w:ascii="Arial" w:cs="Arial" w:eastAsia="Arial" w:hAnsi="Arial"/>
                <w:b/>
                <w:bCs/>
                <w:sz w:val="18"/>
                <w:szCs w:val="18"/>
                <w:rtl/>
              </w:rPr>
              <w:t xml:space="preserve">إجراء فعلي</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عرض يتبع الجوهر</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والصمود (§14)</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أي أزمة تهدد قطاعها في بلدها ومدينتها أكثر من غيرها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 والبلد والمنتجات (§7، §13)</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المؤثرات الخارجية: مخاطر النشاط والبلد والمدينة، وجودة تدفقات المنتجات وسيولة المخزون</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والتعهدات (§10، §11)</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ترتبط قوة الشركة بتسهيلاتها المسجلة في المنصة: السيولة، وتغطية الضمانات، والتعهدات وخروقها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والمحفزات (§16)</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ينقل الدرجة درجة إلى أعلى أو أسفل، وبأي قيمة لكل مقياس</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المطلوبة (§17)</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إفصاح ناقص يضعف الدرجة، وهو ما سيطلبه البنك</w:t>
            </w:r>
          </w:p>
        </w:tc>
      </w:tr>
    </w:tbl>
    <w:p>
      <w:pPr>
        <w:bidi/>
        <w:spacing w:after="120" w:before="0"/>
      </w:pPr>
    </w:p>
    <w:p>
      <w:pPr>
        <w:bidi/>
        <w:spacing w:after="110" w:before="0" w:line="312"/>
      </w:pPr>
      <w:r>
        <w:rPr>
          <w:rFonts w:ascii="Arial" w:cs="Arial" w:eastAsia="Arial" w:hAnsi="Arial"/>
          <w:b w:val="false"/>
          <w:bCs w:val="false"/>
          <w:sz w:val="21"/>
          <w:szCs w:val="21"/>
          <w:rtl/>
        </w:rPr>
        <w:t xml:space="preserve">فالأساس صحيح، ويُبنى عليه. لكن فيه </w:t>
      </w:r>
      <w:r>
        <w:rPr>
          <w:rFonts w:ascii="Arial" w:cs="Arial" w:eastAsia="Arial" w:hAnsi="Arial"/>
          <w:b/>
          <w:bCs/>
          <w:sz w:val="21"/>
          <w:szCs w:val="21"/>
          <w:rtl/>
        </w:rPr>
        <w:t xml:space="preserve">لغة كُتبت من منظور البنك</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فجوات</w:t>
      </w:r>
      <w:r>
        <w:rPr>
          <w:rFonts w:ascii="Arial" w:cs="Arial" w:eastAsia="Arial" w:hAnsi="Arial"/>
          <w:b w:val="false"/>
          <w:bCs w:val="false"/>
          <w:sz w:val="21"/>
          <w:szCs w:val="21"/>
          <w:rtl/>
        </w:rPr>
        <w:t xml:space="preserve"> تمنع الاستعمال الاستباقي.</w:t>
      </w:r>
    </w:p>
    <w:p>
      <w:pPr>
        <w:pStyle w:val="Heading1"/>
        <w:bidi/>
      </w:pPr>
      <w:bookmarkStart w:name="_sec3" w:id="3"/>
      <w:r>
        <w:rPr>
          <w:rFonts w:ascii="Arial" w:cs="Arial" w:eastAsia="Arial" w:hAnsi="Arial"/>
          <w:b/>
          <w:bCs/>
          <w:color w:val="1F3A5F"/>
          <w:sz w:val="32"/>
          <w:szCs w:val="32"/>
          <w:rtl/>
        </w:rPr>
        <w:t xml:space="preserve">3. ما كُتب من منظور البنك ويُصحَّح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8"/>
        <w:gridCol w:w="2270"/>
        <w:gridCol w:w="4756"/>
      </w:tblGrid>
      <w:tr>
        <w:trPr>
          <w:cantSplit/>
          <w:tblHeader/>
        </w:trPr>
        <w:tc>
          <w:tcPr>
            <w:tcW w:type="dxa" w:w="2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كُتب</w:t>
            </w:r>
          </w:p>
        </w:tc>
        <w:tc>
          <w:tcPr>
            <w:tcW w:type="dxa" w:w="4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التصحيح</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32 و§14 «موقف البنك»</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يقدّر النظام ما سيفعله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تتوقعه الشركة من جهات تمويلها في الأزمة»</w:t>
            </w:r>
            <w:r>
              <w:rPr>
                <w:rFonts w:ascii="Arial" w:cs="Arial" w:eastAsia="Arial" w:hAnsi="Arial"/>
                <w:b w:val="false"/>
                <w:bCs w:val="false"/>
                <w:sz w:val="18"/>
                <w:szCs w:val="18"/>
                <w:rtl/>
              </w:rPr>
              <w:t xml:space="preserve">: كم من حدودها قد يتوقف، وكم قد ترتفع كلفة تمويلها، لتبني احتياطها قبل وقوعه. المعادلة نفسها، والغرض تخطيط السيولة لا محاكاة قرار البنك</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33 «قرار البنك الفعلي»</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يحل محل التقدير</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أبلغت به جهة التمويل الشركة»</w:t>
            </w:r>
            <w:r>
              <w:rPr>
                <w:rFonts w:ascii="Arial" w:cs="Arial" w:eastAsia="Arial" w:hAnsi="Arial"/>
                <w:b w:val="false"/>
                <w:bCs w:val="false"/>
                <w:sz w:val="18"/>
                <w:szCs w:val="18"/>
                <w:rtl/>
              </w:rPr>
              <w:t xml:space="preserve">: إشعار تخفيض أو إيقاف أو إعادة تسعير وصل إلى الشركة، تسجله إدارة الخزينة بمستنده، فيقرأه التقييم حقيقة بدل التوقع</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(§11)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كأنها درجة يمنحها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w:t>
            </w:r>
            <w:r>
              <w:rPr>
                <w:rFonts w:ascii="Arial" w:cs="Arial" w:eastAsia="Arial" w:hAnsi="Arial"/>
                <w:b/>
                <w:bCs/>
                <w:sz w:val="18"/>
                <w:szCs w:val="18"/>
                <w:rtl/>
              </w:rPr>
              <w:t xml:space="preserve">«قوة الضمانات أمام جهة التمويل»</w:t>
            </w:r>
            <w:r>
              <w:rPr>
                <w:rFonts w:ascii="Arial" w:cs="Arial" w:eastAsia="Arial" w:hAnsi="Arial"/>
                <w:b w:val="false"/>
                <w:bCs w:val="false"/>
                <w:sz w:val="18"/>
                <w:szCs w:val="18"/>
                <w:rtl/>
              </w:rPr>
              <w:t xml:space="preserve">: ما تغطيه ضمانات الشركة من تسهيلاتها، وما الذي يحسّنه</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(16 موضعًا)</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ائتمان</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معدّ التقييم في الشركة</w:t>
            </w:r>
            <w:r>
              <w:rPr>
                <w:rFonts w:ascii="Arial" w:cs="Arial" w:eastAsia="Arial" w:hAnsi="Arial"/>
                <w:b w:val="false"/>
                <w:bCs w:val="false"/>
                <w:sz w:val="18"/>
                <w:szCs w:val="18"/>
                <w:rtl/>
              </w:rPr>
              <w:t xml:space="preserve"> (إدارة الخزينة)؛ ويبقى «محلل جهة التمويل» حيث المقصود قراءة البنك</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(§20)</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«قرار ائتماني»</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w:t>
            </w:r>
            <w:r>
              <w:rPr>
                <w:rFonts w:ascii="Arial" w:cs="Arial" w:eastAsia="Arial" w:hAnsi="Arial"/>
                <w:b/>
                <w:bCs/>
                <w:sz w:val="18"/>
                <w:szCs w:val="18"/>
                <w:rtl/>
              </w:rPr>
              <w:t xml:space="preserve">اعتماد خطة الشركة أو تقديم قوائمها</w:t>
            </w:r>
            <w:r>
              <w:rPr>
                <w:rFonts w:ascii="Arial" w:cs="Arial" w:eastAsia="Arial" w:hAnsi="Arial"/>
                <w:b w:val="false"/>
                <w:bCs w:val="false"/>
                <w:sz w:val="18"/>
                <w:szCs w:val="18"/>
                <w:rtl/>
              </w:rPr>
              <w:t xml:space="preserve">، وتقارن إدارة الخزينة درجات النظام بما تبلغها به البنوك وبتقارير سمة</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التقرير (§18)</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كأنها حكم</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يبدأ التقرير بـ**«ما سيراه البنك، وما تفعله الشركة قبله»**: الدرجة المتوقعة، وأهم ثلاث نقاط ضعف، والإجراءات بترتيب أثرها وموعدها</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الفجوات من المنظور الداخلي</w:t>
      </w:r>
      <w:bookmarkEnd w:id="4"/>
    </w:p>
    <w:p>
      <w:pPr>
        <w:pStyle w:val="Heading2"/>
        <w:bidi/>
      </w:pPr>
      <w:bookmarkStart w:name="_sec5" w:id="5"/>
      <w:r>
        <w:rPr>
          <w:rFonts w:ascii="Arial" w:cs="Arial" w:eastAsia="Arial" w:hAnsi="Arial"/>
          <w:b/>
          <w:bCs/>
          <w:color w:val="2B5C8A"/>
          <w:sz w:val="26"/>
          <w:szCs w:val="26"/>
          <w:rtl/>
        </w:rPr>
        <w:t xml:space="preserve">ف1. التقييم قبل الاعتماد النهائي للقوائم</w:t>
      </w:r>
      <w:bookmarkEnd w:id="5"/>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لا يقيّم النظام إلا قائمة </w:t>
      </w:r>
      <w:r>
        <w:rPr>
          <w:rFonts w:ascii="Arial" w:cs="Arial" w:eastAsia="Arial" w:hAnsi="Arial"/>
          <w:b/>
          <w:bCs/>
          <w:sz w:val="21"/>
          <w:szCs w:val="21"/>
          <w:rtl/>
        </w:rPr>
        <w:t xml:space="preserve">معتمدة</w:t>
      </w:r>
      <w:r>
        <w:rPr>
          <w:rFonts w:ascii="Arial" w:cs="Arial" w:eastAsia="Arial" w:hAnsi="Arial"/>
          <w:b w:val="false"/>
          <w:bCs w:val="false"/>
          <w:sz w:val="21"/>
          <w:szCs w:val="21"/>
          <w:rtl/>
        </w:rPr>
        <w:t xml:space="preserve"> (الحارس 50064). وهذا يناقض الغرض: تريد الشركة دراسة قوائمها وهي مسودة، قبل أن يعتمدها المراجع أو الإدارة.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تقييم تجريبي</w:t>
      </w:r>
      <w:r>
        <w:rPr>
          <w:rFonts w:ascii="Arial" w:cs="Arial" w:eastAsia="Arial" w:hAnsi="Arial"/>
          <w:b w:val="false"/>
          <w:bCs w:val="false"/>
          <w:sz w:val="21"/>
          <w:szCs w:val="21"/>
          <w:rtl/>
        </w:rPr>
        <w:t xml:space="preserve"> على قائمة مسودة أو مقدّمة، مدققة أو 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يُحسب ويُعاد حسابه كلما تغيّرت المسودة، ويحمل علامة «تقييم تجريبي على قائمة غير معتمدة».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يُعتمد ولا يُقدَّم خارج الشركة، ولا يدخل في دعم المجموعة ولا في النظرة المقارنة.</w:t>
      </w:r>
    </w:p>
    <w:p>
      <w:pPr>
        <w:pStyle w:val="ListParagraph"/>
        <w:numPr>
          <w:ilvl w:val="0"/>
          <w:numId w:val="3"/>
        </w:numPr>
        <w:bidi/>
        <w:spacing w:after="70" w:before="0" w:line="300"/>
      </w:pPr>
      <w:r>
        <w:rPr>
          <w:rFonts w:ascii="Arial" w:cs="Arial" w:eastAsia="Arial" w:hAnsi="Arial"/>
          <w:b w:val="false"/>
          <w:bCs w:val="false"/>
          <w:sz w:val="21"/>
          <w:szCs w:val="21"/>
          <w:rtl/>
        </w:rPr>
        <w:t xml:space="preserve">حين تُعتمد القائمة يُحسب التقييم الرسمي عليها كما هو الآن.</w:t>
      </w:r>
    </w:p>
    <w:p>
      <w:pPr>
        <w:bidi/>
        <w:spacing w:after="60" w:before="0"/>
      </w:pPr>
    </w:p>
    <w:p>
      <w:pPr>
        <w:pStyle w:val="Heading2"/>
        <w:bidi/>
      </w:pPr>
      <w:bookmarkStart w:name="_sec6" w:id="6"/>
      <w:r>
        <w:rPr>
          <w:rFonts w:ascii="Arial" w:cs="Arial" w:eastAsia="Arial" w:hAnsi="Arial"/>
          <w:b/>
          <w:bCs/>
          <w:color w:val="2B5C8A"/>
          <w:sz w:val="26"/>
          <w:szCs w:val="26"/>
          <w:rtl/>
        </w:rPr>
        <w:t xml:space="preserve">ف2. نسخ عرض بديلة للقوائم ومقارنتها</w:t>
      </w:r>
      <w:bookmarkEnd w:id="6"/>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يحسب النظام القائمة التقديرية لكل حل ولكل خطوة من خطط التقوية، ويحفظ الدرجة بعدها. لكنه لا يحفظ القائمة البديلة نفسها، ولا يحوّلها إلى قائمة يمكن تقديمها.</w:t>
      </w:r>
    </w:p>
    <w:p>
      <w:pPr>
        <w:bidi/>
        <w:spacing w:after="110" w:before="0" w:line="312"/>
      </w:pPr>
      <w:r>
        <w:rPr>
          <w:rFonts w:ascii="Arial" w:cs="Arial" w:eastAsia="Arial" w:hAnsi="Arial"/>
          <w:b/>
          <w:bCs/>
          <w:sz w:val="21"/>
          <w:szCs w:val="21"/>
          <w:rtl/>
        </w:rPr>
        <w:t xml:space="preserve">المقترح:</w:t>
      </w:r>
    </w:p>
    <w:p>
      <w:pPr>
        <w:pStyle w:val="ListParagraph"/>
        <w:numPr>
          <w:ilvl w:val="0"/>
          <w:numId w:val="3"/>
        </w:numPr>
        <w:bidi/>
        <w:spacing w:after="70" w:before="0" w:line="300"/>
      </w:pPr>
      <w:r>
        <w:rPr>
          <w:rFonts w:ascii="Arial" w:cs="Arial" w:eastAsia="Arial" w:hAnsi="Arial"/>
          <w:b/>
          <w:bCs/>
          <w:sz w:val="21"/>
          <w:szCs w:val="21"/>
          <w:rtl/>
        </w:rPr>
        <w:t xml:space="preserve">نسخة عرض</w:t>
      </w:r>
      <w:r>
        <w:rPr>
          <w:rFonts w:ascii="Arial" w:cs="Arial" w:eastAsia="Arial" w:hAnsi="Arial"/>
          <w:b w:val="false"/>
          <w:bCs w:val="false"/>
          <w:sz w:val="21"/>
          <w:szCs w:val="21"/>
          <w:rtl/>
        </w:rPr>
        <w:t xml:space="preserve"> تُبنى من مسودة القائمة: تختار الشركة إعادة التبويب والحلول التي تريدها، فيكتب النظام القائمة البديلة كاملة متوازنة، بندًا بندًا، مع سطر مطابقة لكل نقل وسببه ومستنده.</w:t>
      </w:r>
    </w:p>
    <w:p>
      <w:pPr>
        <w:pStyle w:val="ListParagraph"/>
        <w:numPr>
          <w:ilvl w:val="0"/>
          <w:numId w:val="3"/>
        </w:numPr>
        <w:bidi/>
        <w:spacing w:after="70" w:before="0" w:line="300"/>
      </w:pPr>
      <w:r>
        <w:rPr>
          <w:rFonts w:ascii="Arial" w:cs="Arial" w:eastAsia="Arial" w:hAnsi="Arial"/>
          <w:b/>
          <w:bCs/>
          <w:sz w:val="21"/>
          <w:szCs w:val="21"/>
          <w:rtl/>
        </w:rPr>
        <w:t xml:space="preserve">مقارنة جنبًا إلى جنب</w:t>
      </w:r>
      <w:r>
        <w:rPr>
          <w:rFonts w:ascii="Arial" w:cs="Arial" w:eastAsia="Arial" w:hAnsi="Arial"/>
          <w:b w:val="false"/>
          <w:bCs w:val="false"/>
          <w:sz w:val="21"/>
          <w:szCs w:val="21"/>
          <w:rtl/>
        </w:rPr>
        <w:t xml:space="preserve">: الأصل والنسخة الأولى والثانية، بالدرجة والسيولة والتعهدات والسيناريوهات لكل منها، وما الذي تغيّر في كل بند.</w:t>
      </w:r>
    </w:p>
    <w:p>
      <w:pPr>
        <w:pStyle w:val="ListParagraph"/>
        <w:numPr>
          <w:ilvl w:val="0"/>
          <w:numId w:val="3"/>
        </w:numPr>
        <w:bidi/>
        <w:spacing w:after="70" w:before="0" w:line="300"/>
      </w:pPr>
      <w:r>
        <w:rPr>
          <w:rFonts w:ascii="Arial" w:cs="Arial" w:eastAsia="Arial" w:hAnsi="Arial"/>
          <w:b/>
          <w:bCs/>
          <w:sz w:val="21"/>
          <w:szCs w:val="21"/>
          <w:rtl/>
        </w:rPr>
        <w:t xml:space="preserve">تحويل النسخة المختارة إلى قائمة مسودة جديدة</w:t>
      </w:r>
      <w:r>
        <w:rPr>
          <w:rFonts w:ascii="Arial" w:cs="Arial" w:eastAsia="Arial" w:hAnsi="Arial"/>
          <w:b w:val="false"/>
          <w:bCs w:val="false"/>
          <w:sz w:val="21"/>
          <w:szCs w:val="21"/>
          <w:rtl/>
        </w:rPr>
        <w:t xml:space="preserve"> (إصدار بسبب «إعادة هيكلة») مرتبطة بالتقييم الذي أنتجها، تُرسل إلى المراجع أو تُعتمد داخليًا.</w:t>
      </w:r>
    </w:p>
    <w:p>
      <w:pPr>
        <w:bidi/>
        <w:spacing w:after="60" w:before="0"/>
      </w:pPr>
    </w:p>
    <w:p>
      <w:pPr>
        <w:bidi/>
        <w:spacing w:after="110" w:before="0" w:line="312"/>
      </w:pPr>
      <w:r>
        <w:rPr>
          <w:rFonts w:ascii="Arial" w:cs="Arial" w:eastAsia="Arial" w:hAnsi="Arial"/>
          <w:b/>
          <w:bCs/>
          <w:sz w:val="21"/>
          <w:szCs w:val="21"/>
          <w:rtl/>
        </w:rPr>
        <w:t xml:space="preserve">الحارس، وهو شرط لا يُتنازل عنه:</w:t>
      </w:r>
    </w:p>
    <w:p>
      <w:pPr>
        <w:pStyle w:val="ListParagraph"/>
        <w:numPr>
          <w:ilvl w:val="0"/>
          <w:numId w:val="3"/>
        </w:numPr>
        <w:bidi/>
        <w:spacing w:after="70" w:before="0" w:line="300"/>
      </w:pPr>
      <w:r>
        <w:rPr>
          <w:rFonts w:ascii="Arial" w:cs="Arial" w:eastAsia="Arial" w:hAnsi="Arial"/>
          <w:b/>
          <w:bCs/>
          <w:sz w:val="21"/>
          <w:szCs w:val="21"/>
          <w:rtl/>
        </w:rPr>
        <w:t xml:space="preserve">التبويب</w:t>
      </w:r>
      <w:r>
        <w:rPr>
          <w:rFonts w:ascii="Arial" w:cs="Arial" w:eastAsia="Arial" w:hAnsi="Arial"/>
          <w:b w:val="false"/>
          <w:bCs w:val="false"/>
          <w:sz w:val="21"/>
          <w:szCs w:val="21"/>
          <w:rtl/>
        </w:rPr>
        <w:t xml:space="preserve"> لا يتغير إلا بما تجيزه المعايير المحاسبية: تصنيف متداول وغير متداول بحسب الأجل، وإسناد قرض شريك بعقد، وغير ذلك. ولكل نقل أساس مكتوب ومستند.</w:t>
      </w:r>
    </w:p>
    <w:p>
      <w:pPr>
        <w:pStyle w:val="ListParagraph"/>
        <w:numPr>
          <w:ilvl w:val="0"/>
          <w:numId w:val="3"/>
        </w:numPr>
        <w:bidi/>
        <w:spacing w:after="70" w:before="0" w:line="300"/>
      </w:pPr>
      <w:r>
        <w:rPr>
          <w:rFonts w:ascii="Arial" w:cs="Arial" w:eastAsia="Arial" w:hAnsi="Arial"/>
          <w:b/>
          <w:bCs/>
          <w:sz w:val="21"/>
          <w:szCs w:val="21"/>
          <w:rtl/>
        </w:rPr>
        <w:t xml:space="preserve">الجوهر</w:t>
      </w:r>
      <w:r>
        <w:rPr>
          <w:rFonts w:ascii="Arial" w:cs="Arial" w:eastAsia="Arial" w:hAnsi="Arial"/>
          <w:b w:val="false"/>
          <w:bCs w:val="false"/>
          <w:sz w:val="21"/>
          <w:szCs w:val="21"/>
          <w:rtl/>
        </w:rPr>
        <w:t xml:space="preserve"> لا يتغير إلا بإجراء فعلي موثق: زيادة رأس مال، أو تحويل دين، أو جدولة بموافقة الدائن.</w:t>
      </w:r>
    </w:p>
    <w:p>
      <w:pPr>
        <w:pStyle w:val="ListParagraph"/>
        <w:numPr>
          <w:ilvl w:val="0"/>
          <w:numId w:val="3"/>
        </w:numPr>
        <w:bidi/>
        <w:spacing w:after="70" w:before="0" w:line="300"/>
      </w:pPr>
      <w:r>
        <w:rPr>
          <w:rFonts w:ascii="Arial" w:cs="Arial" w:eastAsia="Arial" w:hAnsi="Arial"/>
          <w:b/>
          <w:bCs/>
          <w:sz w:val="21"/>
          <w:szCs w:val="21"/>
          <w:rtl/>
        </w:rPr>
        <w:t xml:space="preserve">ما لا يتبع الجوهر يُرفض</w:t>
      </w:r>
      <w:r>
        <w:rPr>
          <w:rFonts w:ascii="Arial" w:cs="Arial" w:eastAsia="Arial" w:hAnsi="Arial"/>
          <w:b w:val="false"/>
          <w:bCs w:val="false"/>
          <w:sz w:val="21"/>
          <w:szCs w:val="21"/>
          <w:rtl/>
        </w:rPr>
        <w:t xml:space="preserve">، ويُعلَّم في التقرير بأنه تجميل لا يقوّي الموقف، لأن البنك سيعيد التبويب التحليلي نفسه فيكشفه.</w:t>
      </w:r>
    </w:p>
    <w:p>
      <w:pPr>
        <w:pStyle w:val="ListParagraph"/>
        <w:numPr>
          <w:ilvl w:val="0"/>
          <w:numId w:val="3"/>
        </w:numPr>
        <w:bidi/>
        <w:spacing w:after="70" w:before="0" w:line="300"/>
      </w:pPr>
      <w:r>
        <w:rPr>
          <w:rFonts w:ascii="Arial" w:cs="Arial" w:eastAsia="Arial" w:hAnsi="Arial"/>
          <w:b/>
          <w:bCs/>
          <w:sz w:val="21"/>
          <w:szCs w:val="21"/>
          <w:rtl/>
        </w:rPr>
        <w:t xml:space="preserve">النسخة النهائية المدققة</w:t>
      </w:r>
      <w:r>
        <w:rPr>
          <w:rFonts w:ascii="Arial" w:cs="Arial" w:eastAsia="Arial" w:hAnsi="Arial"/>
          <w:b w:val="false"/>
          <w:bCs w:val="false"/>
          <w:sz w:val="21"/>
          <w:szCs w:val="21"/>
          <w:rtl/>
        </w:rPr>
        <w:t xml:space="preserve"> يعتمدها المراجع الخارجي، ولا يغني النظام عنه.</w:t>
      </w:r>
    </w:p>
    <w:p>
      <w:pPr>
        <w:bidi/>
        <w:spacing w:after="60" w:before="0"/>
      </w:pPr>
    </w:p>
    <w:p>
      <w:pPr>
        <w:pStyle w:val="Heading2"/>
        <w:bidi/>
      </w:pPr>
      <w:bookmarkStart w:name="_sec7" w:id="7"/>
      <w:r>
        <w:rPr>
          <w:rFonts w:ascii="Arial" w:cs="Arial" w:eastAsia="Arial" w:hAnsi="Arial"/>
          <w:b/>
          <w:bCs/>
          <w:color w:val="2B5C8A"/>
          <w:sz w:val="26"/>
          <w:szCs w:val="26"/>
          <w:rtl/>
        </w:rPr>
        <w:t xml:space="preserve">ف3. ملف الجاهزية قبل جهة التمويل</w:t>
      </w:r>
      <w:bookmarkEnd w:id="7"/>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يسرد التقرير البيانات الناقصة ونقاط الضعف، لكنه لا يربطها بموعد.</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لكل تسهيل يقترب تجديده أو اختبار تعهداته: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الدرجة المتوقعة إن بقي الحال، وبعد الخطة المختارة.</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سيطلبه البنك على الأغلب: الإفصاحات الناقصة، وتقرير سمة، وأعمار الذمم، وبيان الضمانات.</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ستراه جهة التمويل في القائمة التحليلية ويحتاج شرحًا.</w:t>
      </w:r>
    </w:p>
    <w:p>
      <w:pPr>
        <w:pStyle w:val="ListParagraph"/>
        <w:numPr>
          <w:ilvl w:val="0"/>
          <w:numId w:val="3"/>
        </w:numPr>
        <w:bidi/>
        <w:spacing w:after="70" w:before="0" w:line="300"/>
      </w:pPr>
      <w:r>
        <w:rPr>
          <w:rFonts w:ascii="Arial" w:cs="Arial" w:eastAsia="Arial" w:hAnsi="Arial"/>
          <w:b/>
          <w:bCs/>
          <w:sz w:val="21"/>
          <w:szCs w:val="21"/>
          <w:rtl/>
        </w:rPr>
        <w:t xml:space="preserve">جدول زمني للإجراءات</w:t>
      </w:r>
      <w:r>
        <w:rPr>
          <w:rFonts w:ascii="Arial" w:cs="Arial" w:eastAsia="Arial" w:hAnsi="Arial"/>
          <w:b w:val="false"/>
          <w:bCs w:val="false"/>
          <w:sz w:val="21"/>
          <w:szCs w:val="21"/>
          <w:rtl/>
        </w:rPr>
        <w:t xml:space="preserve"> قبل الموعد، بترتيب أثرها: ما يُنفذ قبل إقفال السنة، وما قبل التدقيق، وما قبل التقديم.</w:t>
      </w:r>
    </w:p>
    <w:p>
      <w:pPr>
        <w:bidi/>
        <w:spacing w:after="60" w:before="0"/>
      </w:pPr>
    </w:p>
    <w:p>
      <w:pPr>
        <w:pStyle w:val="Heading2"/>
        <w:bidi/>
      </w:pPr>
      <w:bookmarkStart w:name="_sec8" w:id="8"/>
      <w:r>
        <w:rPr>
          <w:rFonts w:ascii="Arial" w:cs="Arial" w:eastAsia="Arial" w:hAnsi="Arial"/>
          <w:b/>
          <w:bCs/>
          <w:color w:val="2B5C8A"/>
          <w:sz w:val="26"/>
          <w:szCs w:val="26"/>
          <w:rtl/>
        </w:rPr>
        <w:t xml:space="preserve">ف4. الإنذار المبكر الاستباقي</w:t>
      </w:r>
      <w:bookmarkEnd w:id="8"/>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النظرة والمحفزات موجودة، والتعهدات تُختبر على القائمة المعتمدة.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تنبيه قبل كل موعد بمدة تحددها الشركة (6 أشهر افتراضًا): إن كان هامش التعهد أو الدرجة المتوقعة يقترب من الحد على المسودة أو على الموازنة، ومعه الحل الأقرب أثرًا.</w:t>
      </w:r>
    </w:p>
    <w:p>
      <w:pPr>
        <w:pStyle w:val="Heading2"/>
        <w:bidi/>
      </w:pPr>
      <w:bookmarkStart w:name="_sec9" w:id="9"/>
      <w:r>
        <w:rPr>
          <w:rFonts w:ascii="Arial" w:cs="Arial" w:eastAsia="Arial" w:hAnsi="Arial"/>
          <w:b/>
          <w:bCs/>
          <w:color w:val="2B5C8A"/>
          <w:sz w:val="26"/>
          <w:szCs w:val="26"/>
          <w:rtl/>
        </w:rPr>
        <w:t xml:space="preserve">ف5. تقييم القوائم التقديرية (الموازنة)</w:t>
      </w:r>
      <w:bookmarkEnd w:id="9"/>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يقيّم النظام سنة مضت.</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تُدخل الشركة قوائم السنة القادمة المقدّرة (الموازنة أو خطة التوسع أو التمويل الجديد)، فيقيّمها النظام قبل تنفيذها: هل يضعف التوسع المموَّل بالدين الدرجة، وهل يخرق تعهدًا، وما البديل الأقوى، كزيادة رأس المال أو تمويل أطول. فتتغير الخطة قبل أن تتغير القوائم.</w:t>
      </w:r>
    </w:p>
    <w:p>
      <w:pPr>
        <w:pStyle w:val="Heading2"/>
        <w:bidi/>
      </w:pPr>
      <w:bookmarkStart w:name="_sec10" w:id="10"/>
      <w:r>
        <w:rPr>
          <w:rFonts w:ascii="Arial" w:cs="Arial" w:eastAsia="Arial" w:hAnsi="Arial"/>
          <w:b/>
          <w:bCs/>
          <w:color w:val="2B5C8A"/>
          <w:sz w:val="26"/>
          <w:szCs w:val="26"/>
          <w:rtl/>
        </w:rPr>
        <w:t xml:space="preserve">ف6. ما تبلغ به جهة التمويل الشركة</w:t>
      </w:r>
      <w:bookmarkEnd w:id="10"/>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القرار 33 يسجل قرار البنك على التسهيل.</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يبقى الجدول كما بُني، ويُقرأ من منظور الشركة: إشعار وصلها بمستنده. ويُضاف إليه </w:t>
      </w:r>
      <w:r>
        <w:rPr>
          <w:rFonts w:ascii="Arial" w:cs="Arial" w:eastAsia="Arial" w:hAnsi="Arial"/>
          <w:b/>
          <w:bCs/>
          <w:sz w:val="21"/>
          <w:szCs w:val="21"/>
          <w:rtl/>
        </w:rPr>
        <w:t xml:space="preserve">التصنيف الذي أبلغها به البنك إن أبلغها</w:t>
      </w:r>
      <w:r>
        <w:rPr>
          <w:rFonts w:ascii="Arial" w:cs="Arial" w:eastAsia="Arial" w:hAnsi="Arial"/>
          <w:b w:val="false"/>
          <w:bCs w:val="false"/>
          <w:sz w:val="21"/>
          <w:szCs w:val="21"/>
          <w:rtl/>
        </w:rPr>
        <w:t xml:space="preserve">، فيقارن النظام درجته بدرجة البنك، ويبيّن موضع الفرق: بند أُعيد تبويبه، أو ضمان، أو قطاع.</w:t>
      </w:r>
    </w:p>
    <w:p>
      <w:pPr>
        <w:pStyle w:val="Heading1"/>
        <w:bidi/>
      </w:pPr>
      <w:bookmarkStart w:name="_sec11" w:id="11"/>
      <w:r>
        <w:rPr>
          <w:rFonts w:ascii="Arial" w:cs="Arial" w:eastAsia="Arial" w:hAnsi="Arial"/>
          <w:b/>
          <w:bCs/>
          <w:color w:val="1F3A5F"/>
          <w:sz w:val="32"/>
          <w:szCs w:val="32"/>
          <w:rtl/>
        </w:rPr>
        <w:t xml:space="preserve">5. ما لن يفعله النظام</w:t>
      </w:r>
      <w:bookmarkEnd w:id="11"/>
    </w:p>
    <w:p>
      <w:pPr>
        <w:pStyle w:val="ListParagraph"/>
        <w:numPr>
          <w:ilvl w:val="0"/>
          <w:numId w:val="3"/>
        </w:numPr>
        <w:bidi/>
        <w:spacing w:after="70" w:before="0" w:line="300"/>
      </w:pPr>
      <w:r>
        <w:rPr>
          <w:rFonts w:ascii="Arial" w:cs="Arial" w:eastAsia="Arial" w:hAnsi="Arial"/>
          <w:b w:val="false"/>
          <w:bCs w:val="false"/>
          <w:sz w:val="21"/>
          <w:szCs w:val="21"/>
          <w:rtl/>
        </w:rPr>
        <w:t xml:space="preserve">لا يجمّل القوائم لإخفاء خطر، ولا يقترح نقلًا لا أساس له في المعايير. والتقرير يقول للشركة صراحة إن جهة التمويل ستعيد التبويب التحليلي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يحل محل المراجع الخارجي ولا محل نظام البنك. ودرجاته معايرة النظام الخاصة، لا تصنيف صادر عن وكالة.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يرسل شيئًا إلى البنك. ما يخرج من الشركة تقرره الشركة.</w:t>
      </w:r>
    </w:p>
    <w:p>
      <w:pPr>
        <w:bidi/>
        <w:spacing w:after="60" w:before="0"/>
      </w:pPr>
    </w:p>
    <w:p>
      <w:pPr>
        <w:pStyle w:val="Heading1"/>
        <w:bidi/>
      </w:pPr>
      <w:bookmarkStart w:name="_sec12" w:id="12"/>
      <w:r>
        <w:rPr>
          <w:rFonts w:ascii="Arial" w:cs="Arial" w:eastAsia="Arial" w:hAnsi="Arial"/>
          <w:b/>
          <w:bCs/>
          <w:color w:val="1F3A5F"/>
          <w:sz w:val="32"/>
          <w:szCs w:val="32"/>
          <w:rtl/>
        </w:rPr>
        <w:t xml:space="preserve">6. خطة التنفيذ المقترحة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3"/>
        <w:gridCol w:w="4579"/>
        <w:gridCol w:w="2202"/>
      </w:tblGrid>
      <w:tr>
        <w:trPr>
          <w:cantSplit/>
          <w:tblHeader/>
        </w:trPr>
        <w:tc>
          <w:tcPr>
            <w:tcW w:type="dxa" w:w="3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يعتمد على</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اللغة في المنهجية والقرارين 32 و33 والتقرير (§3)، دون تغيير في الحساب</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على القوائم غير المعتمدة (ف1)</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ومقارنتها، وتحويل المختارة إلى قائمة مسودة جديدة، مع الحارس (ف2)</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والجدول الزمني قبل التجديد والتعهدات، والإنذار المبكر (ف3، ف4)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(ف5)</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أبلغ به البنك ومقارنته (ف6)</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ولكل مرحلة جداولها واختباراتها، ولا تتغير الدرجات المحسوبة الآن إلا حيث تغيّر الإدخال.</w:t>
      </w:r>
    </w:p>
    <w:p>
      <w:pPr>
        <w:pStyle w:val="Heading1"/>
        <w:bidi/>
      </w:pPr>
      <w:bookmarkStart w:name="_sec13" w:id="13"/>
      <w:r>
        <w:rPr>
          <w:rFonts w:ascii="Arial" w:cs="Arial" w:eastAsia="Arial" w:hAnsi="Arial"/>
          <w:b/>
          <w:bCs/>
          <w:color w:val="1F3A5F"/>
          <w:sz w:val="32"/>
          <w:szCs w:val="32"/>
          <w:rtl/>
        </w:rPr>
        <w:t xml:space="preserve">7. قرارات المالك (2026-10-20، القرار 34)</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العرض المختارة</w:t>
      </w:r>
      <w:r>
        <w:rPr>
          <w:rFonts w:ascii="Arial" w:cs="Arial" w:eastAsia="Arial" w:hAnsi="Arial"/>
          <w:b w:val="false"/>
          <w:bCs w:val="false"/>
          <w:sz w:val="21"/>
          <w:szCs w:val="21"/>
          <w:rtl/>
        </w:rPr>
        <w:t xml:space="preserve"> يعتمدها شخص من الإدارة المالية غير معدّها.</w:t>
      </w:r>
    </w:p>
    <w:p>
      <w:pPr>
        <w:pStyle w:val="ListParagraph"/>
        <w:numPr>
          <w:ilvl w:val="0"/>
          <w:numId w:val="4"/>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6 أشهر قبل التجديد واختبار التعهدات، وتعدّله كل شركة.</w:t>
      </w:r>
    </w:p>
    <w:p>
      <w:pPr>
        <w:pStyle w:val="ListParagraph"/>
        <w:numPr>
          <w:ilvl w:val="0"/>
          <w:numId w:val="4"/>
        </w:numPr>
        <w:bidi/>
        <w:spacing w:after="70" w:before="0" w:line="300"/>
      </w:pPr>
      <w:r>
        <w:rPr>
          <w:rFonts w:ascii="Arial" w:cs="Arial" w:eastAsia="Arial" w:hAnsi="Arial"/>
          <w:b/>
          <w:bCs/>
          <w:sz w:val="21"/>
          <w:szCs w:val="21"/>
          <w:rtl/>
        </w:rPr>
        <w:t xml:space="preserve">تقييم الموازنة (ف5)</w:t>
      </w:r>
      <w:r>
        <w:rPr>
          <w:rFonts w:ascii="Arial" w:cs="Arial" w:eastAsia="Arial" w:hAnsi="Arial"/>
          <w:b w:val="false"/>
          <w:bCs w:val="false"/>
          <w:sz w:val="21"/>
          <w:szCs w:val="21"/>
          <w:rtl/>
        </w:rPr>
        <w:t xml:space="preserve"> بعد المراحل أ إلى د.</w:t>
      </w:r>
    </w:p>
    <w:p>
      <w:pPr>
        <w:pStyle w:val="ListParagraph"/>
        <w:numPr>
          <w:ilvl w:val="0"/>
          <w:numId w:val="4"/>
        </w:numPr>
        <w:bidi/>
        <w:spacing w:after="70" w:before="0" w:line="300"/>
      </w:pPr>
      <w:r>
        <w:rPr>
          <w:rFonts w:ascii="Arial" w:cs="Arial" w:eastAsia="Arial" w:hAnsi="Arial"/>
          <w:b/>
          <w:bCs/>
          <w:sz w:val="21"/>
          <w:szCs w:val="21"/>
          <w:rtl/>
        </w:rPr>
        <w:t xml:space="preserve">البدء بالمرحلتين أ وب</w:t>
      </w:r>
      <w:r>
        <w:rPr>
          <w:rFonts w:ascii="Arial" w:cs="Arial" w:eastAsia="Arial" w:hAnsi="Arial"/>
          <w:b w:val="false"/>
          <w:bCs w:val="false"/>
          <w:sz w:val="21"/>
          <w:szCs w:val="21"/>
          <w:rtl/>
        </w:rPr>
        <w:t xml:space="preserve">: بُنيتا. المرحلة أ صححت لغة المنهجية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§1 و§10 و§11 و§14 و§18 و§20). والمرحلة ب التقييم التجريبي (ADR 0022، FR-FIN-035، BR-FIN-036، الاختبار CA18).</w:t>
      </w:r>
    </w:p>
    <w:p>
      <w:pPr>
        <w:pStyle w:val="ListParagraph"/>
        <w:numPr>
          <w:ilvl w:val="0"/>
          <w:numId w:val="4"/>
        </w:numPr>
        <w:bidi/>
        <w:spacing w:after="70" w:before="0" w:line="300"/>
      </w:pPr>
      <w:r>
        <w:rPr>
          <w:rFonts w:ascii="Arial" w:cs="Arial" w:eastAsia="Arial" w:hAnsi="Arial"/>
          <w:b/>
          <w:bCs/>
          <w:sz w:val="21"/>
          <w:szCs w:val="21"/>
          <w:rtl/>
        </w:rPr>
        <w:t xml:space="preserve">المرحلة ج</w:t>
      </w:r>
      <w:r>
        <w:rPr>
          <w:rFonts w:ascii="Arial" w:cs="Arial" w:eastAsia="Arial" w:hAnsi="Arial"/>
          <w:b w:val="false"/>
          <w:bCs w:val="false"/>
          <w:sz w:val="21"/>
          <w:szCs w:val="21"/>
          <w:rtl/>
        </w:rPr>
        <w:t xml:space="preserve"> (بطلب المالك 2026-10-20): نسخ العرض البديلة ومقارنتها وتحويل المختارة إلى قائمة مسودة (ADR 0023، FR-FIN-036، BR-FIN-037، الاختبار CA19).</w:t>
      </w:r>
    </w:p>
    <w:p>
      <w:pPr>
        <w:pStyle w:val="ListParagraph"/>
        <w:numPr>
          <w:ilvl w:val="0"/>
          <w:numId w:val="4"/>
        </w:numPr>
        <w:bidi/>
        <w:spacing w:after="70" w:before="0" w:line="300"/>
      </w:pPr>
      <w:r>
        <w:rPr>
          <w:rFonts w:ascii="Arial" w:cs="Arial" w:eastAsia="Arial" w:hAnsi="Arial"/>
          <w:b/>
          <w:bCs/>
          <w:sz w:val="21"/>
          <w:szCs w:val="21"/>
          <w:rtl/>
        </w:rPr>
        <w:t xml:space="preserve">المرحلة د</w:t>
      </w:r>
      <w:r>
        <w:rPr>
          <w:rFonts w:ascii="Arial" w:cs="Arial" w:eastAsia="Arial" w:hAnsi="Arial"/>
          <w:b w:val="false"/>
          <w:bCs w:val="false"/>
          <w:sz w:val="21"/>
          <w:szCs w:val="21"/>
          <w:rtl/>
        </w:rPr>
        <w:t xml:space="preserve"> (بطلب المالك 2026-10-20): ملف الجاهزية قبل جهة التمويل، والجدول الزمني، والإنذار المبكر بستة أشهر (ADR 0024، FR-FIN-037، BR-FIN-038، الاختبار CA20).</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التقييم من منظور الشركة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التقييم الائتماني من منظور الشركة الداخلي</dc:title>
  <dc:creator>Claude</dc:creator>
  <dc:description>BankFas database design document</dc:description>
  <cp:lastModifiedBy>Un-named</cp:lastModifiedBy>
  <cp:revision>1</cp:revision>
  <dcterms:created xsi:type="dcterms:W3CDTF">2026-10-20T07:59:30.966Z</dcterms:created>
  <dcterms:modified xsi:type="dcterms:W3CDTF">2026-10-20T07:59:30.967Z</dcterms:modified>
</cp:coreProperties>
</file>

<file path=docProps/custom.xml><?xml version="1.0" encoding="utf-8"?>
<Properties xmlns="http://schemas.openxmlformats.org/officeDocument/2006/custom-properties" xmlns:vt="http://schemas.openxmlformats.org/officeDocument/2006/docPropsVTypes"/>
</file>