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DOC-B07 — قائمة شاشات S0 وخريطة التنقل والنماذج الأولية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شاشات بوابة المشترك في S0</w:t>
        </w:r>
      </w:hyperlink>
    </w:p>
    <w:p>
      <w:pPr>
        <w:bidi/>
        <w:spacing w:after="50" w:before="0"/>
        <w:ind w:left="0"/>
      </w:pPr>
      <w:hyperlink w:history="1" w:anchor="_sec3">
        <w:r>
          <w:rPr>
            <w:rFonts w:ascii="Arial" w:cs="Arial" w:eastAsia="Arial" w:hAnsi="Arial"/>
            <w:b/>
            <w:bCs/>
            <w:color w:val="1F3A5F"/>
            <w:sz w:val="20"/>
            <w:szCs w:val="20"/>
            <w:rtl/>
          </w:rPr>
          <w:t xml:space="preserve">3. شاشات لوحة المشغّل في S0</w:t>
        </w:r>
      </w:hyperlink>
    </w:p>
    <w:p>
      <w:pPr>
        <w:bidi/>
        <w:spacing w:after="50" w:before="0"/>
        <w:ind w:left="0"/>
      </w:pPr>
      <w:hyperlink w:history="1" w:anchor="_sec4">
        <w:r>
          <w:rPr>
            <w:rFonts w:ascii="Arial" w:cs="Arial" w:eastAsia="Arial" w:hAnsi="Arial"/>
            <w:b/>
            <w:bCs/>
            <w:color w:val="1F3A5F"/>
            <w:sz w:val="20"/>
            <w:szCs w:val="20"/>
            <w:rtl/>
          </w:rPr>
          <w:t xml:space="preserve">4. خريطة التنقل</w:t>
        </w:r>
      </w:hyperlink>
    </w:p>
    <w:p>
      <w:pPr>
        <w:bidi/>
        <w:spacing w:after="50" w:before="0"/>
        <w:ind w:left="0"/>
      </w:pPr>
      <w:hyperlink w:history="1" w:anchor="_sec9">
        <w:r>
          <w:rPr>
            <w:rFonts w:ascii="Arial" w:cs="Arial" w:eastAsia="Arial" w:hAnsi="Arial"/>
            <w:b/>
            <w:bCs/>
            <w:color w:val="1F3A5F"/>
            <w:sz w:val="20"/>
            <w:szCs w:val="20"/>
            <w:rtl/>
          </w:rPr>
          <w:t xml:space="preserve">5. النماذج الأولية منخفضة الدقة</w:t>
        </w:r>
      </w:hyperlink>
    </w:p>
    <w:p>
      <w:pPr>
        <w:bidi/>
        <w:spacing w:after="50" w:before="0"/>
        <w:ind w:left="0"/>
      </w:pPr>
      <w:hyperlink w:history="1" w:anchor="_sec15">
        <w:r>
          <w:rPr>
            <w:rFonts w:ascii="Arial" w:cs="Arial" w:eastAsia="Arial" w:hAnsi="Arial"/>
            <w:b/>
            <w:bCs/>
            <w:color w:val="1F3A5F"/>
            <w:sz w:val="20"/>
            <w:szCs w:val="20"/>
            <w:rtl/>
          </w:rPr>
          <w:t xml:space="preserve">6. قواعد مشتركة للشاشات</w:t>
        </w:r>
      </w:hyperlink>
    </w:p>
    <w:p>
      <w:pPr>
        <w:bidi/>
        <w:spacing w:after="50" w:before="0"/>
        <w:ind w:left="0"/>
      </w:pPr>
      <w:hyperlink w:history="1" w:anchor="_sec16">
        <w:r>
          <w:rPr>
            <w:rFonts w:ascii="Arial" w:cs="Arial" w:eastAsia="Arial" w:hAnsi="Arial"/>
            <w:b/>
            <w:bCs/>
            <w:color w:val="1F3A5F"/>
            <w:sz w:val="20"/>
            <w:szCs w:val="20"/>
            <w:rtl/>
          </w:rPr>
          <w:t xml:space="preserve">7.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8.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9. التتبع</w:t>
        </w:r>
      </w:hyperlink>
    </w:p>
    <w:p>
      <w:pPr>
        <w:bidi/>
        <w:spacing w:after="50" w:before="0"/>
        <w:ind w:left="0"/>
      </w:pPr>
      <w:hyperlink w:history="1" w:anchor="_sec19">
        <w:r>
          <w:rPr>
            <w:rFonts w:ascii="Arial" w:cs="Arial" w:eastAsia="Arial" w:hAnsi="Arial"/>
            <w:b/>
            <w:bCs/>
            <w:color w:val="1F3A5F"/>
            <w:sz w:val="20"/>
            <w:szCs w:val="20"/>
            <w:rtl/>
          </w:rPr>
          <w:t xml:space="preserve">10. ملحق S2-ب: شاشات البيانات المالية والتحقق والتقييم (2026-10-23)</w:t>
        </w:r>
      </w:hyperlink>
    </w:p>
    <w:p>
      <w:pPr>
        <w:bidi/>
        <w:spacing w:after="50" w:before="0"/>
        <w:ind w:left="0"/>
      </w:pPr>
      <w:hyperlink w:history="1" w:anchor="_sec20">
        <w:r>
          <w:rPr>
            <w:rFonts w:ascii="Arial" w:cs="Arial" w:eastAsia="Arial" w:hAnsi="Arial"/>
            <w:b/>
            <w:bCs/>
            <w:color w:val="1F3A5F"/>
            <w:sz w:val="20"/>
            <w:szCs w:val="20"/>
            <w:rtl/>
          </w:rPr>
          <w:t xml:space="preserve">11. ملحق S3: شاشات الطلبات والاعتمادات (2026-10-23)</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1"/>
        <w:bidi/>
      </w:pPr>
      <w:bookmarkStart w:name="_sec2" w:id="2"/>
      <w:r>
        <w:rPr>
          <w:rFonts w:ascii="Arial" w:cs="Arial" w:eastAsia="Arial" w:hAnsi="Arial"/>
          <w:b/>
          <w:bCs/>
          <w:color w:val="1F3A5F"/>
          <w:sz w:val="32"/>
          <w:szCs w:val="32"/>
          <w:rtl/>
        </w:rPr>
        <w:t xml:space="preserve">2. شاشات بوابة المشترك في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1"/>
        <w:bidi/>
      </w:pPr>
      <w:bookmarkStart w:name="_sec3" w:id="3"/>
      <w:r>
        <w:rPr>
          <w:rFonts w:ascii="Arial" w:cs="Arial" w:eastAsia="Arial" w:hAnsi="Arial"/>
          <w:b/>
          <w:bCs/>
          <w:color w:val="1F3A5F"/>
          <w:sz w:val="32"/>
          <w:szCs w:val="32"/>
          <w:rtl/>
        </w:rPr>
        <w:t xml:space="preserve">3. شاشات لوحة المشغّل في S0</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1"/>
        <w:bidi/>
      </w:pPr>
      <w:bookmarkStart w:name="_sec4" w:id="4"/>
      <w:r>
        <w:rPr>
          <w:rFonts w:ascii="Arial" w:cs="Arial" w:eastAsia="Arial" w:hAnsi="Arial"/>
          <w:b/>
          <w:bCs/>
          <w:color w:val="1F3A5F"/>
          <w:sz w:val="32"/>
          <w:szCs w:val="32"/>
          <w:rtl/>
        </w:rPr>
        <w:t xml:space="preserve">4. خريطة التنقل</w:t>
      </w:r>
      <w:bookmarkEnd w:id="4"/>
    </w:p>
    <w:p>
      <w:pPr>
        <w:pStyle w:val="Heading2"/>
        <w:bidi/>
      </w:pPr>
      <w:bookmarkStart w:name="_sec5" w:id="5"/>
      <w:r>
        <w:rPr>
          <w:rFonts w:ascii="Arial" w:cs="Arial" w:eastAsia="Arial" w:hAnsi="Arial"/>
          <w:b/>
          <w:bCs/>
          <w:color w:val="2B5C8A"/>
          <w:sz w:val="26"/>
          <w:szCs w:val="26"/>
          <w:rtl/>
        </w:rPr>
        <w:t xml:space="preserve">4.1 العناوين والفصل بين البوابتين</w:t>
      </w:r>
      <w:bookmarkEnd w:id="5"/>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52800"/>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قشرة بوابة المشترك</w:t>
      </w:r>
      <w:bookmarkEnd w:id="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2"/>
        <w:bidi/>
      </w:pPr>
      <w:bookmarkStart w:name="_sec7" w:id="7"/>
      <w:r>
        <w:rPr>
          <w:rFonts w:ascii="Arial" w:cs="Arial" w:eastAsia="Arial" w:hAnsi="Arial"/>
          <w:b/>
          <w:bCs/>
          <w:color w:val="2B5C8A"/>
          <w:sz w:val="26"/>
          <w:szCs w:val="26"/>
          <w:rtl/>
        </w:rPr>
        <w:t xml:space="preserve">4.3 إظهار عناصر القائمة</w:t>
      </w:r>
      <w:bookmarkEnd w:id="7"/>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2"/>
        <w:bidi/>
      </w:pPr>
      <w:bookmarkStart w:name="_sec8" w:id="8"/>
      <w:r>
        <w:rPr>
          <w:rFonts w:ascii="Arial" w:cs="Arial" w:eastAsia="Arial" w:hAnsi="Arial"/>
          <w:b/>
          <w:bCs/>
          <w:color w:val="2B5C8A"/>
          <w:sz w:val="26"/>
          <w:szCs w:val="26"/>
          <w:rtl/>
        </w:rPr>
        <w:t xml:space="preserve">4.4 مبدّل الشركة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 (DQ-B07-1)</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1"/>
        <w:bidi/>
      </w:pPr>
      <w:bookmarkStart w:name="_sec9" w:id="9"/>
      <w:r>
        <w:rPr>
          <w:rFonts w:ascii="Arial" w:cs="Arial" w:eastAsia="Arial" w:hAnsi="Arial"/>
          <w:b/>
          <w:bCs/>
          <w:color w:val="1F3A5F"/>
          <w:sz w:val="32"/>
          <w:szCs w:val="32"/>
          <w:rtl/>
        </w:rPr>
        <w:t xml:space="preserve">5. النماذج الأولية منخفضة الدقة</w:t>
      </w:r>
      <w:bookmarkEnd w:id="9"/>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2"/>
        <w:bidi/>
      </w:pPr>
      <w:bookmarkStart w:name="_sec10" w:id="10"/>
      <w:r>
        <w:rPr>
          <w:rFonts w:ascii="Arial" w:cs="Arial" w:eastAsia="Arial" w:hAnsi="Arial"/>
          <w:b/>
          <w:bCs/>
          <w:color w:val="2B5C8A"/>
          <w:sz w:val="26"/>
          <w:szCs w:val="26"/>
          <w:rtl/>
        </w:rPr>
        <w:t xml:space="preserve">5.1 الدخول (SCR-PLT-01)</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2"/>
        <w:bidi/>
      </w:pPr>
      <w:bookmarkStart w:name="_sec11" w:id="11"/>
      <w:r>
        <w:rPr>
          <w:rFonts w:ascii="Arial" w:cs="Arial" w:eastAsia="Arial" w:hAnsi="Arial"/>
          <w:b/>
          <w:bCs/>
          <w:color w:val="2B5C8A"/>
          <w:sz w:val="26"/>
          <w:szCs w:val="26"/>
          <w:rtl/>
        </w:rPr>
        <w:t xml:space="preserve">5.2 التحقق بخطوتين (SCR-PLT-02)</w:t>
      </w:r>
      <w:bookmarkEnd w:id="1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قائمة المستخدمين (SCR-PLT-07)</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2"/>
        <w:bidi/>
      </w:pPr>
      <w:bookmarkStart w:name="_sec13" w:id="13"/>
      <w:r>
        <w:rPr>
          <w:rFonts w:ascii="Arial" w:cs="Arial" w:eastAsia="Arial" w:hAnsi="Arial"/>
          <w:b/>
          <w:bCs/>
          <w:color w:val="2B5C8A"/>
          <w:sz w:val="26"/>
          <w:szCs w:val="26"/>
          <w:rtl/>
        </w:rPr>
        <w:t xml:space="preserve">5.4 بطاقة المستخدم: تبويب الأدوار (SCR-PLT-08)</w:t>
      </w:r>
      <w:bookmarkEnd w:id="1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2"/>
        <w:bidi/>
      </w:pPr>
      <w:bookmarkStart w:name="_sec14" w:id="14"/>
      <w:r>
        <w:rPr>
          <w:rFonts w:ascii="Arial" w:cs="Arial" w:eastAsia="Arial" w:hAnsi="Arial"/>
          <w:b/>
          <w:bCs/>
          <w:color w:val="2B5C8A"/>
          <w:sz w:val="26"/>
          <w:szCs w:val="26"/>
          <w:rtl/>
        </w:rPr>
        <w:t xml:space="preserve">5.5 قائمة المشتركين في لوحة المشغّل (SCR-PLT-52)</w:t>
      </w:r>
      <w:bookmarkEnd w:id="1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1"/>
        <w:bidi/>
      </w:pPr>
      <w:bookmarkStart w:name="_sec15" w:id="15"/>
      <w:r>
        <w:rPr>
          <w:rFonts w:ascii="Arial" w:cs="Arial" w:eastAsia="Arial" w:hAnsi="Arial"/>
          <w:b/>
          <w:bCs/>
          <w:color w:val="1F3A5F"/>
          <w:sz w:val="32"/>
          <w:szCs w:val="32"/>
          <w:rtl/>
        </w:rPr>
        <w:t xml:space="preserve">6. قواعد مشتركة للشاشات</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تعارضات وفجوات في المصادر</w:t>
      </w:r>
      <w:bookmarkEnd w:id="17"/>
    </w:p>
    <w:p>
      <w:pPr>
        <w:pStyle w:val="ListParagraph"/>
        <w:numPr>
          <w:ilvl w:val="0"/>
          <w:numId w:val="3"/>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3"/>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3"/>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3"/>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1"/>
        <w:bidi/>
      </w:pPr>
      <w:bookmarkStart w:name="_sec18" w:id="18"/>
      <w:r>
        <w:rPr>
          <w:rFonts w:ascii="Arial" w:cs="Arial" w:eastAsia="Arial" w:hAnsi="Arial"/>
          <w:b/>
          <w:bCs/>
          <w:color w:val="1F3A5F"/>
          <w:sz w:val="32"/>
          <w:szCs w:val="32"/>
          <w:rtl/>
        </w:rPr>
        <w:t xml:space="preserve">9.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ملحق S2-ب: شاشات البيانات المالية والتحقق والتقييم (2026-10-23)</w:t>
      </w:r>
      <w:bookmarkEnd w:id="19"/>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20" w:id="20"/>
      <w:r>
        <w:rPr>
          <w:rFonts w:ascii="Arial" w:cs="Arial" w:eastAsia="Arial" w:hAnsi="Arial"/>
          <w:b/>
          <w:bCs/>
          <w:color w:val="1F3A5F"/>
          <w:sz w:val="32"/>
          <w:szCs w:val="32"/>
          <w:rtl/>
        </w:rPr>
        <w:t xml:space="preserve">11. ملحق S3: شاشات الطلبات والاعتمادات (2026-10-23)</w:t>
      </w:r>
      <w:bookmarkEnd w:id="20"/>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DOC-B07 · قائمة الشاشات والتنقل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e7e867d2dbafc34b7737504e5f925aabeeb1a8.png"/><Relationship Id="rId10" Type="http://schemas.openxmlformats.org/officeDocument/2006/relationships/image" Target="media/31ed743abca1cf91bfe53c50576bc1d09bc2c4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DOC-B07 — قائمة شاشات S0 وخريطة التنقل والنماذج الأولية</dc:title>
  <dc:creator>Claude</dc:creator>
  <dc:description>BankFas database design document</dc:description>
  <cp:lastModifiedBy>Un-named</cp:lastModifiedBy>
  <cp:revision>1</cp:revision>
  <dcterms:created xsi:type="dcterms:W3CDTF">2026-10-23T16:10:20.569Z</dcterms:created>
  <dcterms:modified xsi:type="dcterms:W3CDTF">2026-10-23T16:10:20.569Z</dcterms:modified>
</cp:coreProperties>
</file>

<file path=docProps/custom.xml><?xml version="1.0" encoding="utf-8"?>
<Properties xmlns="http://schemas.openxmlformats.org/officeDocument/2006/custom-properties" xmlns:vt="http://schemas.openxmlformats.org/officeDocument/2006/docPropsVTypes"/>
</file>